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600"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2021年河南省高等职业教育技能大赛</w:t>
      </w:r>
    </w:p>
    <w:p>
      <w:pPr>
        <w:autoSpaceDE/>
        <w:autoSpaceDN/>
        <w:spacing w:line="600" w:lineRule="exact"/>
        <w:jc w:val="center"/>
        <w:rPr>
          <w:rFonts w:ascii="黑体" w:hAnsi="黑体" w:eastAsia="黑体" w:cstheme="minorBidi"/>
          <w:bCs/>
          <w:kern w:val="2"/>
          <w:sz w:val="30"/>
          <w:szCs w:val="30"/>
          <w:lang w:eastAsia="zh-CN"/>
        </w:rPr>
      </w:pPr>
      <w:r>
        <w:rPr>
          <w:rFonts w:hint="eastAsia" w:ascii="方正小标宋简体" w:hAnsi="方正小标宋简体" w:eastAsia="方正小标宋简体" w:cs="方正小标宋简体"/>
          <w:sz w:val="44"/>
          <w:szCs w:val="44"/>
          <w:lang w:eastAsia="zh-CN"/>
        </w:rPr>
        <w:t>货运代理赛项竞赛方案</w:t>
      </w:r>
    </w:p>
    <w:p>
      <w:pPr>
        <w:spacing w:line="360" w:lineRule="auto"/>
        <w:ind w:firstLine="600" w:firstLineChars="200"/>
        <w:outlineLvl w:val="0"/>
        <w:rPr>
          <w:rFonts w:hint="eastAsia" w:ascii="黑体" w:hAnsi="黑体" w:eastAsia="黑体" w:cstheme="minorBidi"/>
          <w:bCs/>
          <w:kern w:val="2"/>
          <w:sz w:val="30"/>
          <w:szCs w:val="30"/>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0"/>
        <w:rPr>
          <w:rFonts w:ascii="黑体" w:hAnsi="黑体" w:eastAsia="黑体" w:cstheme="minorBidi"/>
          <w:bCs/>
          <w:kern w:val="2"/>
          <w:sz w:val="30"/>
          <w:szCs w:val="30"/>
          <w:lang w:eastAsia="zh-CN"/>
        </w:rPr>
      </w:pPr>
      <w:r>
        <w:rPr>
          <w:rFonts w:hint="eastAsia" w:ascii="黑体" w:hAnsi="黑体" w:eastAsia="黑体" w:cstheme="minorBidi"/>
          <w:bCs/>
          <w:kern w:val="2"/>
          <w:sz w:val="30"/>
          <w:szCs w:val="30"/>
          <w:lang w:eastAsia="zh-CN"/>
        </w:rPr>
        <w:t>一、赛项名称</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赛项名称：货运代理</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赛项编号：GZ—2021051</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赛项组别：高职组</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专业大类：财经商贸类</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主办单位：河南省教育厅</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承办单位：河南经贸职业学院</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报到及推荐住宿地点：另行通知</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0"/>
        <w:rPr>
          <w:rFonts w:ascii="黑体" w:hAnsi="黑体" w:eastAsia="黑体" w:cstheme="minorBidi"/>
          <w:bCs/>
          <w:kern w:val="2"/>
          <w:sz w:val="30"/>
          <w:szCs w:val="30"/>
          <w:lang w:eastAsia="zh-CN"/>
        </w:rPr>
      </w:pPr>
      <w:r>
        <w:rPr>
          <w:rFonts w:hint="eastAsia" w:ascii="黑体" w:hAnsi="黑体" w:eastAsia="黑体" w:cstheme="minorBidi"/>
          <w:bCs/>
          <w:kern w:val="2"/>
          <w:sz w:val="30"/>
          <w:szCs w:val="30"/>
          <w:lang w:eastAsia="zh-CN"/>
        </w:rPr>
        <w:t>二、竞赛目的</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本赛项参照了世界技能大赛货运代理项目开发赛题的原则进行，赛项立足货运代理行业，对标世界技能大赛，在对接企业标准引领技能人才培养上发挥重要作用，从推动行业改革和创新发展出发，贯彻落实行业服务智能化、生产自动化、协同信息化、运输高效化、运营绿色化、管理科学化的发展规划，提升货代服务规范化水平；同时面向未来，凸显新时代行业工作流程优化思维、网络运营优化意识，引领货代服务智慧化发展趋势。打造新时代全国性综合职业技能竞赛新品牌，健全职业技能竞赛体系，引领各地、各行业不断提升技能竞赛工作规模和质量，推动以赛促学、以赛促训、以赛促建。建设职业技能领域互学互鉴的交流展示平台，检视各地技能人才工作成效成果，营造全社会尊重技能人才、重视技能人才工作的良好环境，整体推进我国技能人才工作均衡和可持续发展。</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0"/>
        <w:rPr>
          <w:rFonts w:ascii="黑体" w:hAnsi="黑体" w:eastAsia="黑体" w:cstheme="minorBidi"/>
          <w:bCs/>
          <w:kern w:val="2"/>
          <w:sz w:val="30"/>
          <w:szCs w:val="30"/>
          <w:lang w:eastAsia="zh-CN"/>
        </w:rPr>
      </w:pPr>
      <w:r>
        <w:rPr>
          <w:rFonts w:hint="eastAsia" w:ascii="黑体" w:hAnsi="黑体" w:eastAsia="黑体" w:cstheme="minorBidi"/>
          <w:bCs/>
          <w:kern w:val="2"/>
          <w:sz w:val="30"/>
          <w:szCs w:val="30"/>
          <w:lang w:eastAsia="zh-CN"/>
        </w:rPr>
        <w:t>三、参赛资格</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一）参考国赛参赛规程要求，竞赛为个人赛，每支参赛队由1名比赛选手组成，性别不限，每名选手指导教师1名，须为本院校专职教师。参赛选手、指导教师经报名、审核后确定，一经确定不得更换，允许指导教师缺席竞赛。</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本赛项报名以学校为单位，同一学校限额推荐2支参赛队参赛。</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（二）参赛学生须是2021年在籍全日制高职学生，五年制高职学生报名参赛的，必须是四、五年级的在籍学生。在往届全国职业院校技能大赛高职组竞赛中获得一等奖的选手，不再参加同一项目省级竞赛。</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0"/>
        <w:rPr>
          <w:rFonts w:ascii="黑体" w:hAnsi="黑体" w:eastAsia="黑体" w:cstheme="minorBidi"/>
          <w:bCs/>
          <w:kern w:val="2"/>
          <w:sz w:val="30"/>
          <w:szCs w:val="30"/>
          <w:lang w:eastAsia="zh-CN"/>
        </w:rPr>
      </w:pPr>
      <w:r>
        <w:rPr>
          <w:rFonts w:hint="eastAsia" w:ascii="黑体" w:hAnsi="黑体" w:eastAsia="黑体" w:cstheme="minorBidi"/>
          <w:bCs/>
          <w:kern w:val="2"/>
          <w:sz w:val="30"/>
          <w:szCs w:val="30"/>
          <w:lang w:eastAsia="zh-CN"/>
        </w:rPr>
        <w:t>四、参赛报名</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1.参赛院校须于11月3日前登录河南省高职院校技能大赛报名系统（http://39.105.49.188），按要求填报并提交参赛信息。</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2.各参赛校以学校为单位注册报名平台，专人负责报名工作。（技术支持：郭威，电话：13643997008）。</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3.提交报名信息后，参赛院校从系统导出参赛选手报名表、参赛信息汇总表后，连同参赛选手身份证复印件和学信网“教育部学籍在线验证报告”或省招办录取名册复印件各1份并加盖院校公章，报送或邮寄到赛项承办院校（河南经贸职业学院）。纸质报名材料接收截止时间为11月5日，以邮戳时间为准。</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 xml:space="preserve">邮寄地址：河南省郑州市郑东新区河南经贸职业学院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 xml:space="preserve">张园园 15515867942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4.承办学校收到纸质报名材料，按参赛条件的要求认真审核参赛选手和指导教师资格，审核通过报名成功。</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0"/>
        <w:rPr>
          <w:rFonts w:ascii="黑体" w:hAnsi="黑体" w:eastAsia="黑体" w:cstheme="minorBidi"/>
          <w:bCs/>
          <w:kern w:val="2"/>
          <w:sz w:val="30"/>
          <w:szCs w:val="30"/>
          <w:lang w:eastAsia="zh-CN"/>
        </w:rPr>
      </w:pPr>
      <w:r>
        <w:rPr>
          <w:rFonts w:hint="eastAsia" w:ascii="黑体" w:hAnsi="黑体" w:eastAsia="黑体" w:cstheme="minorBidi"/>
          <w:bCs/>
          <w:kern w:val="2"/>
          <w:sz w:val="30"/>
          <w:szCs w:val="30"/>
          <w:lang w:eastAsia="zh-CN"/>
        </w:rPr>
        <w:t>五、竞赛日程安排</w:t>
      </w:r>
      <w:r>
        <w:rPr>
          <w:rFonts w:hint="eastAsia" w:ascii="黑体" w:hAnsi="黑体" w:eastAsia="黑体" w:cstheme="minorBidi"/>
          <w:kern w:val="2"/>
          <w:sz w:val="30"/>
          <w:szCs w:val="30"/>
          <w:lang w:eastAsia="zh-CN"/>
        </w:rPr>
        <w:t>（具体以《参赛指南》为准）</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报到时间：2021年11月13日</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比赛时间：2021年11月14日</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比赛时间为360分钟，安排在1天内完成。赛前组织抽签确定比赛工位。</w:t>
      </w:r>
    </w:p>
    <w:tbl>
      <w:tblPr>
        <w:tblStyle w:val="13"/>
        <w:tblW w:w="8936" w:type="dxa"/>
        <w:tblInd w:w="0" w:type="dxa"/>
        <w:tblLayout w:type="fixed"/>
        <w:tblCellMar>
          <w:top w:w="0" w:type="dxa"/>
          <w:left w:w="0" w:type="dxa"/>
          <w:bottom w:w="0" w:type="dxa"/>
          <w:right w:w="0" w:type="dxa"/>
        </w:tblCellMar>
      </w:tblPr>
      <w:tblGrid>
        <w:gridCol w:w="2568"/>
        <w:gridCol w:w="3057"/>
        <w:gridCol w:w="3311"/>
      </w:tblGrid>
      <w:tr>
        <w:tblPrEx>
          <w:tblLayout w:type="fixed"/>
          <w:tblCellMar>
            <w:top w:w="0" w:type="dxa"/>
            <w:left w:w="0" w:type="dxa"/>
            <w:bottom w:w="0" w:type="dxa"/>
            <w:right w:w="0" w:type="dxa"/>
          </w:tblCellMar>
        </w:tblPrEx>
        <w:trPr>
          <w:trHeight w:val="567" w:hRule="atLeast"/>
        </w:trPr>
        <w:tc>
          <w:tcPr>
            <w:tcW w:w="2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黑体" w:hAnsi="黑体" w:eastAsia="黑体" w:cs="黑体"/>
                <w:bCs/>
                <w:color w:val="000000"/>
                <w:sz w:val="28"/>
                <w:szCs w:val="28"/>
              </w:rPr>
            </w:pPr>
            <w:r>
              <w:rPr>
                <w:rFonts w:hint="eastAsia" w:ascii="黑体" w:hAnsi="黑体" w:eastAsia="黑体" w:cs="黑体"/>
                <w:bCs/>
                <w:color w:val="000000"/>
                <w:sz w:val="28"/>
                <w:szCs w:val="28"/>
                <w:lang w:bidi="ar"/>
              </w:rPr>
              <w:t>模块编号</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黑体" w:hAnsi="黑体" w:eastAsia="黑体" w:cs="黑体"/>
                <w:bCs/>
                <w:color w:val="000000"/>
                <w:sz w:val="28"/>
                <w:szCs w:val="28"/>
              </w:rPr>
            </w:pPr>
            <w:r>
              <w:rPr>
                <w:rFonts w:hint="eastAsia" w:ascii="黑体" w:hAnsi="黑体" w:eastAsia="黑体" w:cs="黑体"/>
                <w:bCs/>
                <w:color w:val="000000"/>
                <w:sz w:val="28"/>
                <w:szCs w:val="28"/>
                <w:lang w:bidi="ar"/>
              </w:rPr>
              <w:t>模块名称</w:t>
            </w:r>
          </w:p>
        </w:tc>
        <w:tc>
          <w:tcPr>
            <w:tcW w:w="3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黑体" w:hAnsi="黑体" w:eastAsia="黑体" w:cs="黑体"/>
                <w:bCs/>
                <w:color w:val="000000"/>
                <w:sz w:val="28"/>
                <w:szCs w:val="28"/>
              </w:rPr>
            </w:pPr>
            <w:r>
              <w:rPr>
                <w:rFonts w:hint="eastAsia" w:ascii="黑体" w:hAnsi="黑体" w:eastAsia="黑体" w:cs="黑体"/>
                <w:bCs/>
                <w:color w:val="000000"/>
                <w:sz w:val="28"/>
                <w:szCs w:val="28"/>
                <w:lang w:bidi="ar"/>
              </w:rPr>
              <w:t>竞赛时间</w:t>
            </w:r>
          </w:p>
        </w:tc>
      </w:tr>
      <w:tr>
        <w:tblPrEx>
          <w:tblLayout w:type="fixed"/>
          <w:tblCellMar>
            <w:top w:w="0" w:type="dxa"/>
            <w:left w:w="0" w:type="dxa"/>
            <w:bottom w:w="0" w:type="dxa"/>
            <w:right w:w="0" w:type="dxa"/>
          </w:tblCellMar>
        </w:tblPrEx>
        <w:trPr>
          <w:trHeight w:val="567" w:hRule="atLeast"/>
        </w:trPr>
        <w:tc>
          <w:tcPr>
            <w:tcW w:w="2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仿宋_GB2312" w:eastAsia="仿宋_GB2312" w:cs="仿宋_GB2312"/>
                <w:bCs/>
                <w:sz w:val="24"/>
                <w:szCs w:val="24"/>
                <w:shd w:val="clear" w:color="auto" w:fill="FFFFFF"/>
                <w:lang w:eastAsia="zh-CN"/>
              </w:rPr>
            </w:pPr>
            <w:r>
              <w:rPr>
                <w:rFonts w:ascii="仿宋_GB2312" w:hAnsi="仿宋_GB2312" w:eastAsia="仿宋_GB2312" w:cs="仿宋_GB2312"/>
                <w:bCs/>
                <w:sz w:val="24"/>
                <w:szCs w:val="24"/>
                <w:shd w:val="clear" w:color="auto" w:fill="FFFFFF"/>
                <w:lang w:eastAsia="zh-CN"/>
              </w:rPr>
              <w:t>1</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仿宋_GB2312" w:eastAsia="仿宋_GB2312" w:cs="仿宋_GB2312"/>
                <w:bCs/>
                <w:sz w:val="24"/>
                <w:szCs w:val="24"/>
                <w:shd w:val="clear" w:color="auto" w:fill="FFFFFF"/>
                <w:lang w:eastAsia="zh-CN"/>
              </w:rPr>
            </w:pPr>
            <w:r>
              <w:rPr>
                <w:rFonts w:hint="eastAsia" w:ascii="仿宋_GB2312" w:hAnsi="仿宋_GB2312" w:eastAsia="仿宋_GB2312" w:cs="仿宋_GB2312"/>
                <w:bCs/>
                <w:sz w:val="24"/>
                <w:szCs w:val="24"/>
                <w:shd w:val="clear" w:color="auto" w:fill="FFFFFF"/>
                <w:lang w:eastAsia="zh-CN"/>
              </w:rPr>
              <w:t>海运</w:t>
            </w:r>
          </w:p>
        </w:tc>
        <w:tc>
          <w:tcPr>
            <w:tcW w:w="3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仿宋_GB2312" w:eastAsia="仿宋_GB2312" w:cs="仿宋_GB2312"/>
                <w:bCs/>
                <w:sz w:val="24"/>
                <w:szCs w:val="24"/>
                <w:shd w:val="clear" w:color="auto" w:fill="FFFFFF"/>
                <w:lang w:eastAsia="zh-CN"/>
              </w:rPr>
            </w:pPr>
            <w:r>
              <w:rPr>
                <w:rFonts w:ascii="仿宋_GB2312" w:hAnsi="仿宋_GB2312" w:eastAsia="仿宋_GB2312" w:cs="仿宋_GB2312"/>
                <w:bCs/>
                <w:sz w:val="24"/>
                <w:szCs w:val="24"/>
                <w:shd w:val="clear" w:color="auto" w:fill="FFFFFF"/>
                <w:lang w:eastAsia="zh-CN"/>
              </w:rPr>
              <w:t>270</w:t>
            </w:r>
            <w:r>
              <w:rPr>
                <w:rFonts w:hint="eastAsia" w:ascii="仿宋_GB2312" w:hAnsi="仿宋_GB2312" w:eastAsia="仿宋_GB2312" w:cs="仿宋_GB2312"/>
                <w:bCs/>
                <w:sz w:val="24"/>
                <w:szCs w:val="24"/>
                <w:shd w:val="clear" w:color="auto" w:fill="FFFFFF"/>
                <w:lang w:eastAsia="zh-CN"/>
              </w:rPr>
              <w:t>分钟</w:t>
            </w:r>
          </w:p>
        </w:tc>
      </w:tr>
      <w:tr>
        <w:tblPrEx>
          <w:tblLayout w:type="fixed"/>
          <w:tblCellMar>
            <w:top w:w="0" w:type="dxa"/>
            <w:left w:w="0" w:type="dxa"/>
            <w:bottom w:w="0" w:type="dxa"/>
            <w:right w:w="0" w:type="dxa"/>
          </w:tblCellMar>
        </w:tblPrEx>
        <w:trPr>
          <w:trHeight w:val="567" w:hRule="atLeast"/>
        </w:trPr>
        <w:tc>
          <w:tcPr>
            <w:tcW w:w="2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仿宋_GB2312" w:eastAsia="仿宋_GB2312" w:cs="仿宋_GB2312"/>
                <w:bCs/>
                <w:sz w:val="24"/>
                <w:szCs w:val="24"/>
                <w:shd w:val="clear" w:color="auto" w:fill="FFFFFF"/>
                <w:lang w:eastAsia="zh-CN"/>
              </w:rPr>
            </w:pPr>
            <w:r>
              <w:rPr>
                <w:rFonts w:ascii="仿宋_GB2312" w:hAnsi="仿宋_GB2312" w:eastAsia="仿宋_GB2312" w:cs="仿宋_GB2312"/>
                <w:bCs/>
                <w:sz w:val="24"/>
                <w:szCs w:val="24"/>
                <w:shd w:val="clear" w:color="auto" w:fill="FFFFFF"/>
                <w:lang w:eastAsia="zh-CN"/>
              </w:rPr>
              <w:t>2</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仿宋_GB2312" w:eastAsia="仿宋_GB2312" w:cs="仿宋_GB2312"/>
                <w:bCs/>
                <w:sz w:val="24"/>
                <w:szCs w:val="24"/>
                <w:shd w:val="clear" w:color="auto" w:fill="FFFFFF"/>
                <w:lang w:eastAsia="zh-CN"/>
              </w:rPr>
            </w:pPr>
            <w:r>
              <w:rPr>
                <w:rFonts w:hint="eastAsia" w:ascii="仿宋_GB2312" w:hAnsi="仿宋_GB2312" w:eastAsia="仿宋_GB2312" w:cs="仿宋_GB2312"/>
                <w:bCs/>
                <w:sz w:val="24"/>
                <w:szCs w:val="24"/>
                <w:shd w:val="clear" w:color="auto" w:fill="FFFFFF"/>
                <w:lang w:eastAsia="zh-CN"/>
              </w:rPr>
              <w:t>空运</w:t>
            </w:r>
          </w:p>
        </w:tc>
        <w:tc>
          <w:tcPr>
            <w:tcW w:w="3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仿宋_GB2312" w:eastAsia="仿宋_GB2312" w:cs="仿宋_GB2312"/>
                <w:bCs/>
                <w:sz w:val="24"/>
                <w:szCs w:val="24"/>
                <w:shd w:val="clear" w:color="auto" w:fill="FFFFFF"/>
                <w:lang w:eastAsia="zh-CN"/>
              </w:rPr>
            </w:pPr>
            <w:r>
              <w:rPr>
                <w:rFonts w:ascii="仿宋_GB2312" w:hAnsi="仿宋_GB2312" w:eastAsia="仿宋_GB2312" w:cs="仿宋_GB2312"/>
                <w:bCs/>
                <w:sz w:val="24"/>
                <w:szCs w:val="24"/>
                <w:shd w:val="clear" w:color="auto" w:fill="FFFFFF"/>
                <w:lang w:eastAsia="zh-CN"/>
              </w:rPr>
              <w:t>90</w:t>
            </w:r>
            <w:r>
              <w:rPr>
                <w:rFonts w:hint="eastAsia" w:ascii="仿宋_GB2312" w:hAnsi="仿宋_GB2312" w:eastAsia="仿宋_GB2312" w:cs="仿宋_GB2312"/>
                <w:bCs/>
                <w:sz w:val="24"/>
                <w:szCs w:val="24"/>
                <w:shd w:val="clear" w:color="auto" w:fill="FFFFFF"/>
                <w:lang w:eastAsia="zh-CN"/>
              </w:rPr>
              <w:t>分钟</w:t>
            </w:r>
          </w:p>
        </w:tc>
      </w:tr>
    </w:tbl>
    <w:p>
      <w:pPr>
        <w:rPr>
          <w:rFonts w:cs="宋体"/>
          <w:b/>
          <w:sz w:val="28"/>
          <w:szCs w:val="28"/>
          <w:lang w:eastAsia="zh-CN"/>
        </w:rPr>
      </w:pPr>
    </w:p>
    <w:tbl>
      <w:tblPr>
        <w:tblStyle w:val="13"/>
        <w:tblW w:w="8948" w:type="dxa"/>
        <w:tblInd w:w="0" w:type="dxa"/>
        <w:tblLayout w:type="fixed"/>
        <w:tblCellMar>
          <w:top w:w="0" w:type="dxa"/>
          <w:left w:w="0" w:type="dxa"/>
          <w:bottom w:w="0" w:type="dxa"/>
          <w:right w:w="0" w:type="dxa"/>
        </w:tblCellMar>
      </w:tblPr>
      <w:tblGrid>
        <w:gridCol w:w="830"/>
        <w:gridCol w:w="1876"/>
        <w:gridCol w:w="2296"/>
        <w:gridCol w:w="1465"/>
        <w:gridCol w:w="2481"/>
      </w:tblGrid>
      <w:tr>
        <w:tblPrEx>
          <w:tblLayout w:type="fixed"/>
          <w:tblCellMar>
            <w:top w:w="0" w:type="dxa"/>
            <w:left w:w="0" w:type="dxa"/>
            <w:bottom w:w="0" w:type="dxa"/>
            <w:right w:w="0" w:type="dxa"/>
          </w:tblCellMar>
        </w:tblPrEx>
        <w:trPr>
          <w:trHeight w:val="567" w:hRule="atLeast"/>
        </w:trPr>
        <w:tc>
          <w:tcPr>
            <w:tcW w:w="894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黑体" w:hAnsi="黑体" w:eastAsia="黑体"/>
                <w:b/>
                <w:color w:val="000000"/>
                <w:sz w:val="28"/>
                <w:szCs w:val="28"/>
                <w:lang w:bidi="ar"/>
              </w:rPr>
            </w:pPr>
            <w:bookmarkStart w:id="0" w:name="_Toc61004413"/>
            <w:r>
              <w:rPr>
                <w:rFonts w:hint="eastAsia" w:ascii="黑体" w:hAnsi="黑体" w:eastAsia="黑体" w:cs="楷体_GB2312"/>
                <w:sz w:val="28"/>
                <w:szCs w:val="28"/>
              </w:rPr>
              <w:t>竞赛日程安排</w:t>
            </w:r>
          </w:p>
        </w:tc>
      </w:tr>
      <w:tr>
        <w:tblPrEx>
          <w:tblLayout w:type="fixed"/>
          <w:tblCellMar>
            <w:top w:w="0" w:type="dxa"/>
            <w:left w:w="0" w:type="dxa"/>
            <w:bottom w:w="0" w:type="dxa"/>
            <w:right w:w="0" w:type="dxa"/>
          </w:tblCellMar>
        </w:tblPrEx>
        <w:trPr>
          <w:trHeight w:val="567"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黑体" w:hAnsi="黑体" w:eastAsia="黑体" w:cs="黑体"/>
                <w:sz w:val="28"/>
                <w:szCs w:val="28"/>
              </w:rPr>
            </w:pPr>
            <w:r>
              <w:rPr>
                <w:rFonts w:hint="eastAsia" w:ascii="黑体" w:hAnsi="黑体" w:eastAsia="黑体" w:cs="黑体"/>
                <w:sz w:val="28"/>
                <w:szCs w:val="28"/>
              </w:rPr>
              <w:t>日期</w:t>
            </w: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黑体" w:hAnsi="黑体" w:eastAsia="黑体" w:cs="黑体"/>
                <w:sz w:val="28"/>
                <w:szCs w:val="28"/>
              </w:rPr>
            </w:pPr>
            <w:r>
              <w:rPr>
                <w:rFonts w:hint="eastAsia" w:ascii="黑体" w:hAnsi="黑体" w:eastAsia="黑体" w:cs="黑体"/>
                <w:sz w:val="28"/>
                <w:szCs w:val="28"/>
              </w:rPr>
              <w:t>时间</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黑体" w:hAnsi="黑体" w:eastAsia="黑体" w:cs="黑体"/>
                <w:sz w:val="28"/>
                <w:szCs w:val="28"/>
              </w:rPr>
            </w:pPr>
            <w:r>
              <w:rPr>
                <w:rFonts w:hint="eastAsia" w:ascii="黑体" w:hAnsi="黑体" w:eastAsia="黑体" w:cs="黑体"/>
                <w:sz w:val="28"/>
                <w:szCs w:val="28"/>
              </w:rPr>
              <w:t>具体安排</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黑体" w:hAnsi="黑体" w:eastAsia="黑体" w:cs="黑体"/>
                <w:sz w:val="28"/>
                <w:szCs w:val="28"/>
              </w:rPr>
            </w:pPr>
            <w:r>
              <w:rPr>
                <w:rFonts w:hint="eastAsia" w:ascii="黑体" w:hAnsi="黑体" w:eastAsia="黑体" w:cs="黑体"/>
                <w:sz w:val="28"/>
                <w:szCs w:val="28"/>
              </w:rPr>
              <w:t>地点</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黑体" w:hAnsi="黑体" w:eastAsia="黑体" w:cs="黑体"/>
                <w:sz w:val="28"/>
                <w:szCs w:val="28"/>
              </w:rPr>
            </w:pPr>
            <w:r>
              <w:rPr>
                <w:rFonts w:hint="eastAsia" w:ascii="黑体" w:hAnsi="黑体" w:eastAsia="黑体" w:cs="黑体"/>
                <w:sz w:val="28"/>
                <w:szCs w:val="28"/>
              </w:rPr>
              <w:t>参加人员</w:t>
            </w:r>
          </w:p>
        </w:tc>
      </w:tr>
      <w:tr>
        <w:tblPrEx>
          <w:tblLayout w:type="fixed"/>
          <w:tblCellMar>
            <w:top w:w="0" w:type="dxa"/>
            <w:left w:w="0" w:type="dxa"/>
            <w:bottom w:w="0" w:type="dxa"/>
            <w:right w:w="0" w:type="dxa"/>
          </w:tblCellMar>
        </w:tblPrEx>
        <w:trPr>
          <w:trHeight w:val="567" w:hRule="atLeast"/>
        </w:trPr>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eastAsia="仿宋_GB2312"/>
                <w:sz w:val="24"/>
                <w:szCs w:val="24"/>
              </w:rPr>
            </w:pPr>
            <w:r>
              <w:rPr>
                <w:rFonts w:hint="eastAsia" w:ascii="仿宋_GB2312" w:eastAsia="仿宋_GB2312"/>
                <w:sz w:val="24"/>
                <w:szCs w:val="24"/>
                <w:lang w:eastAsia="zh-CN"/>
              </w:rPr>
              <w:t>11月13日</w:t>
            </w: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eastAsia="仿宋_GB2312"/>
                <w:sz w:val="24"/>
                <w:szCs w:val="24"/>
              </w:rPr>
            </w:pPr>
            <w:r>
              <w:rPr>
                <w:rFonts w:hint="eastAsia" w:ascii="仿宋_GB2312" w:eastAsia="仿宋_GB2312"/>
                <w:sz w:val="24"/>
                <w:szCs w:val="24"/>
              </w:rPr>
              <w:t>14</w:t>
            </w:r>
            <w:r>
              <w:rPr>
                <w:rFonts w:ascii="仿宋_GB2312" w:eastAsia="仿宋_GB2312"/>
                <w:sz w:val="24"/>
                <w:szCs w:val="24"/>
              </w:rPr>
              <w:t>：</w:t>
            </w:r>
            <w:r>
              <w:rPr>
                <w:rFonts w:hint="eastAsia" w:ascii="仿宋_GB2312" w:eastAsia="仿宋_GB2312"/>
                <w:sz w:val="24"/>
                <w:szCs w:val="24"/>
              </w:rPr>
              <w:t>00—15</w:t>
            </w:r>
            <w:r>
              <w:rPr>
                <w:rFonts w:ascii="仿宋_GB2312" w:eastAsia="仿宋_GB2312"/>
                <w:sz w:val="24"/>
                <w:szCs w:val="24"/>
              </w:rPr>
              <w:t>：</w:t>
            </w:r>
            <w:r>
              <w:rPr>
                <w:rFonts w:hint="eastAsia" w:ascii="仿宋_GB2312" w:eastAsia="仿宋_GB2312"/>
                <w:sz w:val="24"/>
                <w:szCs w:val="24"/>
              </w:rPr>
              <w:t>00</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jc w:val="center"/>
              <w:rPr>
                <w:rFonts w:ascii="仿宋_GB2312" w:eastAsia="仿宋_GB2312"/>
                <w:sz w:val="24"/>
                <w:szCs w:val="24"/>
              </w:rPr>
            </w:pPr>
            <w:r>
              <w:rPr>
                <w:rFonts w:hint="eastAsia" w:ascii="仿宋_GB2312" w:eastAsia="仿宋_GB2312"/>
                <w:sz w:val="24"/>
                <w:szCs w:val="24"/>
              </w:rPr>
              <w:t>选手报到</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jc w:val="center"/>
              <w:rPr>
                <w:rFonts w:ascii="仿宋_GB2312" w:eastAsia="仿宋_GB2312"/>
                <w:sz w:val="24"/>
                <w:szCs w:val="24"/>
                <w:lang w:eastAsia="zh-CN"/>
              </w:rPr>
            </w:pPr>
            <w:r>
              <w:rPr>
                <w:rFonts w:hint="eastAsia" w:ascii="仿宋_GB2312" w:eastAsia="仿宋_GB2312"/>
                <w:sz w:val="24"/>
                <w:szCs w:val="24"/>
                <w:lang w:eastAsia="zh-CN"/>
              </w:rPr>
              <w:t>3301</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jc w:val="center"/>
              <w:rPr>
                <w:rFonts w:ascii="仿宋_GB2312" w:eastAsia="仿宋_GB2312"/>
                <w:sz w:val="24"/>
                <w:szCs w:val="24"/>
              </w:rPr>
            </w:pPr>
            <w:r>
              <w:rPr>
                <w:rFonts w:hint="eastAsia" w:ascii="仿宋_GB2312" w:eastAsia="仿宋_GB2312"/>
                <w:sz w:val="24"/>
                <w:szCs w:val="24"/>
              </w:rPr>
              <w:t>工作人员、参赛队</w:t>
            </w:r>
          </w:p>
        </w:tc>
      </w:tr>
      <w:tr>
        <w:tblPrEx>
          <w:tblLayout w:type="fixed"/>
          <w:tblCellMar>
            <w:top w:w="0" w:type="dxa"/>
            <w:left w:w="0" w:type="dxa"/>
            <w:bottom w:w="0" w:type="dxa"/>
            <w:right w:w="0" w:type="dxa"/>
          </w:tblCellMar>
        </w:tblPrEx>
        <w:trPr>
          <w:trHeight w:val="567"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jc w:val="center"/>
              <w:rPr>
                <w:rFonts w:ascii="仿宋_GB2312" w:eastAsia="仿宋_GB2312"/>
                <w:sz w:val="24"/>
                <w:szCs w:val="24"/>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15</w:t>
            </w:r>
            <w:r>
              <w:rPr>
                <w:rFonts w:ascii="仿宋_GB2312" w:eastAsia="仿宋_GB2312"/>
                <w:sz w:val="24"/>
                <w:szCs w:val="24"/>
              </w:rPr>
              <w:t>：</w:t>
            </w:r>
            <w:r>
              <w:rPr>
                <w:rFonts w:hint="eastAsia" w:ascii="仿宋_GB2312" w:eastAsia="仿宋_GB2312"/>
                <w:sz w:val="24"/>
                <w:szCs w:val="24"/>
              </w:rPr>
              <w:t>00—16</w:t>
            </w:r>
            <w:r>
              <w:rPr>
                <w:rFonts w:ascii="仿宋_GB2312" w:eastAsia="仿宋_GB2312"/>
                <w:sz w:val="24"/>
                <w:szCs w:val="24"/>
              </w:rPr>
              <w:t>：</w:t>
            </w:r>
            <w:r>
              <w:rPr>
                <w:rFonts w:hint="eastAsia" w:ascii="仿宋_GB2312" w:eastAsia="仿宋_GB2312"/>
                <w:sz w:val="24"/>
                <w:szCs w:val="24"/>
              </w:rPr>
              <w:t>00</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rPr>
            </w:pPr>
            <w:r>
              <w:rPr>
                <w:rFonts w:hint="eastAsia" w:ascii="仿宋_GB2312" w:eastAsia="仿宋_GB2312"/>
                <w:sz w:val="24"/>
                <w:szCs w:val="24"/>
              </w:rPr>
              <w:t>开幕式、抽取工位</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jc w:val="center"/>
              <w:rPr>
                <w:rFonts w:ascii="仿宋_GB2312" w:eastAsia="仿宋_GB2312"/>
                <w:sz w:val="24"/>
                <w:szCs w:val="24"/>
                <w:lang w:eastAsia="zh-CN"/>
              </w:rPr>
            </w:pPr>
            <w:r>
              <w:rPr>
                <w:rFonts w:hint="eastAsia" w:ascii="仿宋_GB2312" w:eastAsia="仿宋_GB2312"/>
                <w:sz w:val="24"/>
                <w:szCs w:val="24"/>
                <w:lang w:eastAsia="zh-CN"/>
              </w:rPr>
              <w:t>3301</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center"/>
              <w:rPr>
                <w:rFonts w:ascii="仿宋_GB2312" w:eastAsia="仿宋_GB2312"/>
                <w:sz w:val="24"/>
                <w:szCs w:val="24"/>
              </w:rPr>
            </w:pPr>
            <w:r>
              <w:rPr>
                <w:rFonts w:hint="eastAsia" w:ascii="仿宋_GB2312" w:eastAsia="仿宋_GB2312"/>
                <w:sz w:val="24"/>
                <w:szCs w:val="24"/>
              </w:rPr>
              <w:t>全体人员</w:t>
            </w:r>
          </w:p>
        </w:tc>
      </w:tr>
      <w:tr>
        <w:tblPrEx>
          <w:tblLayout w:type="fixed"/>
          <w:tblCellMar>
            <w:top w:w="0" w:type="dxa"/>
            <w:left w:w="0" w:type="dxa"/>
            <w:bottom w:w="0" w:type="dxa"/>
            <w:right w:w="0" w:type="dxa"/>
          </w:tblCellMar>
        </w:tblPrEx>
        <w:trPr>
          <w:trHeight w:val="567"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jc w:val="center"/>
              <w:rPr>
                <w:rFonts w:ascii="仿宋_GB2312" w:eastAsia="仿宋_GB2312"/>
                <w:sz w:val="24"/>
                <w:szCs w:val="24"/>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16</w:t>
            </w:r>
            <w:r>
              <w:rPr>
                <w:rFonts w:ascii="仿宋_GB2312" w:eastAsia="仿宋_GB2312"/>
                <w:sz w:val="24"/>
                <w:szCs w:val="24"/>
              </w:rPr>
              <w:t>：</w:t>
            </w:r>
            <w:r>
              <w:rPr>
                <w:rFonts w:hint="eastAsia" w:ascii="仿宋_GB2312" w:eastAsia="仿宋_GB2312"/>
                <w:sz w:val="24"/>
                <w:szCs w:val="24"/>
              </w:rPr>
              <w:t>00—17</w:t>
            </w:r>
            <w:r>
              <w:rPr>
                <w:rFonts w:ascii="仿宋_GB2312" w:eastAsia="仿宋_GB2312"/>
                <w:sz w:val="24"/>
                <w:szCs w:val="24"/>
              </w:rPr>
              <w:t>：</w:t>
            </w:r>
            <w:r>
              <w:rPr>
                <w:rFonts w:hint="eastAsia" w:ascii="仿宋_GB2312" w:eastAsia="仿宋_GB2312"/>
                <w:sz w:val="24"/>
                <w:szCs w:val="24"/>
              </w:rPr>
              <w:t>00</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rPr>
            </w:pPr>
            <w:r>
              <w:rPr>
                <w:rFonts w:hint="eastAsia" w:ascii="仿宋_GB2312" w:eastAsia="仿宋_GB2312"/>
                <w:sz w:val="24"/>
                <w:szCs w:val="24"/>
              </w:rPr>
              <w:t>裁判会议</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jc w:val="center"/>
              <w:rPr>
                <w:rFonts w:ascii="仿宋_GB2312" w:eastAsia="仿宋_GB2312"/>
                <w:sz w:val="24"/>
                <w:szCs w:val="24"/>
                <w:lang w:eastAsia="zh-CN"/>
              </w:rPr>
            </w:pPr>
            <w:r>
              <w:rPr>
                <w:rFonts w:hint="eastAsia" w:ascii="仿宋_GB2312" w:eastAsia="仿宋_GB2312"/>
                <w:sz w:val="24"/>
                <w:szCs w:val="24"/>
                <w:lang w:eastAsia="zh-CN"/>
              </w:rPr>
              <w:t>2101</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center"/>
              <w:rPr>
                <w:rFonts w:ascii="仿宋_GB2312" w:eastAsia="仿宋_GB2312"/>
                <w:sz w:val="24"/>
                <w:szCs w:val="24"/>
              </w:rPr>
            </w:pPr>
            <w:r>
              <w:rPr>
                <w:rFonts w:hint="eastAsia" w:ascii="仿宋_GB2312" w:eastAsia="仿宋_GB2312"/>
                <w:sz w:val="24"/>
                <w:szCs w:val="24"/>
              </w:rPr>
              <w:t>全体裁判员</w:t>
            </w:r>
          </w:p>
        </w:tc>
      </w:tr>
      <w:tr>
        <w:tblPrEx>
          <w:tblLayout w:type="fixed"/>
          <w:tblCellMar>
            <w:top w:w="0" w:type="dxa"/>
            <w:left w:w="0" w:type="dxa"/>
            <w:bottom w:w="0" w:type="dxa"/>
            <w:right w:w="0" w:type="dxa"/>
          </w:tblCellMar>
        </w:tblPrEx>
        <w:trPr>
          <w:trHeight w:val="567"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jc w:val="center"/>
              <w:rPr>
                <w:rFonts w:ascii="仿宋_GB2312" w:eastAsia="仿宋_GB2312"/>
                <w:sz w:val="24"/>
                <w:szCs w:val="24"/>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16</w:t>
            </w:r>
            <w:r>
              <w:rPr>
                <w:rFonts w:ascii="仿宋_GB2312" w:eastAsia="仿宋_GB2312"/>
                <w:sz w:val="24"/>
                <w:szCs w:val="24"/>
              </w:rPr>
              <w:t>：</w:t>
            </w:r>
            <w:r>
              <w:rPr>
                <w:rFonts w:hint="eastAsia" w:ascii="仿宋_GB2312" w:eastAsia="仿宋_GB2312"/>
                <w:sz w:val="24"/>
                <w:szCs w:val="24"/>
              </w:rPr>
              <w:t>00—17</w:t>
            </w:r>
            <w:r>
              <w:rPr>
                <w:rFonts w:ascii="仿宋_GB2312" w:eastAsia="仿宋_GB2312"/>
                <w:sz w:val="24"/>
                <w:szCs w:val="24"/>
              </w:rPr>
              <w:t>：</w:t>
            </w:r>
            <w:r>
              <w:rPr>
                <w:rFonts w:hint="eastAsia" w:ascii="仿宋_GB2312" w:eastAsia="仿宋_GB2312"/>
                <w:sz w:val="24"/>
                <w:szCs w:val="24"/>
              </w:rPr>
              <w:t>00</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rPr>
            </w:pPr>
            <w:r>
              <w:rPr>
                <w:rFonts w:hint="eastAsia" w:ascii="仿宋_GB2312" w:eastAsia="仿宋_GB2312"/>
                <w:sz w:val="24"/>
                <w:szCs w:val="24"/>
              </w:rPr>
              <w:t>体验赛场</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jc w:val="center"/>
              <w:rPr>
                <w:rFonts w:ascii="仿宋_GB2312" w:eastAsia="仿宋_GB2312"/>
                <w:sz w:val="24"/>
                <w:szCs w:val="24"/>
                <w:lang w:eastAsia="zh-CN"/>
              </w:rPr>
            </w:pPr>
            <w:r>
              <w:rPr>
                <w:rFonts w:hint="eastAsia" w:ascii="仿宋_GB2312" w:eastAsia="仿宋_GB2312"/>
                <w:sz w:val="24"/>
                <w:szCs w:val="24"/>
                <w:lang w:eastAsia="zh-CN"/>
              </w:rPr>
              <w:t>2102、2109</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center"/>
              <w:rPr>
                <w:rFonts w:ascii="仿宋_GB2312" w:eastAsia="仿宋_GB2312"/>
                <w:sz w:val="24"/>
                <w:szCs w:val="24"/>
              </w:rPr>
            </w:pPr>
            <w:r>
              <w:rPr>
                <w:rFonts w:hint="eastAsia" w:ascii="仿宋_GB2312" w:eastAsia="仿宋_GB2312"/>
                <w:sz w:val="24"/>
                <w:szCs w:val="24"/>
              </w:rPr>
              <w:t>全体选手</w:t>
            </w:r>
          </w:p>
        </w:tc>
      </w:tr>
      <w:tr>
        <w:tblPrEx>
          <w:tblLayout w:type="fixed"/>
          <w:tblCellMar>
            <w:top w:w="0" w:type="dxa"/>
            <w:left w:w="0" w:type="dxa"/>
            <w:bottom w:w="0" w:type="dxa"/>
            <w:right w:w="0" w:type="dxa"/>
          </w:tblCellMar>
        </w:tblPrEx>
        <w:trPr>
          <w:trHeight w:val="567" w:hRule="atLeast"/>
        </w:trPr>
        <w:tc>
          <w:tcPr>
            <w:tcW w:w="8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eastAsia="仿宋_GB2312"/>
                <w:sz w:val="24"/>
                <w:szCs w:val="24"/>
              </w:rPr>
            </w:pPr>
            <w:r>
              <w:rPr>
                <w:rFonts w:hint="eastAsia" w:ascii="仿宋_GB2312" w:eastAsia="仿宋_GB2312"/>
                <w:sz w:val="24"/>
                <w:szCs w:val="24"/>
                <w:lang w:eastAsia="zh-CN"/>
              </w:rPr>
              <w:t>11月14日</w:t>
            </w: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lang w:eastAsia="zh-CN"/>
              </w:rPr>
            </w:pPr>
            <w:r>
              <w:rPr>
                <w:rFonts w:hint="eastAsia" w:ascii="仿宋_GB2312" w:eastAsia="仿宋_GB2312"/>
                <w:sz w:val="24"/>
                <w:szCs w:val="24"/>
                <w:lang w:eastAsia="zh-CN"/>
              </w:rPr>
              <w:t>8</w:t>
            </w:r>
            <w:r>
              <w:rPr>
                <w:rFonts w:ascii="仿宋_GB2312" w:eastAsia="仿宋_GB2312"/>
                <w:sz w:val="24"/>
                <w:szCs w:val="24"/>
              </w:rPr>
              <w:t>：</w:t>
            </w:r>
            <w:r>
              <w:rPr>
                <w:rFonts w:hint="eastAsia" w:ascii="仿宋_GB2312" w:eastAsia="仿宋_GB2312"/>
                <w:sz w:val="24"/>
                <w:szCs w:val="24"/>
              </w:rPr>
              <w:t>00</w:t>
            </w:r>
            <w:r>
              <w:rPr>
                <w:rFonts w:ascii="仿宋_GB2312" w:eastAsia="仿宋_GB2312"/>
                <w:sz w:val="24"/>
                <w:szCs w:val="24"/>
              </w:rPr>
              <w:t>—</w:t>
            </w:r>
            <w:r>
              <w:rPr>
                <w:rFonts w:hint="eastAsia" w:ascii="仿宋_GB2312" w:eastAsia="仿宋_GB2312"/>
                <w:sz w:val="24"/>
                <w:szCs w:val="24"/>
              </w:rPr>
              <w:t>8</w:t>
            </w:r>
            <w:r>
              <w:rPr>
                <w:rFonts w:ascii="仿宋_GB2312" w:eastAsia="仿宋_GB2312"/>
                <w:sz w:val="24"/>
                <w:szCs w:val="24"/>
              </w:rPr>
              <w:t>：</w:t>
            </w:r>
            <w:r>
              <w:rPr>
                <w:rFonts w:hint="eastAsia" w:ascii="仿宋_GB2312" w:eastAsia="仿宋_GB2312"/>
                <w:sz w:val="24"/>
                <w:szCs w:val="24"/>
                <w:lang w:eastAsia="zh-CN"/>
              </w:rPr>
              <w:t>20</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rPr>
            </w:pPr>
            <w:r>
              <w:rPr>
                <w:rFonts w:hint="eastAsia" w:ascii="仿宋_GB2312" w:eastAsia="仿宋_GB2312"/>
                <w:sz w:val="24"/>
                <w:szCs w:val="24"/>
              </w:rPr>
              <w:t>选手检录</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jc w:val="center"/>
              <w:rPr>
                <w:rFonts w:ascii="仿宋_GB2312" w:eastAsia="仿宋_GB2312"/>
                <w:sz w:val="24"/>
                <w:szCs w:val="24"/>
              </w:rPr>
            </w:pPr>
            <w:r>
              <w:rPr>
                <w:rFonts w:hint="eastAsia" w:ascii="仿宋_GB2312" w:eastAsia="仿宋_GB2312"/>
                <w:sz w:val="24"/>
                <w:szCs w:val="24"/>
                <w:lang w:eastAsia="zh-CN"/>
              </w:rPr>
              <w:t>2102、2109</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center"/>
              <w:rPr>
                <w:rFonts w:ascii="仿宋_GB2312" w:eastAsia="仿宋_GB2312"/>
                <w:sz w:val="24"/>
                <w:szCs w:val="24"/>
              </w:rPr>
            </w:pPr>
            <w:r>
              <w:rPr>
                <w:rFonts w:hint="eastAsia" w:ascii="仿宋_GB2312" w:eastAsia="仿宋_GB2312"/>
                <w:sz w:val="24"/>
                <w:szCs w:val="24"/>
              </w:rPr>
              <w:t>全体选手、检录人员</w:t>
            </w:r>
          </w:p>
        </w:tc>
      </w:tr>
      <w:tr>
        <w:tblPrEx>
          <w:tblLayout w:type="fixed"/>
          <w:tblCellMar>
            <w:top w:w="0" w:type="dxa"/>
            <w:left w:w="0" w:type="dxa"/>
            <w:bottom w:w="0" w:type="dxa"/>
            <w:right w:w="0" w:type="dxa"/>
          </w:tblCellMar>
        </w:tblPrEx>
        <w:trPr>
          <w:trHeight w:val="567" w:hRule="atLeast"/>
        </w:trPr>
        <w:tc>
          <w:tcPr>
            <w:tcW w:w="8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ind w:firstLine="200"/>
              <w:jc w:val="center"/>
              <w:rPr>
                <w:rFonts w:ascii="仿宋_GB2312" w:eastAsia="仿宋_GB2312"/>
                <w:sz w:val="24"/>
                <w:szCs w:val="24"/>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8</w:t>
            </w:r>
            <w:r>
              <w:rPr>
                <w:rFonts w:ascii="仿宋_GB2312" w:eastAsia="仿宋_GB2312"/>
                <w:sz w:val="24"/>
                <w:szCs w:val="24"/>
              </w:rPr>
              <w:t>：</w:t>
            </w:r>
            <w:r>
              <w:rPr>
                <w:rFonts w:hint="eastAsia" w:ascii="仿宋_GB2312" w:eastAsia="仿宋_GB2312"/>
                <w:sz w:val="24"/>
                <w:szCs w:val="24"/>
                <w:lang w:eastAsia="zh-CN"/>
              </w:rPr>
              <w:t>20</w:t>
            </w:r>
            <w:r>
              <w:rPr>
                <w:rFonts w:hint="eastAsia" w:ascii="仿宋_GB2312" w:eastAsia="仿宋_GB2312"/>
                <w:sz w:val="24"/>
                <w:szCs w:val="24"/>
              </w:rPr>
              <w:t>—8</w:t>
            </w:r>
            <w:r>
              <w:rPr>
                <w:rFonts w:ascii="仿宋_GB2312" w:eastAsia="仿宋_GB2312"/>
                <w:sz w:val="24"/>
                <w:szCs w:val="24"/>
              </w:rPr>
              <w:t>：</w:t>
            </w:r>
            <w:r>
              <w:rPr>
                <w:rFonts w:hint="eastAsia" w:ascii="仿宋_GB2312" w:eastAsia="仿宋_GB2312"/>
                <w:sz w:val="24"/>
                <w:szCs w:val="24"/>
              </w:rPr>
              <w:t>30</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rPr>
            </w:pPr>
            <w:r>
              <w:rPr>
                <w:rFonts w:hint="eastAsia" w:ascii="仿宋_GB2312" w:eastAsia="仿宋_GB2312"/>
                <w:sz w:val="24"/>
                <w:szCs w:val="24"/>
              </w:rPr>
              <w:t>入座工位准备</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jc w:val="center"/>
              <w:rPr>
                <w:rFonts w:ascii="仿宋_GB2312" w:eastAsia="仿宋_GB2312"/>
                <w:sz w:val="24"/>
                <w:szCs w:val="24"/>
                <w:lang w:eastAsia="zh-CN"/>
              </w:rPr>
            </w:pPr>
            <w:r>
              <w:rPr>
                <w:rFonts w:hint="eastAsia" w:ascii="仿宋_GB2312" w:eastAsia="仿宋_GB2312"/>
                <w:sz w:val="24"/>
                <w:szCs w:val="24"/>
                <w:lang w:eastAsia="zh-CN"/>
              </w:rPr>
              <w:t>/</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center"/>
              <w:rPr>
                <w:rFonts w:ascii="仿宋_GB2312" w:eastAsia="仿宋_GB2312"/>
                <w:sz w:val="24"/>
                <w:szCs w:val="24"/>
              </w:rPr>
            </w:pPr>
            <w:r>
              <w:rPr>
                <w:rFonts w:hint="eastAsia" w:ascii="仿宋_GB2312" w:eastAsia="仿宋_GB2312"/>
                <w:sz w:val="24"/>
                <w:szCs w:val="24"/>
              </w:rPr>
              <w:t>全体选手</w:t>
            </w:r>
          </w:p>
        </w:tc>
      </w:tr>
      <w:tr>
        <w:tblPrEx>
          <w:tblLayout w:type="fixed"/>
          <w:tblCellMar>
            <w:top w:w="0" w:type="dxa"/>
            <w:left w:w="0" w:type="dxa"/>
            <w:bottom w:w="0" w:type="dxa"/>
            <w:right w:w="0" w:type="dxa"/>
          </w:tblCellMar>
        </w:tblPrEx>
        <w:trPr>
          <w:trHeight w:val="567" w:hRule="atLeast"/>
        </w:trPr>
        <w:tc>
          <w:tcPr>
            <w:tcW w:w="8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ind w:firstLine="200"/>
              <w:jc w:val="center"/>
              <w:rPr>
                <w:rFonts w:ascii="仿宋_GB2312" w:eastAsia="仿宋_GB2312"/>
                <w:sz w:val="24"/>
                <w:szCs w:val="24"/>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8</w:t>
            </w:r>
            <w:r>
              <w:rPr>
                <w:rFonts w:ascii="仿宋_GB2312" w:eastAsia="仿宋_GB2312"/>
                <w:sz w:val="24"/>
                <w:szCs w:val="24"/>
              </w:rPr>
              <w:t>：</w:t>
            </w:r>
            <w:r>
              <w:rPr>
                <w:rFonts w:hint="eastAsia" w:ascii="仿宋_GB2312" w:eastAsia="仿宋_GB2312"/>
                <w:sz w:val="24"/>
                <w:szCs w:val="24"/>
              </w:rPr>
              <w:t>30</w:t>
            </w:r>
            <w:r>
              <w:rPr>
                <w:rFonts w:ascii="仿宋_GB2312" w:eastAsia="仿宋_GB2312"/>
                <w:sz w:val="24"/>
                <w:szCs w:val="24"/>
              </w:rPr>
              <w:t>—</w:t>
            </w:r>
            <w:r>
              <w:rPr>
                <w:rFonts w:hint="eastAsia" w:ascii="仿宋_GB2312" w:eastAsia="仿宋_GB2312"/>
                <w:sz w:val="24"/>
                <w:szCs w:val="24"/>
              </w:rPr>
              <w:t>11</w:t>
            </w:r>
            <w:r>
              <w:rPr>
                <w:rFonts w:ascii="仿宋_GB2312" w:eastAsia="仿宋_GB2312"/>
                <w:sz w:val="24"/>
                <w:szCs w:val="24"/>
              </w:rPr>
              <w:t>：</w:t>
            </w:r>
            <w:r>
              <w:rPr>
                <w:rFonts w:hint="eastAsia" w:ascii="仿宋_GB2312" w:eastAsia="仿宋_GB2312"/>
                <w:sz w:val="24"/>
                <w:szCs w:val="24"/>
              </w:rPr>
              <w:t>30</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rPr>
            </w:pPr>
            <w:r>
              <w:rPr>
                <w:rFonts w:hint="eastAsia" w:ascii="仿宋_GB2312" w:eastAsia="仿宋_GB2312"/>
                <w:sz w:val="24"/>
                <w:szCs w:val="24"/>
              </w:rPr>
              <w:t>第一场竞赛</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jc w:val="center"/>
              <w:rPr>
                <w:rFonts w:ascii="仿宋_GB2312" w:eastAsia="仿宋_GB2312"/>
                <w:sz w:val="24"/>
                <w:szCs w:val="24"/>
              </w:rPr>
            </w:pPr>
            <w:r>
              <w:rPr>
                <w:rFonts w:hint="eastAsia" w:ascii="仿宋_GB2312" w:eastAsia="仿宋_GB2312"/>
                <w:sz w:val="24"/>
                <w:szCs w:val="24"/>
                <w:lang w:eastAsia="zh-CN"/>
              </w:rPr>
              <w:t>2102、2109</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center"/>
              <w:rPr>
                <w:rFonts w:ascii="仿宋_GB2312" w:eastAsia="仿宋_GB2312"/>
                <w:sz w:val="24"/>
                <w:szCs w:val="24"/>
              </w:rPr>
            </w:pPr>
            <w:r>
              <w:rPr>
                <w:rFonts w:hint="eastAsia" w:ascii="仿宋_GB2312" w:eastAsia="仿宋_GB2312"/>
                <w:sz w:val="24"/>
                <w:szCs w:val="24"/>
              </w:rPr>
              <w:t>全体选手、裁判员</w:t>
            </w:r>
          </w:p>
        </w:tc>
      </w:tr>
      <w:tr>
        <w:tblPrEx>
          <w:tblLayout w:type="fixed"/>
          <w:tblCellMar>
            <w:top w:w="0" w:type="dxa"/>
            <w:left w:w="0" w:type="dxa"/>
            <w:bottom w:w="0" w:type="dxa"/>
            <w:right w:w="0" w:type="dxa"/>
          </w:tblCellMar>
        </w:tblPrEx>
        <w:trPr>
          <w:trHeight w:val="567" w:hRule="atLeast"/>
        </w:trPr>
        <w:tc>
          <w:tcPr>
            <w:tcW w:w="8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ind w:firstLine="200"/>
              <w:jc w:val="center"/>
              <w:rPr>
                <w:rFonts w:ascii="仿宋_GB2312" w:eastAsia="仿宋_GB2312"/>
                <w:sz w:val="24"/>
                <w:szCs w:val="24"/>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11：30</w:t>
            </w:r>
            <w:r>
              <w:rPr>
                <w:rFonts w:ascii="仿宋_GB2312" w:eastAsia="仿宋_GB2312"/>
                <w:sz w:val="24"/>
                <w:szCs w:val="24"/>
              </w:rPr>
              <w:t>—</w:t>
            </w:r>
            <w:r>
              <w:rPr>
                <w:rFonts w:hint="eastAsia" w:ascii="仿宋_GB2312" w:eastAsia="仿宋_GB2312"/>
                <w:sz w:val="24"/>
                <w:szCs w:val="24"/>
              </w:rPr>
              <w:t>12:15</w:t>
            </w:r>
          </w:p>
        </w:tc>
        <w:tc>
          <w:tcPr>
            <w:tcW w:w="62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rPr>
            </w:pPr>
            <w:r>
              <w:rPr>
                <w:rFonts w:hint="eastAsia" w:ascii="仿宋_GB2312" w:eastAsia="仿宋_GB2312"/>
                <w:sz w:val="24"/>
                <w:szCs w:val="24"/>
              </w:rPr>
              <w:t>午餐</w:t>
            </w:r>
          </w:p>
        </w:tc>
      </w:tr>
      <w:tr>
        <w:tblPrEx>
          <w:tblLayout w:type="fixed"/>
          <w:tblCellMar>
            <w:top w:w="0" w:type="dxa"/>
            <w:left w:w="0" w:type="dxa"/>
            <w:bottom w:w="0" w:type="dxa"/>
            <w:right w:w="0" w:type="dxa"/>
          </w:tblCellMar>
        </w:tblPrEx>
        <w:trPr>
          <w:trHeight w:val="567" w:hRule="atLeast"/>
        </w:trPr>
        <w:tc>
          <w:tcPr>
            <w:tcW w:w="8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ind w:firstLine="200"/>
              <w:jc w:val="center"/>
              <w:rPr>
                <w:rFonts w:ascii="仿宋_GB2312" w:eastAsia="仿宋_GB2312"/>
                <w:sz w:val="24"/>
                <w:szCs w:val="24"/>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12</w:t>
            </w:r>
            <w:r>
              <w:rPr>
                <w:rFonts w:ascii="仿宋_GB2312" w:eastAsia="仿宋_GB2312"/>
                <w:sz w:val="24"/>
                <w:szCs w:val="24"/>
              </w:rPr>
              <w:t>：</w:t>
            </w:r>
            <w:r>
              <w:rPr>
                <w:rFonts w:hint="eastAsia" w:ascii="仿宋_GB2312" w:eastAsia="仿宋_GB2312"/>
                <w:sz w:val="24"/>
                <w:szCs w:val="24"/>
              </w:rPr>
              <w:t>15</w:t>
            </w:r>
            <w:r>
              <w:rPr>
                <w:rFonts w:ascii="仿宋_GB2312" w:eastAsia="仿宋_GB2312"/>
                <w:sz w:val="24"/>
                <w:szCs w:val="24"/>
              </w:rPr>
              <w:t>—</w:t>
            </w:r>
            <w:r>
              <w:rPr>
                <w:rFonts w:hint="eastAsia" w:ascii="仿宋_GB2312" w:eastAsia="仿宋_GB2312"/>
                <w:sz w:val="24"/>
                <w:szCs w:val="24"/>
              </w:rPr>
              <w:t>12</w:t>
            </w:r>
            <w:r>
              <w:rPr>
                <w:rFonts w:ascii="仿宋_GB2312" w:eastAsia="仿宋_GB2312"/>
                <w:sz w:val="24"/>
                <w:szCs w:val="24"/>
              </w:rPr>
              <w:t>：</w:t>
            </w:r>
            <w:r>
              <w:rPr>
                <w:rFonts w:hint="eastAsia" w:ascii="仿宋_GB2312" w:eastAsia="仿宋_GB2312"/>
                <w:sz w:val="24"/>
                <w:szCs w:val="24"/>
              </w:rPr>
              <w:t>30</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lang w:eastAsia="zh-CN"/>
              </w:rPr>
            </w:pPr>
            <w:r>
              <w:rPr>
                <w:rFonts w:hint="eastAsia" w:ascii="仿宋_GB2312" w:eastAsia="仿宋_GB2312"/>
                <w:sz w:val="24"/>
                <w:szCs w:val="24"/>
                <w:lang w:eastAsia="zh-CN"/>
              </w:rPr>
              <w:t>选手检录、入座工位准备</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jc w:val="center"/>
              <w:rPr>
                <w:rFonts w:ascii="仿宋_GB2312" w:eastAsia="仿宋_GB2312"/>
                <w:sz w:val="24"/>
                <w:szCs w:val="24"/>
                <w:lang w:eastAsia="zh-CN"/>
              </w:rPr>
            </w:pPr>
            <w:r>
              <w:rPr>
                <w:rFonts w:hint="eastAsia" w:ascii="仿宋_GB2312" w:eastAsia="仿宋_GB2312"/>
                <w:sz w:val="24"/>
                <w:szCs w:val="24"/>
                <w:lang w:eastAsia="zh-CN"/>
              </w:rPr>
              <w:t>2102、2109</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center"/>
              <w:rPr>
                <w:rFonts w:ascii="仿宋_GB2312" w:eastAsia="仿宋_GB2312"/>
                <w:sz w:val="24"/>
                <w:szCs w:val="24"/>
              </w:rPr>
            </w:pPr>
            <w:r>
              <w:rPr>
                <w:rFonts w:hint="eastAsia" w:ascii="仿宋_GB2312" w:eastAsia="仿宋_GB2312"/>
                <w:sz w:val="24"/>
                <w:szCs w:val="24"/>
              </w:rPr>
              <w:t>全体选手、检录人员</w:t>
            </w:r>
          </w:p>
        </w:tc>
      </w:tr>
      <w:tr>
        <w:tblPrEx>
          <w:tblLayout w:type="fixed"/>
          <w:tblCellMar>
            <w:top w:w="0" w:type="dxa"/>
            <w:left w:w="0" w:type="dxa"/>
            <w:bottom w:w="0" w:type="dxa"/>
            <w:right w:w="0" w:type="dxa"/>
          </w:tblCellMar>
        </w:tblPrEx>
        <w:trPr>
          <w:trHeight w:val="567" w:hRule="atLeast"/>
        </w:trPr>
        <w:tc>
          <w:tcPr>
            <w:tcW w:w="8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ind w:firstLine="200"/>
              <w:jc w:val="center"/>
              <w:rPr>
                <w:rFonts w:ascii="仿宋_GB2312" w:eastAsia="仿宋_GB2312"/>
                <w:sz w:val="24"/>
                <w:szCs w:val="24"/>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12</w:t>
            </w:r>
            <w:r>
              <w:rPr>
                <w:rFonts w:ascii="仿宋_GB2312" w:eastAsia="仿宋_GB2312"/>
                <w:sz w:val="24"/>
                <w:szCs w:val="24"/>
              </w:rPr>
              <w:t>：</w:t>
            </w:r>
            <w:r>
              <w:rPr>
                <w:rFonts w:hint="eastAsia" w:ascii="仿宋_GB2312" w:eastAsia="仿宋_GB2312"/>
                <w:sz w:val="24"/>
                <w:szCs w:val="24"/>
              </w:rPr>
              <w:t>30</w:t>
            </w:r>
            <w:r>
              <w:rPr>
                <w:rFonts w:ascii="仿宋_GB2312" w:eastAsia="仿宋_GB2312"/>
                <w:sz w:val="24"/>
                <w:szCs w:val="24"/>
              </w:rPr>
              <w:t>—</w:t>
            </w:r>
            <w:r>
              <w:rPr>
                <w:rFonts w:hint="eastAsia" w:ascii="仿宋_GB2312" w:eastAsia="仿宋_GB2312"/>
                <w:sz w:val="24"/>
                <w:szCs w:val="24"/>
              </w:rPr>
              <w:t>15</w:t>
            </w:r>
            <w:r>
              <w:rPr>
                <w:rFonts w:ascii="仿宋_GB2312" w:eastAsia="仿宋_GB2312"/>
                <w:sz w:val="24"/>
                <w:szCs w:val="24"/>
              </w:rPr>
              <w:t>：</w:t>
            </w:r>
            <w:r>
              <w:rPr>
                <w:rFonts w:hint="eastAsia" w:ascii="仿宋_GB2312" w:eastAsia="仿宋_GB2312"/>
                <w:sz w:val="24"/>
                <w:szCs w:val="24"/>
              </w:rPr>
              <w:t>30</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rPr>
            </w:pPr>
            <w:r>
              <w:rPr>
                <w:rFonts w:hint="eastAsia" w:ascii="仿宋_GB2312" w:eastAsia="仿宋_GB2312"/>
                <w:sz w:val="24"/>
                <w:szCs w:val="24"/>
              </w:rPr>
              <w:t>第二场竞赛</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jc w:val="center"/>
              <w:rPr>
                <w:rFonts w:ascii="仿宋_GB2312" w:eastAsia="仿宋_GB2312"/>
                <w:sz w:val="24"/>
                <w:szCs w:val="24"/>
              </w:rPr>
            </w:pPr>
            <w:r>
              <w:rPr>
                <w:rFonts w:hint="eastAsia" w:ascii="仿宋_GB2312" w:eastAsia="仿宋_GB2312"/>
                <w:sz w:val="24"/>
                <w:szCs w:val="24"/>
                <w:lang w:eastAsia="zh-CN"/>
              </w:rPr>
              <w:t>2102、2109</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center"/>
              <w:rPr>
                <w:rFonts w:ascii="仿宋_GB2312" w:eastAsia="仿宋_GB2312"/>
                <w:sz w:val="24"/>
                <w:szCs w:val="24"/>
              </w:rPr>
            </w:pPr>
            <w:r>
              <w:rPr>
                <w:rFonts w:hint="eastAsia" w:ascii="仿宋_GB2312" w:eastAsia="仿宋_GB2312"/>
                <w:sz w:val="24"/>
                <w:szCs w:val="24"/>
              </w:rPr>
              <w:t>全体选手、裁判员</w:t>
            </w:r>
          </w:p>
        </w:tc>
      </w:tr>
      <w:tr>
        <w:tblPrEx>
          <w:tblLayout w:type="fixed"/>
          <w:tblCellMar>
            <w:top w:w="0" w:type="dxa"/>
            <w:left w:w="0" w:type="dxa"/>
            <w:bottom w:w="0" w:type="dxa"/>
            <w:right w:w="0" w:type="dxa"/>
          </w:tblCellMar>
        </w:tblPrEx>
        <w:trPr>
          <w:trHeight w:val="567" w:hRule="atLeast"/>
        </w:trPr>
        <w:tc>
          <w:tcPr>
            <w:tcW w:w="8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jc w:val="center"/>
              <w:rPr>
                <w:rFonts w:ascii="仿宋_GB2312" w:eastAsia="仿宋_GB2312"/>
                <w:sz w:val="24"/>
                <w:szCs w:val="24"/>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18</w:t>
            </w:r>
            <w:r>
              <w:rPr>
                <w:rFonts w:ascii="仿宋_GB2312" w:eastAsia="仿宋_GB2312"/>
                <w:sz w:val="24"/>
                <w:szCs w:val="24"/>
              </w:rPr>
              <w:t>：</w:t>
            </w:r>
            <w:r>
              <w:rPr>
                <w:rFonts w:hint="eastAsia" w:ascii="仿宋_GB2312" w:eastAsia="仿宋_GB2312"/>
                <w:sz w:val="24"/>
                <w:szCs w:val="24"/>
              </w:rPr>
              <w:t>00—18</w:t>
            </w:r>
            <w:r>
              <w:rPr>
                <w:rFonts w:ascii="仿宋_GB2312" w:eastAsia="仿宋_GB2312"/>
                <w:sz w:val="24"/>
                <w:szCs w:val="24"/>
              </w:rPr>
              <w:t>：</w:t>
            </w:r>
            <w:r>
              <w:rPr>
                <w:rFonts w:hint="eastAsia" w:ascii="仿宋_GB2312" w:eastAsia="仿宋_GB2312"/>
                <w:sz w:val="24"/>
                <w:szCs w:val="24"/>
              </w:rPr>
              <w:t>30</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rPr>
            </w:pPr>
            <w:r>
              <w:rPr>
                <w:rFonts w:hint="eastAsia" w:ascii="仿宋_GB2312" w:eastAsia="仿宋_GB2312"/>
                <w:sz w:val="24"/>
                <w:szCs w:val="24"/>
              </w:rPr>
              <w:t>闭幕式</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jc w:val="center"/>
              <w:rPr>
                <w:rFonts w:ascii="仿宋_GB2312" w:eastAsia="仿宋_GB2312"/>
                <w:sz w:val="24"/>
                <w:szCs w:val="24"/>
                <w:lang w:eastAsia="zh-CN"/>
              </w:rPr>
            </w:pPr>
            <w:r>
              <w:rPr>
                <w:rFonts w:hint="eastAsia" w:ascii="仿宋_GB2312" w:eastAsia="仿宋_GB2312"/>
                <w:sz w:val="24"/>
                <w:szCs w:val="24"/>
                <w:lang w:eastAsia="zh-CN"/>
              </w:rPr>
              <w:t>3301</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center"/>
              <w:rPr>
                <w:rFonts w:ascii="仿宋_GB2312" w:eastAsia="仿宋_GB2312"/>
                <w:sz w:val="24"/>
                <w:szCs w:val="24"/>
              </w:rPr>
            </w:pPr>
            <w:r>
              <w:rPr>
                <w:rFonts w:hint="eastAsia" w:ascii="仿宋_GB2312" w:eastAsia="仿宋_GB2312"/>
                <w:sz w:val="24"/>
                <w:szCs w:val="24"/>
              </w:rPr>
              <w:t>全体人员</w:t>
            </w:r>
          </w:p>
        </w:tc>
      </w:tr>
    </w:tbl>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0"/>
        <w:rPr>
          <w:rFonts w:ascii="黑体" w:hAnsi="黑体" w:eastAsia="黑体" w:cstheme="minorBidi"/>
          <w:bCs/>
          <w:kern w:val="2"/>
          <w:sz w:val="30"/>
          <w:szCs w:val="30"/>
          <w:lang w:eastAsia="zh-CN"/>
        </w:rPr>
      </w:pPr>
      <w:r>
        <w:rPr>
          <w:rFonts w:hint="eastAsia" w:ascii="黑体" w:hAnsi="黑体" w:eastAsia="黑体" w:cstheme="minorBidi"/>
          <w:bCs/>
          <w:kern w:val="2"/>
          <w:sz w:val="30"/>
          <w:szCs w:val="30"/>
          <w:lang w:eastAsia="zh-CN"/>
        </w:rPr>
        <w:t>六、赛项内容</w:t>
      </w:r>
      <w:bookmarkEnd w:id="0"/>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赛项根据国际货运代理行业前沿发展和职业标准，对接世界技能大赛技术标准要求，围绕国际货运代理行业主要工作任务设置竞赛内容，考察参赛选手货运代理核心职业技能以及逻辑思维能力、时间管理能力和基本的职业素养。</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bCs/>
          <w:sz w:val="30"/>
          <w:szCs w:val="30"/>
          <w:shd w:val="clear" w:color="auto" w:fill="FFFFFF"/>
          <w:lang w:eastAsia="zh-CN"/>
        </w:rPr>
        <w:t>本赛项竞赛内容包括客户沟通、运输路径设计、合同与业务、操作处理、保险、报关、成本与效益、索赔、投诉处理等。</w:t>
      </w:r>
    </w:p>
    <w:p>
      <w:pPr>
        <w:spacing w:line="360" w:lineRule="auto"/>
        <w:ind w:firstLine="560" w:firstLineChars="200"/>
        <w:jc w:val="center"/>
        <w:rPr>
          <w:rFonts w:ascii="黑体" w:hAnsi="黑体" w:eastAsia="黑体" w:cs="楷体_GB2312"/>
          <w:sz w:val="28"/>
          <w:szCs w:val="28"/>
          <w:lang w:eastAsia="zh-CN"/>
        </w:rPr>
      </w:pPr>
      <w:r>
        <w:rPr>
          <w:rFonts w:hint="eastAsia" w:ascii="黑体" w:hAnsi="黑体" w:eastAsia="黑体" w:cs="楷体_GB2312"/>
          <w:sz w:val="28"/>
          <w:szCs w:val="28"/>
          <w:lang w:eastAsia="zh-CN"/>
        </w:rPr>
        <w:t>货运代理竞赛内容一览表</w:t>
      </w:r>
    </w:p>
    <w:tbl>
      <w:tblPr>
        <w:tblStyle w:val="13"/>
        <w:tblW w:w="8840" w:type="dxa"/>
        <w:tblInd w:w="0" w:type="dxa"/>
        <w:tblLayout w:type="fixed"/>
        <w:tblCellMar>
          <w:top w:w="0" w:type="dxa"/>
          <w:left w:w="0" w:type="dxa"/>
          <w:bottom w:w="0" w:type="dxa"/>
          <w:right w:w="0" w:type="dxa"/>
        </w:tblCellMar>
      </w:tblPr>
      <w:tblGrid>
        <w:gridCol w:w="745"/>
        <w:gridCol w:w="744"/>
        <w:gridCol w:w="1240"/>
        <w:gridCol w:w="6111"/>
      </w:tblGrid>
      <w:tr>
        <w:tblPrEx>
          <w:tblLayout w:type="fixed"/>
          <w:tblCellMar>
            <w:top w:w="0" w:type="dxa"/>
            <w:left w:w="0" w:type="dxa"/>
            <w:bottom w:w="0" w:type="dxa"/>
            <w:right w:w="0" w:type="dxa"/>
          </w:tblCellMar>
        </w:tblPrEx>
        <w:trPr>
          <w:trHeight w:val="27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bCs/>
                <w:color w:val="000000"/>
                <w:sz w:val="28"/>
                <w:szCs w:val="28"/>
              </w:rPr>
            </w:pPr>
            <w:r>
              <w:rPr>
                <w:rFonts w:hint="eastAsia" w:ascii="黑体" w:hAnsi="黑体" w:eastAsia="黑体" w:cs="黑体"/>
                <w:bCs/>
                <w:color w:val="000000"/>
                <w:sz w:val="28"/>
                <w:szCs w:val="28"/>
                <w:lang w:bidi="ar"/>
              </w:rPr>
              <w:t>一级指标</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bCs/>
                <w:color w:val="000000"/>
                <w:sz w:val="28"/>
                <w:szCs w:val="28"/>
              </w:rPr>
            </w:pPr>
            <w:r>
              <w:rPr>
                <w:rFonts w:hint="eastAsia" w:ascii="黑体" w:hAnsi="黑体" w:eastAsia="黑体" w:cs="黑体"/>
                <w:bCs/>
                <w:color w:val="000000"/>
                <w:sz w:val="28"/>
                <w:szCs w:val="28"/>
                <w:lang w:bidi="ar"/>
              </w:rPr>
              <w:t>二级指标</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bCs/>
                <w:color w:val="000000"/>
                <w:sz w:val="28"/>
                <w:szCs w:val="28"/>
              </w:rPr>
            </w:pPr>
            <w:r>
              <w:rPr>
                <w:rFonts w:hint="eastAsia" w:ascii="黑体" w:hAnsi="黑体" w:eastAsia="黑体" w:cs="黑体"/>
                <w:bCs/>
                <w:color w:val="000000"/>
                <w:sz w:val="28"/>
                <w:szCs w:val="28"/>
                <w:lang w:bidi="ar"/>
              </w:rPr>
              <w:t>三级指标</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bCs/>
                <w:color w:val="000000"/>
                <w:sz w:val="28"/>
                <w:szCs w:val="28"/>
              </w:rPr>
            </w:pPr>
            <w:r>
              <w:rPr>
                <w:rFonts w:hint="eastAsia" w:ascii="黑体" w:hAnsi="黑体" w:eastAsia="黑体" w:cs="黑体"/>
                <w:bCs/>
                <w:color w:val="000000"/>
                <w:sz w:val="28"/>
                <w:szCs w:val="28"/>
                <w:lang w:bidi="ar"/>
              </w:rPr>
              <w:t>三级指标说明</w:t>
            </w:r>
          </w:p>
        </w:tc>
      </w:tr>
      <w:tr>
        <w:tblPrEx>
          <w:tblLayout w:type="fixed"/>
          <w:tblCellMar>
            <w:top w:w="0" w:type="dxa"/>
            <w:left w:w="0" w:type="dxa"/>
            <w:bottom w:w="0" w:type="dxa"/>
            <w:right w:w="0" w:type="dxa"/>
          </w:tblCellMar>
        </w:tblPrEx>
        <w:trPr>
          <w:trHeight w:val="567" w:hRule="atLeast"/>
        </w:trPr>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textAlignment w:val="top"/>
              <w:rPr>
                <w:rFonts w:ascii="仿宋_GB2312" w:eastAsia="仿宋_GB2312"/>
                <w:sz w:val="24"/>
                <w:szCs w:val="24"/>
              </w:rPr>
            </w:pPr>
            <w:r>
              <w:rPr>
                <w:rFonts w:hint="eastAsia" w:ascii="仿宋_GB2312" w:eastAsia="仿宋_GB2312"/>
                <w:sz w:val="24"/>
                <w:szCs w:val="24"/>
              </w:rPr>
              <w:t>海运</w:t>
            </w:r>
            <w:r>
              <w:rPr>
                <w:rFonts w:hint="eastAsia" w:ascii="仿宋_GB2312" w:eastAsia="仿宋_GB2312"/>
                <w:sz w:val="24"/>
                <w:szCs w:val="24"/>
              </w:rPr>
              <w:br w:type="textWrapping"/>
            </w:r>
            <w:r>
              <w:rPr>
                <w:rFonts w:hint="eastAsia" w:ascii="仿宋_GB2312" w:eastAsia="仿宋_GB2312"/>
                <w:sz w:val="24"/>
                <w:szCs w:val="24"/>
              </w:rPr>
              <w:t>（占比</w:t>
            </w:r>
            <w:r>
              <w:rPr>
                <w:rFonts w:hint="eastAsia" w:ascii="仿宋_GB2312" w:eastAsia="仿宋_GB2312"/>
                <w:sz w:val="24"/>
                <w:szCs w:val="24"/>
              </w:rPr>
              <w:br w:type="textWrapping"/>
            </w:r>
            <w:r>
              <w:rPr>
                <w:rFonts w:hint="eastAsia" w:ascii="仿宋_GB2312" w:eastAsia="仿宋_GB2312"/>
                <w:sz w:val="24"/>
                <w:szCs w:val="24"/>
              </w:rPr>
              <w:t>70%）</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rPr>
            </w:pPr>
            <w:r>
              <w:rPr>
                <w:rFonts w:hint="eastAsia" w:ascii="仿宋_GB2312" w:eastAsia="仿宋_GB2312"/>
                <w:sz w:val="24"/>
                <w:szCs w:val="24"/>
              </w:rPr>
              <w:t>客户获取</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rPr>
            </w:pPr>
            <w:r>
              <w:rPr>
                <w:rFonts w:hint="eastAsia" w:ascii="仿宋_GB2312" w:eastAsia="仿宋_GB2312"/>
                <w:sz w:val="24"/>
                <w:szCs w:val="24"/>
              </w:rPr>
              <w:t>客户咨询</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textAlignment w:val="top"/>
              <w:rPr>
                <w:rFonts w:ascii="仿宋_GB2312" w:eastAsia="仿宋_GB2312"/>
                <w:sz w:val="24"/>
                <w:szCs w:val="24"/>
                <w:lang w:eastAsia="zh-CN"/>
              </w:rPr>
            </w:pPr>
            <w:r>
              <w:rPr>
                <w:rFonts w:hint="eastAsia" w:ascii="仿宋_GB2312" w:eastAsia="仿宋_GB2312"/>
                <w:sz w:val="24"/>
                <w:szCs w:val="24"/>
                <w:lang w:eastAsia="zh-CN"/>
              </w:rPr>
              <w:t>关于主要港口、航线、贸易术语、可能的交通方式、优缺点、运输时间、交通条件等的客户咨询</w:t>
            </w:r>
          </w:p>
        </w:tc>
      </w:tr>
      <w:tr>
        <w:tblPrEx>
          <w:tblLayout w:type="fixed"/>
          <w:tblCellMar>
            <w:top w:w="0" w:type="dxa"/>
            <w:left w:w="0" w:type="dxa"/>
            <w:bottom w:w="0" w:type="dxa"/>
            <w:right w:w="0" w:type="dxa"/>
          </w:tblCellMar>
        </w:tblPrEx>
        <w:trPr>
          <w:trHeight w:val="56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lang w:eastAsia="zh-CN"/>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lang w:eastAsia="zh-CN"/>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rPr>
            </w:pPr>
            <w:r>
              <w:rPr>
                <w:rFonts w:hint="eastAsia" w:ascii="仿宋_GB2312" w:eastAsia="仿宋_GB2312"/>
                <w:sz w:val="24"/>
                <w:szCs w:val="24"/>
              </w:rPr>
              <w:t>客户会面</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textAlignment w:val="top"/>
              <w:rPr>
                <w:rFonts w:ascii="仿宋_GB2312" w:eastAsia="仿宋_GB2312"/>
                <w:sz w:val="24"/>
                <w:szCs w:val="24"/>
                <w:lang w:eastAsia="zh-CN"/>
              </w:rPr>
            </w:pPr>
            <w:r>
              <w:rPr>
                <w:rFonts w:hint="eastAsia" w:ascii="仿宋_GB2312" w:eastAsia="仿宋_GB2312"/>
                <w:sz w:val="24"/>
                <w:szCs w:val="24"/>
                <w:lang w:eastAsia="zh-CN"/>
              </w:rPr>
              <w:t>制作英文</w:t>
            </w:r>
            <w:r>
              <w:rPr>
                <w:rFonts w:ascii="仿宋_GB2312" w:eastAsia="仿宋_GB2312"/>
                <w:sz w:val="24"/>
                <w:szCs w:val="24"/>
                <w:lang w:eastAsia="zh-CN"/>
              </w:rPr>
              <w:t>ppt，分析客户需求，有针对性地介绍公司的业务与优势，并与客户进行英语口语交流</w:t>
            </w:r>
          </w:p>
        </w:tc>
      </w:tr>
      <w:tr>
        <w:tblPrEx>
          <w:tblLayout w:type="fixed"/>
          <w:tblCellMar>
            <w:top w:w="0" w:type="dxa"/>
            <w:left w:w="0" w:type="dxa"/>
            <w:bottom w:w="0" w:type="dxa"/>
            <w:right w:w="0" w:type="dxa"/>
          </w:tblCellMar>
        </w:tblPrEx>
        <w:trPr>
          <w:trHeight w:val="56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lang w:eastAsia="zh-CN"/>
              </w:rPr>
            </w:pP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海运报价</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rPr>
            </w:pPr>
            <w:r>
              <w:rPr>
                <w:rFonts w:hint="eastAsia" w:ascii="仿宋_GB2312" w:eastAsia="仿宋_GB2312"/>
                <w:sz w:val="24"/>
                <w:szCs w:val="24"/>
              </w:rPr>
              <w:t>选择集装箱</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textAlignment w:val="top"/>
              <w:rPr>
                <w:rFonts w:ascii="仿宋_GB2312" w:eastAsia="仿宋_GB2312"/>
                <w:sz w:val="24"/>
                <w:szCs w:val="24"/>
                <w:lang w:eastAsia="zh-CN"/>
              </w:rPr>
            </w:pPr>
            <w:r>
              <w:rPr>
                <w:rFonts w:hint="eastAsia" w:ascii="仿宋_GB2312" w:eastAsia="仿宋_GB2312"/>
                <w:sz w:val="24"/>
                <w:szCs w:val="24"/>
                <w:lang w:eastAsia="zh-CN"/>
              </w:rPr>
              <w:t>根据货物特点选择集装箱类型和数量</w:t>
            </w:r>
          </w:p>
        </w:tc>
      </w:tr>
      <w:tr>
        <w:tblPrEx>
          <w:tblLayout w:type="fixed"/>
          <w:tblCellMar>
            <w:top w:w="0" w:type="dxa"/>
            <w:left w:w="0" w:type="dxa"/>
            <w:bottom w:w="0" w:type="dxa"/>
            <w:right w:w="0" w:type="dxa"/>
          </w:tblCellMar>
        </w:tblPrEx>
        <w:trPr>
          <w:trHeight w:val="56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lang w:eastAsia="zh-CN"/>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lang w:eastAsia="zh-CN"/>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rPr>
            </w:pPr>
            <w:r>
              <w:rPr>
                <w:rFonts w:hint="eastAsia" w:ascii="仿宋_GB2312" w:eastAsia="仿宋_GB2312"/>
                <w:sz w:val="24"/>
                <w:szCs w:val="24"/>
              </w:rPr>
              <w:t>费用计算</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textAlignment w:val="top"/>
              <w:rPr>
                <w:rFonts w:ascii="仿宋_GB2312" w:eastAsia="仿宋_GB2312"/>
                <w:sz w:val="24"/>
                <w:szCs w:val="24"/>
                <w:lang w:eastAsia="zh-CN"/>
              </w:rPr>
            </w:pPr>
            <w:r>
              <w:rPr>
                <w:rFonts w:hint="eastAsia" w:ascii="仿宋_GB2312" w:eastAsia="仿宋_GB2312"/>
                <w:sz w:val="24"/>
                <w:szCs w:val="24"/>
                <w:lang w:eastAsia="zh-CN"/>
              </w:rPr>
              <w:t>计算运费及相关费用，选择合适的船公司</w:t>
            </w:r>
          </w:p>
        </w:tc>
      </w:tr>
      <w:tr>
        <w:tblPrEx>
          <w:tblLayout w:type="fixed"/>
          <w:tblCellMar>
            <w:top w:w="0" w:type="dxa"/>
            <w:left w:w="0" w:type="dxa"/>
            <w:bottom w:w="0" w:type="dxa"/>
            <w:right w:w="0" w:type="dxa"/>
          </w:tblCellMar>
        </w:tblPrEx>
        <w:trPr>
          <w:trHeight w:val="56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lang w:eastAsia="zh-CN"/>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lang w:eastAsia="zh-CN"/>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rPr>
            </w:pPr>
            <w:r>
              <w:rPr>
                <w:rFonts w:hint="eastAsia" w:ascii="仿宋_GB2312" w:eastAsia="仿宋_GB2312"/>
                <w:sz w:val="24"/>
                <w:szCs w:val="24"/>
              </w:rPr>
              <w:t>海运报价</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textAlignment w:val="top"/>
              <w:rPr>
                <w:rFonts w:ascii="仿宋_GB2312" w:eastAsia="仿宋_GB2312"/>
                <w:sz w:val="24"/>
                <w:szCs w:val="24"/>
                <w:lang w:eastAsia="zh-CN"/>
              </w:rPr>
            </w:pPr>
            <w:r>
              <w:rPr>
                <w:rFonts w:hint="eastAsia" w:ascii="仿宋_GB2312" w:eastAsia="仿宋_GB2312"/>
                <w:sz w:val="24"/>
                <w:szCs w:val="24"/>
                <w:lang w:eastAsia="zh-CN"/>
              </w:rPr>
              <w:t>根据客户需求，为客户提供报价方案</w:t>
            </w:r>
          </w:p>
        </w:tc>
      </w:tr>
      <w:tr>
        <w:tblPrEx>
          <w:tblLayout w:type="fixed"/>
          <w:tblCellMar>
            <w:top w:w="0" w:type="dxa"/>
            <w:left w:w="0" w:type="dxa"/>
            <w:bottom w:w="0" w:type="dxa"/>
            <w:right w:w="0" w:type="dxa"/>
          </w:tblCellMar>
        </w:tblPrEx>
        <w:trPr>
          <w:trHeight w:val="56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lang w:eastAsia="zh-CN"/>
              </w:rPr>
            </w:pP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海运操作</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rPr>
            </w:pPr>
            <w:r>
              <w:rPr>
                <w:rFonts w:hint="eastAsia" w:ascii="仿宋_GB2312" w:eastAsia="仿宋_GB2312"/>
                <w:sz w:val="24"/>
                <w:szCs w:val="24"/>
              </w:rPr>
              <w:t>集港作业</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textAlignment w:val="top"/>
              <w:rPr>
                <w:rFonts w:ascii="仿宋_GB2312" w:eastAsia="仿宋_GB2312"/>
                <w:sz w:val="24"/>
                <w:szCs w:val="24"/>
                <w:lang w:eastAsia="zh-CN"/>
              </w:rPr>
            </w:pPr>
            <w:r>
              <w:rPr>
                <w:rFonts w:hint="eastAsia" w:ascii="仿宋_GB2312" w:eastAsia="仿宋_GB2312"/>
                <w:sz w:val="24"/>
                <w:szCs w:val="24"/>
                <w:lang w:eastAsia="zh-CN"/>
              </w:rPr>
              <w:t>选择合适运输工具，计算运费，编制集港运输计划</w:t>
            </w:r>
          </w:p>
        </w:tc>
      </w:tr>
      <w:tr>
        <w:tblPrEx>
          <w:tblLayout w:type="fixed"/>
          <w:tblCellMar>
            <w:top w:w="0" w:type="dxa"/>
            <w:left w:w="0" w:type="dxa"/>
            <w:bottom w:w="0" w:type="dxa"/>
            <w:right w:w="0" w:type="dxa"/>
          </w:tblCellMar>
        </w:tblPrEx>
        <w:trPr>
          <w:trHeight w:val="56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lang w:eastAsia="zh-CN"/>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lang w:eastAsia="zh-CN"/>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rPr>
            </w:pPr>
            <w:r>
              <w:rPr>
                <w:rFonts w:hint="eastAsia" w:ascii="仿宋_GB2312" w:eastAsia="仿宋_GB2312"/>
                <w:sz w:val="24"/>
                <w:szCs w:val="24"/>
              </w:rPr>
              <w:t>单证制作</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textAlignment w:val="top"/>
              <w:rPr>
                <w:rFonts w:ascii="仿宋_GB2312" w:eastAsia="仿宋_GB2312"/>
                <w:sz w:val="24"/>
                <w:szCs w:val="24"/>
                <w:lang w:eastAsia="zh-CN"/>
              </w:rPr>
            </w:pPr>
            <w:r>
              <w:rPr>
                <w:rFonts w:hint="eastAsia" w:ascii="仿宋_GB2312" w:eastAsia="仿宋_GB2312"/>
                <w:sz w:val="24"/>
                <w:szCs w:val="24"/>
                <w:lang w:eastAsia="zh-CN"/>
              </w:rPr>
              <w:t>根据业务要求及相关信息，缮制提单等海运单据</w:t>
            </w:r>
          </w:p>
        </w:tc>
      </w:tr>
      <w:tr>
        <w:tblPrEx>
          <w:tblLayout w:type="fixed"/>
          <w:tblCellMar>
            <w:top w:w="0" w:type="dxa"/>
            <w:left w:w="0" w:type="dxa"/>
            <w:bottom w:w="0" w:type="dxa"/>
            <w:right w:w="0" w:type="dxa"/>
          </w:tblCellMar>
        </w:tblPrEx>
        <w:trPr>
          <w:trHeight w:val="56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lang w:eastAsia="zh-CN"/>
              </w:rPr>
            </w:pP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异常情况处理</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rPr>
            </w:pPr>
            <w:r>
              <w:rPr>
                <w:rFonts w:hint="eastAsia" w:ascii="仿宋_GB2312" w:eastAsia="仿宋_GB2312"/>
                <w:sz w:val="24"/>
                <w:szCs w:val="24"/>
              </w:rPr>
              <w:t>海运投诉</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textAlignment w:val="top"/>
              <w:rPr>
                <w:rFonts w:ascii="仿宋_GB2312" w:eastAsia="仿宋_GB2312"/>
                <w:sz w:val="24"/>
                <w:szCs w:val="24"/>
                <w:lang w:eastAsia="zh-CN"/>
              </w:rPr>
            </w:pPr>
            <w:r>
              <w:rPr>
                <w:rFonts w:hint="eastAsia" w:ascii="仿宋_GB2312" w:eastAsia="仿宋_GB2312"/>
                <w:sz w:val="24"/>
                <w:szCs w:val="24"/>
                <w:lang w:eastAsia="zh-CN"/>
              </w:rPr>
              <w:t>处理海运业务中出现的投诉</w:t>
            </w:r>
          </w:p>
        </w:tc>
      </w:tr>
      <w:tr>
        <w:tblPrEx>
          <w:tblLayout w:type="fixed"/>
          <w:tblCellMar>
            <w:top w:w="0" w:type="dxa"/>
            <w:left w:w="0" w:type="dxa"/>
            <w:bottom w:w="0" w:type="dxa"/>
            <w:right w:w="0" w:type="dxa"/>
          </w:tblCellMar>
        </w:tblPrEx>
        <w:trPr>
          <w:trHeight w:val="56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lang w:eastAsia="zh-CN"/>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lang w:eastAsia="zh-CN"/>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rPr>
            </w:pPr>
            <w:r>
              <w:rPr>
                <w:rFonts w:hint="eastAsia" w:ascii="仿宋_GB2312" w:eastAsia="仿宋_GB2312"/>
                <w:sz w:val="24"/>
                <w:szCs w:val="24"/>
              </w:rPr>
              <w:t>海运索赔</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textAlignment w:val="top"/>
              <w:rPr>
                <w:rFonts w:ascii="仿宋_GB2312" w:eastAsia="仿宋_GB2312"/>
                <w:sz w:val="24"/>
                <w:szCs w:val="24"/>
                <w:lang w:eastAsia="zh-CN"/>
              </w:rPr>
            </w:pPr>
            <w:r>
              <w:rPr>
                <w:rFonts w:hint="eastAsia" w:ascii="仿宋_GB2312" w:eastAsia="仿宋_GB2312"/>
                <w:sz w:val="24"/>
                <w:szCs w:val="24"/>
                <w:lang w:eastAsia="zh-CN"/>
              </w:rPr>
              <w:t>处理海运业务中出现的索赔事宜</w:t>
            </w:r>
          </w:p>
        </w:tc>
      </w:tr>
      <w:tr>
        <w:tblPrEx>
          <w:tblLayout w:type="fixed"/>
          <w:tblCellMar>
            <w:top w:w="0" w:type="dxa"/>
            <w:left w:w="0" w:type="dxa"/>
            <w:bottom w:w="0" w:type="dxa"/>
            <w:right w:w="0" w:type="dxa"/>
          </w:tblCellMar>
        </w:tblPrEx>
        <w:trPr>
          <w:trHeight w:val="567" w:hRule="atLeast"/>
        </w:trPr>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rPr>
            </w:pPr>
            <w:r>
              <w:rPr>
                <w:rFonts w:hint="eastAsia" w:ascii="仿宋_GB2312" w:eastAsia="仿宋_GB2312"/>
                <w:sz w:val="24"/>
                <w:szCs w:val="24"/>
              </w:rPr>
              <w:t>空运</w:t>
            </w:r>
            <w:r>
              <w:rPr>
                <w:rFonts w:hint="eastAsia" w:ascii="仿宋_GB2312" w:eastAsia="仿宋_GB2312"/>
                <w:sz w:val="24"/>
                <w:szCs w:val="24"/>
              </w:rPr>
              <w:br w:type="textWrapping"/>
            </w:r>
            <w:r>
              <w:rPr>
                <w:rFonts w:hint="eastAsia" w:ascii="仿宋_GB2312" w:eastAsia="仿宋_GB2312"/>
                <w:sz w:val="24"/>
                <w:szCs w:val="24"/>
              </w:rPr>
              <w:t>（占比30%）</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空运报价</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rPr>
            </w:pPr>
            <w:r>
              <w:rPr>
                <w:rFonts w:hint="eastAsia" w:ascii="仿宋_GB2312" w:eastAsia="仿宋_GB2312"/>
                <w:sz w:val="24"/>
                <w:szCs w:val="24"/>
              </w:rPr>
              <w:t>空运报价</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textAlignment w:val="top"/>
              <w:rPr>
                <w:rFonts w:ascii="仿宋_GB2312" w:eastAsia="仿宋_GB2312"/>
                <w:sz w:val="24"/>
                <w:szCs w:val="24"/>
                <w:lang w:eastAsia="zh-CN"/>
              </w:rPr>
            </w:pPr>
            <w:r>
              <w:rPr>
                <w:rFonts w:hint="eastAsia" w:ascii="仿宋_GB2312" w:eastAsia="仿宋_GB2312"/>
                <w:sz w:val="24"/>
                <w:szCs w:val="24"/>
                <w:lang w:eastAsia="zh-CN"/>
              </w:rPr>
              <w:t>根据实际业务计算空运运费，并提供报价方案</w:t>
            </w:r>
          </w:p>
        </w:tc>
      </w:tr>
      <w:tr>
        <w:tblPrEx>
          <w:tblLayout w:type="fixed"/>
          <w:tblCellMar>
            <w:top w:w="0" w:type="dxa"/>
            <w:left w:w="0" w:type="dxa"/>
            <w:bottom w:w="0" w:type="dxa"/>
            <w:right w:w="0" w:type="dxa"/>
          </w:tblCellMar>
        </w:tblPrEx>
        <w:trPr>
          <w:trHeight w:val="56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lang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空运操作</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rPr>
            </w:pPr>
            <w:r>
              <w:rPr>
                <w:rFonts w:hint="eastAsia" w:ascii="仿宋_GB2312" w:eastAsia="仿宋_GB2312"/>
                <w:sz w:val="24"/>
                <w:szCs w:val="24"/>
              </w:rPr>
              <w:t>单证制作</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textAlignment w:val="top"/>
              <w:rPr>
                <w:rFonts w:ascii="仿宋_GB2312" w:eastAsia="仿宋_GB2312"/>
                <w:sz w:val="24"/>
                <w:szCs w:val="24"/>
                <w:lang w:eastAsia="zh-CN"/>
              </w:rPr>
            </w:pPr>
            <w:r>
              <w:rPr>
                <w:rFonts w:hint="eastAsia" w:ascii="仿宋_GB2312" w:eastAsia="仿宋_GB2312"/>
                <w:sz w:val="24"/>
                <w:szCs w:val="24"/>
                <w:lang w:eastAsia="zh-CN"/>
              </w:rPr>
              <w:t>根据业务要求及相关单据缮制航空运单；组织空运、文件签发，完成空运操作实务</w:t>
            </w:r>
          </w:p>
        </w:tc>
      </w:tr>
      <w:tr>
        <w:tblPrEx>
          <w:tblLayout w:type="fixed"/>
          <w:tblCellMar>
            <w:top w:w="0" w:type="dxa"/>
            <w:left w:w="0" w:type="dxa"/>
            <w:bottom w:w="0" w:type="dxa"/>
            <w:right w:w="0" w:type="dxa"/>
          </w:tblCellMar>
        </w:tblPrEx>
        <w:trPr>
          <w:trHeight w:val="56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lang w:eastAsia="zh-CN"/>
              </w:rPr>
            </w:pP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异常情况处理</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rPr>
            </w:pPr>
            <w:r>
              <w:rPr>
                <w:rFonts w:hint="eastAsia" w:ascii="仿宋_GB2312" w:eastAsia="仿宋_GB2312"/>
                <w:sz w:val="24"/>
                <w:szCs w:val="24"/>
              </w:rPr>
              <w:t>空运投诉</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textAlignment w:val="top"/>
              <w:rPr>
                <w:rFonts w:ascii="仿宋_GB2312" w:eastAsia="仿宋_GB2312"/>
                <w:sz w:val="24"/>
                <w:szCs w:val="24"/>
                <w:lang w:eastAsia="zh-CN"/>
              </w:rPr>
            </w:pPr>
            <w:r>
              <w:rPr>
                <w:rFonts w:hint="eastAsia" w:ascii="仿宋_GB2312" w:eastAsia="仿宋_GB2312"/>
                <w:sz w:val="24"/>
                <w:szCs w:val="24"/>
                <w:lang w:eastAsia="zh-CN"/>
              </w:rPr>
              <w:t>处理空运业务中出现的投诉</w:t>
            </w:r>
          </w:p>
        </w:tc>
      </w:tr>
      <w:tr>
        <w:tblPrEx>
          <w:tblLayout w:type="fixed"/>
          <w:tblCellMar>
            <w:top w:w="0" w:type="dxa"/>
            <w:left w:w="0" w:type="dxa"/>
            <w:bottom w:w="0" w:type="dxa"/>
            <w:right w:w="0" w:type="dxa"/>
          </w:tblCellMar>
        </w:tblPrEx>
        <w:trPr>
          <w:trHeight w:val="56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lang w:eastAsia="zh-CN"/>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lang w:eastAsia="zh-CN"/>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jc w:val="center"/>
              <w:textAlignment w:val="top"/>
              <w:rPr>
                <w:rFonts w:ascii="仿宋_GB2312" w:eastAsia="仿宋_GB2312"/>
                <w:sz w:val="24"/>
                <w:szCs w:val="24"/>
              </w:rPr>
            </w:pPr>
            <w:r>
              <w:rPr>
                <w:rFonts w:hint="eastAsia" w:ascii="仿宋_GB2312" w:eastAsia="仿宋_GB2312"/>
                <w:sz w:val="24"/>
                <w:szCs w:val="24"/>
              </w:rPr>
              <w:t>空运索赔</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textAlignment w:val="top"/>
              <w:rPr>
                <w:rFonts w:ascii="仿宋_GB2312" w:eastAsia="仿宋_GB2312"/>
                <w:sz w:val="24"/>
                <w:szCs w:val="24"/>
                <w:lang w:eastAsia="zh-CN"/>
              </w:rPr>
            </w:pPr>
            <w:r>
              <w:rPr>
                <w:rFonts w:hint="eastAsia" w:ascii="仿宋_GB2312" w:eastAsia="仿宋_GB2312"/>
                <w:sz w:val="24"/>
                <w:szCs w:val="24"/>
                <w:lang w:eastAsia="zh-CN"/>
              </w:rPr>
              <w:t>处理空运业务中出现的索赔事宜</w:t>
            </w:r>
          </w:p>
        </w:tc>
      </w:tr>
    </w:tbl>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0"/>
        <w:rPr>
          <w:rFonts w:ascii="黑体" w:hAnsi="黑体" w:eastAsia="黑体" w:cstheme="minorBidi"/>
          <w:bCs/>
          <w:kern w:val="2"/>
          <w:sz w:val="30"/>
          <w:szCs w:val="30"/>
          <w:lang w:eastAsia="zh-CN"/>
        </w:rPr>
      </w:pPr>
      <w:bookmarkStart w:id="1" w:name="_Toc61004414"/>
      <w:bookmarkStart w:id="10" w:name="_GoBack"/>
      <w:bookmarkEnd w:id="10"/>
      <w:r>
        <w:rPr>
          <w:rFonts w:hint="eastAsia" w:ascii="黑体" w:hAnsi="黑体" w:eastAsia="黑体" w:cstheme="minorBidi"/>
          <w:bCs/>
          <w:kern w:val="2"/>
          <w:sz w:val="30"/>
          <w:szCs w:val="30"/>
          <w:lang w:eastAsia="zh-CN"/>
        </w:rPr>
        <w:t>七、竞赛方式</w:t>
      </w:r>
      <w:bookmarkEnd w:id="1"/>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（一）竞赛模式：封闭式竞赛。</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（二）本赛项的竞赛过程中不安排指导教师进场指导。</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（三）统一编制赛位号，参赛队须比赛前30分钟到赛项指定地点接受检录,抽取顺序号，进场抽签决定赛位号，抽签结束后，按照抽取的赛位号进场，在对应的赛位上完成竞赛任务。</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（四）本赛项为个人赛。本赛项试题为全英文，提交成果（含书面和口语表达）也必须为全英文版，如提交中文版则判定提交成果无效。</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0"/>
        <w:rPr>
          <w:rFonts w:ascii="黑体" w:hAnsi="黑体" w:eastAsia="黑体" w:cstheme="minorBidi"/>
          <w:bCs/>
          <w:kern w:val="2"/>
          <w:sz w:val="30"/>
          <w:szCs w:val="30"/>
          <w:lang w:eastAsia="zh-CN"/>
        </w:rPr>
      </w:pPr>
      <w:r>
        <w:rPr>
          <w:rFonts w:hint="eastAsia" w:ascii="黑体" w:hAnsi="黑体" w:eastAsia="黑体" w:cstheme="minorBidi"/>
          <w:bCs/>
          <w:kern w:val="2"/>
          <w:sz w:val="30"/>
          <w:szCs w:val="30"/>
          <w:lang w:eastAsia="zh-CN"/>
        </w:rPr>
        <w:t>八、竞赛规则</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outlineLvl w:val="1"/>
        <w:rPr>
          <w:rFonts w:ascii="楷体_GB2312" w:hAnsi="楷体_GB2312" w:eastAsia="楷体_GB2312" w:cs="楷体_GB2312"/>
          <w:bCs/>
          <w:sz w:val="30"/>
          <w:szCs w:val="30"/>
          <w:shd w:val="clear" w:color="auto" w:fill="FFFFFF"/>
          <w:lang w:eastAsia="zh-CN"/>
        </w:rPr>
      </w:pPr>
      <w:r>
        <w:rPr>
          <w:rFonts w:hint="eastAsia" w:ascii="楷体_GB2312" w:hAnsi="楷体_GB2312" w:eastAsia="楷体_GB2312" w:cs="楷体_GB2312"/>
          <w:bCs/>
          <w:sz w:val="30"/>
          <w:szCs w:val="30"/>
          <w:shd w:val="clear" w:color="auto" w:fill="FFFFFF"/>
          <w:lang w:eastAsia="zh-CN"/>
        </w:rPr>
        <w:t>（一）报名资格及参赛队伍要求</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1.参赛队及参赛选手资格：见“参赛资格”。</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2.人员变更：参赛选手和指导教师报名获得确认后不得随意更换。选手因特殊原因不能参加比赛时，则视为自动放弃竞赛；竞赛开始后，参赛队不得更换参赛选手，若有参赛队员缺席，不得补充参赛选手。</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outlineLvl w:val="1"/>
        <w:rPr>
          <w:rFonts w:ascii="楷体_GB2312" w:hAnsi="楷体_GB2312" w:eastAsia="楷体_GB2312" w:cs="楷体_GB2312"/>
          <w:bCs/>
          <w:sz w:val="30"/>
          <w:szCs w:val="30"/>
          <w:shd w:val="clear" w:color="auto" w:fill="FFFFFF"/>
          <w:lang w:eastAsia="zh-CN"/>
        </w:rPr>
      </w:pPr>
      <w:r>
        <w:rPr>
          <w:rFonts w:hint="eastAsia" w:ascii="楷体_GB2312" w:hAnsi="楷体_GB2312" w:eastAsia="楷体_GB2312" w:cs="楷体_GB2312"/>
          <w:bCs/>
          <w:sz w:val="30"/>
          <w:szCs w:val="30"/>
          <w:shd w:val="clear" w:color="auto" w:fill="FFFFFF"/>
          <w:lang w:eastAsia="zh-CN"/>
        </w:rPr>
        <w:t>（二）竞赛样卷</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本项目为保密项目，赛前不公布试题。</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outlineLvl w:val="1"/>
        <w:rPr>
          <w:rFonts w:ascii="楷体_GB2312" w:hAnsi="楷体_GB2312" w:eastAsia="楷体_GB2312" w:cs="楷体_GB2312"/>
          <w:bCs/>
          <w:sz w:val="30"/>
          <w:szCs w:val="30"/>
          <w:shd w:val="clear" w:color="auto" w:fill="FFFFFF"/>
          <w:lang w:eastAsia="zh-CN"/>
        </w:rPr>
      </w:pPr>
      <w:r>
        <w:rPr>
          <w:rFonts w:hint="eastAsia" w:ascii="楷体_GB2312" w:hAnsi="楷体_GB2312" w:eastAsia="楷体_GB2312" w:cs="楷体_GB2312"/>
          <w:bCs/>
          <w:sz w:val="30"/>
          <w:szCs w:val="30"/>
          <w:shd w:val="clear" w:color="auto" w:fill="FFFFFF"/>
          <w:lang w:eastAsia="zh-CN"/>
        </w:rPr>
        <w:t>（三）竞赛文件的提交</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竞赛结束后，因保密要求，在全部文件中不得出现单位名称、选手姓名，出现上述信息的，该队竞赛成绩将被取消。</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outlineLvl w:val="1"/>
        <w:rPr>
          <w:rFonts w:ascii="楷体_GB2312" w:hAnsi="楷体_GB2312" w:eastAsia="楷体_GB2312" w:cs="楷体_GB2312"/>
          <w:bCs/>
          <w:sz w:val="30"/>
          <w:szCs w:val="30"/>
          <w:shd w:val="clear" w:color="auto" w:fill="FFFFFF"/>
          <w:lang w:eastAsia="zh-CN"/>
        </w:rPr>
      </w:pPr>
      <w:r>
        <w:rPr>
          <w:rFonts w:hint="eastAsia" w:ascii="楷体_GB2312" w:hAnsi="楷体_GB2312" w:eastAsia="楷体_GB2312" w:cs="楷体_GB2312"/>
          <w:bCs/>
          <w:sz w:val="30"/>
          <w:szCs w:val="30"/>
          <w:shd w:val="clear" w:color="auto" w:fill="FFFFFF"/>
          <w:lang w:eastAsia="zh-CN"/>
        </w:rPr>
        <w:t>（四）赛场要求</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1.竞赛期间，赛场实行封闭管理，赛场内除指定的裁判、工作人员外，其他人员须凭竞赛委员会配发的证件和标识进出赛场。允许进入赛场的人员，应遵守赛场规则，只可在规定区域内观摩比赛，不得与选手交谈，不得妨碍、干扰选手竞赛。</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2.参赛选手不得携带任何可能透露参赛队及个人信息的服装、标识或信息入场比赛，参赛选手不允许携带任何通讯及存储设备、纸质材料等物品进入赛场，竞赛委员会将提供竞赛所需工具书、笔、纸张等必需品。</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3.参赛选手进入赛场必须听从现场裁判人员的统一安排，比赛期间必须严格遵守安全操作规程，确保人身和设备安全。</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4.每场比赛结束前10分钟，裁判长提醒比赛即将结束，当宣布比赛结束后，参赛选手必须马上停止一切操作，按要求位置站立等候撤离比赛工位指令。</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5.参赛队提交的所有文件、单据等，凡要求参赛选手签字确认的，均须手签参赛选手参赛工位序号。</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outlineLvl w:val="1"/>
        <w:rPr>
          <w:rFonts w:ascii="楷体_GB2312" w:hAnsi="楷体_GB2312" w:eastAsia="楷体_GB2312" w:cs="楷体_GB2312"/>
          <w:bCs/>
          <w:sz w:val="30"/>
          <w:szCs w:val="30"/>
          <w:shd w:val="clear" w:color="auto" w:fill="FFFFFF"/>
          <w:lang w:eastAsia="zh-CN"/>
        </w:rPr>
      </w:pPr>
      <w:r>
        <w:rPr>
          <w:rFonts w:hint="eastAsia" w:ascii="楷体_GB2312" w:hAnsi="楷体_GB2312" w:eastAsia="楷体_GB2312" w:cs="楷体_GB2312"/>
          <w:bCs/>
          <w:sz w:val="30"/>
          <w:szCs w:val="30"/>
          <w:shd w:val="clear" w:color="auto" w:fill="FFFFFF"/>
          <w:lang w:eastAsia="zh-CN"/>
        </w:rPr>
        <w:t>（五）赛前准备</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1.领队会议：竞赛日前一天召开领队会议，由各参赛队伍的领队和指导教师参加，会议讲解竞赛注意事项并进行赛前答疑。</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2.熟悉场地：比赛日前一天向参赛队开放赛场。</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3.抽签仪式：抽签秉承“公开、公平、公正”的原则，由监督组全程监督。因特殊原因无法到场的参赛队，需提前告知竞赛委员会。缺席参赛队若需委托代理人代为抽签的，需出具由本人亲笔签名的书面委托书并声明认可代理人的抽签结果。没有授权他人代为抽签且未按时到场抽签的参赛队，或无故缺席抽签环节的参赛队，将视为自动放弃比赛。</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4．参赛队员入场：参赛选手应按照竞赛委员会的时间要求提前到达赛场，凭选手证、学生证、身份证检录，进行加密检录后进入赛场并根据抽签结果在对应的座位入座，裁判负责核对参赛队员信息。严禁参赛选手携带任何电子设备、通讯设备及其他相关资料与用品入场。参赛选手未按规定时间抵达赛场且错过检录的，以弃权论。</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0"/>
        <w:rPr>
          <w:rFonts w:ascii="黑体" w:hAnsi="黑体" w:eastAsia="黑体" w:cstheme="minorBidi"/>
          <w:bCs/>
          <w:kern w:val="2"/>
          <w:sz w:val="30"/>
          <w:szCs w:val="30"/>
          <w:lang w:eastAsia="zh-CN"/>
        </w:rPr>
      </w:pPr>
      <w:r>
        <w:rPr>
          <w:rFonts w:hint="eastAsia" w:ascii="黑体" w:hAnsi="黑体" w:eastAsia="黑体" w:cstheme="minorBidi"/>
          <w:bCs/>
          <w:kern w:val="2"/>
          <w:sz w:val="30"/>
          <w:szCs w:val="30"/>
          <w:lang w:eastAsia="zh-CN"/>
        </w:rPr>
        <w:t>九、成绩评定及公布</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1.各阶段竞赛结束后,成绩经复核无误后，由裁判长、监督员签字确认。</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2.竞赛最终成绩经复核无误并由裁判长、监督员签字确认后在闭幕式公布。</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0"/>
        <w:rPr>
          <w:rFonts w:ascii="黑体" w:hAnsi="黑体" w:eastAsia="黑体" w:cstheme="minorBidi"/>
          <w:bCs/>
          <w:kern w:val="2"/>
          <w:sz w:val="30"/>
          <w:szCs w:val="30"/>
          <w:lang w:eastAsia="zh-CN"/>
        </w:rPr>
      </w:pPr>
      <w:bookmarkStart w:id="2" w:name="_Toc61004417"/>
      <w:r>
        <w:rPr>
          <w:rFonts w:hint="eastAsia" w:ascii="黑体" w:hAnsi="黑体" w:eastAsia="黑体" w:cstheme="minorBidi"/>
          <w:bCs/>
          <w:kern w:val="2"/>
          <w:sz w:val="30"/>
          <w:szCs w:val="30"/>
          <w:lang w:eastAsia="zh-CN"/>
        </w:rPr>
        <w:t>十、竞赛环境</w:t>
      </w:r>
      <w:bookmarkEnd w:id="2"/>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outlineLvl w:val="1"/>
        <w:rPr>
          <w:rFonts w:ascii="楷体_GB2312" w:hAnsi="楷体_GB2312" w:eastAsia="楷体_GB2312" w:cs="楷体_GB2312"/>
          <w:bCs/>
          <w:sz w:val="30"/>
          <w:szCs w:val="30"/>
          <w:shd w:val="clear" w:color="auto" w:fill="FFFFFF"/>
          <w:lang w:eastAsia="zh-CN"/>
        </w:rPr>
      </w:pPr>
      <w:r>
        <w:rPr>
          <w:rFonts w:hint="eastAsia" w:ascii="楷体_GB2312" w:hAnsi="楷体_GB2312" w:eastAsia="楷体_GB2312" w:cs="楷体_GB2312"/>
          <w:bCs/>
          <w:sz w:val="30"/>
          <w:szCs w:val="30"/>
          <w:shd w:val="clear" w:color="auto" w:fill="FFFFFF"/>
          <w:lang w:eastAsia="zh-CN"/>
        </w:rPr>
        <w:t>（一）硬件设备</w:t>
      </w:r>
    </w:p>
    <w:tbl>
      <w:tblPr>
        <w:tblStyle w:val="15"/>
        <w:tblW w:w="88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61"/>
        <w:gridCol w:w="5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1" w:hRule="atLeast"/>
        </w:trPr>
        <w:tc>
          <w:tcPr>
            <w:tcW w:w="3461" w:type="dxa"/>
            <w:vAlign w:val="center"/>
          </w:tcPr>
          <w:p>
            <w:pPr>
              <w:autoSpaceDE/>
              <w:autoSpaceDN/>
              <w:jc w:val="center"/>
              <w:rPr>
                <w:rFonts w:ascii="仿宋_GB2312" w:eastAsia="仿宋_GB2312"/>
                <w:sz w:val="24"/>
                <w:szCs w:val="24"/>
              </w:rPr>
            </w:pPr>
            <w:r>
              <w:rPr>
                <w:rFonts w:hint="eastAsia" w:ascii="仿宋_GB2312" w:eastAsia="仿宋_GB2312"/>
                <w:sz w:val="24"/>
                <w:szCs w:val="24"/>
              </w:rPr>
              <w:t>选手电脑硬件配置</w:t>
            </w:r>
          </w:p>
        </w:tc>
        <w:tc>
          <w:tcPr>
            <w:tcW w:w="5357" w:type="dxa"/>
            <w:vAlign w:val="center"/>
          </w:tcPr>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sz w:val="24"/>
                <w:szCs w:val="24"/>
                <w:lang w:eastAsia="zh-CN"/>
              </w:rPr>
              <w:t>双核1.8GHz以上处理器，8GB以上内存，200GB以上硬盘，DVD刻盘机，USB接口，22寸以上液晶显示器*2，WIN1064位英文版的操作系统。</w:t>
            </w:r>
            <w:r>
              <w:rPr>
                <w:rFonts w:hint="eastAsia" w:ascii="仿宋_GB2312" w:eastAsia="仿宋_GB2312"/>
                <w:sz w:val="24"/>
                <w:szCs w:val="24"/>
              </w:rPr>
              <w:t>备用机一台，耳机一支。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1" w:hRule="atLeast"/>
        </w:trPr>
        <w:tc>
          <w:tcPr>
            <w:tcW w:w="3461" w:type="dxa"/>
            <w:vAlign w:val="center"/>
          </w:tcPr>
          <w:p>
            <w:pPr>
              <w:autoSpaceDE/>
              <w:autoSpaceDN/>
              <w:jc w:val="center"/>
              <w:rPr>
                <w:rFonts w:ascii="仿宋_GB2312" w:eastAsia="仿宋_GB2312"/>
                <w:sz w:val="24"/>
                <w:szCs w:val="24"/>
              </w:rPr>
            </w:pPr>
            <w:r>
              <w:rPr>
                <w:rFonts w:hint="eastAsia" w:ascii="仿宋_GB2312" w:eastAsia="仿宋_GB2312"/>
                <w:sz w:val="24"/>
                <w:szCs w:val="24"/>
              </w:rPr>
              <w:t>服务器硬件配置</w:t>
            </w:r>
          </w:p>
        </w:tc>
        <w:tc>
          <w:tcPr>
            <w:tcW w:w="5357" w:type="dxa"/>
            <w:vAlign w:val="center"/>
          </w:tcPr>
          <w:p>
            <w:pPr>
              <w:adjustRightInd w:val="0"/>
              <w:snapToGrid w:val="0"/>
              <w:spacing w:line="360" w:lineRule="auto"/>
              <w:ind w:firstLine="480" w:firstLineChars="200"/>
              <w:rPr>
                <w:rFonts w:ascii="仿宋_GB2312" w:eastAsia="仿宋_GB2312"/>
                <w:sz w:val="24"/>
                <w:szCs w:val="24"/>
                <w:lang w:eastAsia="zh-CN"/>
              </w:rPr>
            </w:pPr>
            <w:r>
              <w:rPr>
                <w:rFonts w:hint="eastAsia" w:ascii="仿宋_GB2312" w:eastAsia="仿宋_GB2312"/>
                <w:sz w:val="24"/>
                <w:szCs w:val="24"/>
                <w:lang w:eastAsia="zh-CN"/>
              </w:rPr>
              <w:t>两套双核1.8GHz以上处理器，8GB以上内存，500GB以上硬盘，DVD刻录机，USB接口，22寸以上液晶显示器，WIN1064位英文版的操作系统，具有声卡配置。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1" w:hRule="atLeast"/>
        </w:trPr>
        <w:tc>
          <w:tcPr>
            <w:tcW w:w="3461" w:type="dxa"/>
            <w:vAlign w:val="center"/>
          </w:tcPr>
          <w:p>
            <w:pPr>
              <w:autoSpaceDE/>
              <w:autoSpaceDN/>
              <w:jc w:val="center"/>
              <w:rPr>
                <w:rFonts w:ascii="仿宋_GB2312" w:eastAsia="仿宋_GB2312"/>
                <w:sz w:val="24"/>
                <w:szCs w:val="24"/>
              </w:rPr>
            </w:pPr>
            <w:r>
              <w:rPr>
                <w:rFonts w:hint="eastAsia" w:ascii="仿宋_GB2312" w:eastAsia="仿宋_GB2312"/>
                <w:sz w:val="24"/>
                <w:szCs w:val="24"/>
              </w:rPr>
              <w:t>通用软件配置</w:t>
            </w:r>
          </w:p>
        </w:tc>
        <w:tc>
          <w:tcPr>
            <w:tcW w:w="5357" w:type="dxa"/>
            <w:vAlign w:val="center"/>
          </w:tcPr>
          <w:p>
            <w:pPr>
              <w:widowControl/>
              <w:numPr>
                <w:ilvl w:val="0"/>
                <w:numId w:val="1"/>
              </w:numPr>
              <w:adjustRightInd w:val="0"/>
              <w:snapToGrid w:val="0"/>
              <w:spacing w:line="360" w:lineRule="auto"/>
              <w:rPr>
                <w:rFonts w:ascii="仿宋_GB2312" w:eastAsia="仿宋_GB2312"/>
                <w:sz w:val="24"/>
                <w:szCs w:val="24"/>
              </w:rPr>
            </w:pPr>
            <w:r>
              <w:rPr>
                <w:rFonts w:hint="eastAsia" w:ascii="仿宋_GB2312" w:eastAsia="仿宋_GB2312"/>
                <w:sz w:val="24"/>
                <w:szCs w:val="24"/>
              </w:rPr>
              <w:t>WIN1064位英文版；</w:t>
            </w:r>
          </w:p>
          <w:p>
            <w:pPr>
              <w:widowControl/>
              <w:numPr>
                <w:ilvl w:val="0"/>
                <w:numId w:val="1"/>
              </w:numPr>
              <w:adjustRightInd w:val="0"/>
              <w:snapToGrid w:val="0"/>
              <w:spacing w:line="360" w:lineRule="auto"/>
              <w:rPr>
                <w:rFonts w:ascii="仿宋_GB2312" w:eastAsia="仿宋_GB2312"/>
                <w:sz w:val="24"/>
                <w:szCs w:val="24"/>
              </w:rPr>
            </w:pPr>
            <w:r>
              <w:rPr>
                <w:rFonts w:hint="eastAsia" w:ascii="仿宋_GB2312" w:eastAsia="仿宋_GB2312"/>
                <w:sz w:val="24"/>
                <w:szCs w:val="24"/>
              </w:rPr>
              <w:t>MicrosoftOffice2013（英文版）；</w:t>
            </w:r>
          </w:p>
          <w:p>
            <w:pPr>
              <w:widowControl/>
              <w:numPr>
                <w:ilvl w:val="0"/>
                <w:numId w:val="1"/>
              </w:numPr>
              <w:adjustRightInd w:val="0"/>
              <w:snapToGrid w:val="0"/>
              <w:spacing w:line="360" w:lineRule="auto"/>
              <w:rPr>
                <w:rFonts w:ascii="仿宋_GB2312" w:eastAsia="仿宋_GB2312"/>
                <w:sz w:val="24"/>
                <w:szCs w:val="24"/>
              </w:rPr>
            </w:pPr>
            <w:r>
              <w:rPr>
                <w:rFonts w:hint="eastAsia" w:ascii="仿宋_GB2312" w:eastAsia="仿宋_GB2312"/>
                <w:sz w:val="24"/>
                <w:szCs w:val="24"/>
              </w:rPr>
              <w:t>Adobe Reader（英文版）；</w:t>
            </w:r>
          </w:p>
          <w:p>
            <w:pPr>
              <w:widowControl/>
              <w:numPr>
                <w:ilvl w:val="0"/>
                <w:numId w:val="1"/>
              </w:numPr>
              <w:adjustRightInd w:val="0"/>
              <w:snapToGrid w:val="0"/>
              <w:spacing w:line="360" w:lineRule="auto"/>
              <w:rPr>
                <w:rFonts w:ascii="仿宋_GB2312" w:eastAsia="仿宋_GB2312"/>
                <w:sz w:val="24"/>
                <w:szCs w:val="24"/>
                <w:lang w:eastAsia="zh-CN"/>
              </w:rPr>
            </w:pPr>
            <w:r>
              <w:rPr>
                <w:rFonts w:hint="eastAsia" w:ascii="仿宋_GB2312" w:eastAsia="仿宋_GB2312"/>
                <w:sz w:val="24"/>
                <w:szCs w:val="24"/>
                <w:lang w:eastAsia="zh-CN"/>
              </w:rPr>
              <w:t>解压缩软件（英文版）；</w:t>
            </w:r>
          </w:p>
          <w:p>
            <w:pPr>
              <w:widowControl/>
              <w:numPr>
                <w:ilvl w:val="0"/>
                <w:numId w:val="1"/>
              </w:numPr>
              <w:adjustRightInd w:val="0"/>
              <w:snapToGrid w:val="0"/>
              <w:spacing w:line="360" w:lineRule="auto"/>
              <w:rPr>
                <w:rFonts w:ascii="仿宋_GB2312" w:eastAsia="仿宋_GB2312"/>
                <w:sz w:val="24"/>
                <w:szCs w:val="24"/>
              </w:rPr>
            </w:pPr>
            <w:r>
              <w:rPr>
                <w:rFonts w:hint="eastAsia" w:ascii="仿宋_GB2312" w:eastAsia="仿宋_GB2312"/>
                <w:sz w:val="24"/>
                <w:szCs w:val="24"/>
              </w:rPr>
              <w:t>VLC Player或其他视频播放器（英文版）；</w:t>
            </w:r>
          </w:p>
          <w:p>
            <w:pPr>
              <w:widowControl/>
              <w:numPr>
                <w:ilvl w:val="0"/>
                <w:numId w:val="1"/>
              </w:numPr>
              <w:adjustRightInd w:val="0"/>
              <w:snapToGrid w:val="0"/>
              <w:spacing w:line="360" w:lineRule="auto"/>
              <w:rPr>
                <w:rFonts w:ascii="仿宋_GB2312" w:eastAsia="仿宋_GB2312"/>
                <w:sz w:val="24"/>
                <w:szCs w:val="24"/>
                <w:lang w:eastAsia="zh-CN"/>
              </w:rPr>
            </w:pPr>
            <w:r>
              <w:rPr>
                <w:rFonts w:hint="eastAsia" w:ascii="仿宋_GB2312" w:eastAsia="仿宋_GB2312"/>
                <w:sz w:val="24"/>
                <w:szCs w:val="24"/>
                <w:lang w:eastAsia="zh-CN"/>
              </w:rPr>
              <w:t>中文、英文输入法若干；</w:t>
            </w:r>
          </w:p>
        </w:tc>
      </w:tr>
    </w:tbl>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outlineLvl w:val="1"/>
        <w:rPr>
          <w:rFonts w:ascii="楷体_GB2312" w:hAnsi="楷体_GB2312" w:eastAsia="楷体_GB2312" w:cs="楷体_GB2312"/>
          <w:bCs/>
          <w:sz w:val="30"/>
          <w:szCs w:val="30"/>
          <w:shd w:val="clear" w:color="auto" w:fill="FFFFFF"/>
          <w:lang w:eastAsia="zh-CN"/>
        </w:rPr>
      </w:pPr>
      <w:r>
        <w:rPr>
          <w:rFonts w:hint="eastAsia" w:ascii="楷体_GB2312" w:hAnsi="楷体_GB2312" w:eastAsia="楷体_GB2312" w:cs="楷体_GB2312"/>
          <w:bCs/>
          <w:sz w:val="30"/>
          <w:szCs w:val="30"/>
          <w:shd w:val="clear" w:color="auto" w:fill="FFFFFF"/>
          <w:lang w:eastAsia="zh-CN"/>
        </w:rPr>
        <w:t>（二）比赛耗材</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1.竞赛场地必须配备的耗材</w:t>
      </w:r>
    </w:p>
    <w:tbl>
      <w:tblPr>
        <w:tblStyle w:val="13"/>
        <w:tblW w:w="8836" w:type="dxa"/>
        <w:tblInd w:w="0" w:type="dxa"/>
        <w:tblLayout w:type="fixed"/>
        <w:tblCellMar>
          <w:top w:w="0" w:type="dxa"/>
          <w:left w:w="0" w:type="dxa"/>
          <w:bottom w:w="0" w:type="dxa"/>
          <w:right w:w="0" w:type="dxa"/>
        </w:tblCellMar>
      </w:tblPr>
      <w:tblGrid>
        <w:gridCol w:w="1110"/>
        <w:gridCol w:w="2787"/>
        <w:gridCol w:w="2175"/>
        <w:gridCol w:w="1382"/>
        <w:gridCol w:w="1382"/>
      </w:tblGrid>
      <w:tr>
        <w:tblPrEx>
          <w:tblLayout w:type="fixed"/>
          <w:tblCellMar>
            <w:top w:w="0" w:type="dxa"/>
            <w:left w:w="0" w:type="dxa"/>
            <w:bottom w:w="0" w:type="dxa"/>
            <w:right w:w="0" w:type="dxa"/>
          </w:tblCellMar>
        </w:tblPrEx>
        <w:trPr>
          <w:trHeight w:val="567"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黑体" w:hAnsi="黑体" w:eastAsia="黑体" w:cs="黑体"/>
                <w:bCs/>
                <w:color w:val="000000"/>
                <w:sz w:val="28"/>
                <w:szCs w:val="28"/>
              </w:rPr>
            </w:pPr>
            <w:r>
              <w:rPr>
                <w:rFonts w:hint="eastAsia" w:ascii="黑体" w:hAnsi="黑体" w:eastAsia="黑体" w:cs="黑体"/>
                <w:bCs/>
                <w:color w:val="000000"/>
                <w:sz w:val="28"/>
                <w:szCs w:val="28"/>
                <w:lang w:bidi="ar"/>
              </w:rPr>
              <w:t>序号</w:t>
            </w:r>
          </w:p>
        </w:tc>
        <w:tc>
          <w:tcPr>
            <w:tcW w:w="2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黑体" w:hAnsi="黑体" w:eastAsia="黑体" w:cs="黑体"/>
                <w:bCs/>
                <w:color w:val="000000"/>
                <w:sz w:val="28"/>
                <w:szCs w:val="28"/>
              </w:rPr>
            </w:pPr>
            <w:r>
              <w:rPr>
                <w:rFonts w:hint="eastAsia" w:ascii="黑体" w:hAnsi="黑体" w:eastAsia="黑体" w:cs="黑体"/>
                <w:bCs/>
                <w:color w:val="000000"/>
                <w:sz w:val="28"/>
                <w:szCs w:val="28"/>
                <w:lang w:bidi="ar"/>
              </w:rPr>
              <w:t>设备名称</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黑体" w:hAnsi="黑体" w:eastAsia="黑体" w:cs="黑体"/>
                <w:bCs/>
                <w:color w:val="000000"/>
                <w:sz w:val="28"/>
                <w:szCs w:val="28"/>
              </w:rPr>
            </w:pPr>
            <w:r>
              <w:rPr>
                <w:rFonts w:hint="eastAsia" w:ascii="黑体" w:hAnsi="黑体" w:eastAsia="黑体" w:cs="黑体"/>
                <w:bCs/>
                <w:color w:val="000000"/>
                <w:sz w:val="28"/>
                <w:szCs w:val="28"/>
                <w:lang w:bidi="ar"/>
              </w:rPr>
              <w:t>型号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黑体" w:hAnsi="黑体" w:eastAsia="黑体" w:cs="黑体"/>
                <w:bCs/>
                <w:color w:val="000000"/>
                <w:sz w:val="28"/>
                <w:szCs w:val="28"/>
              </w:rPr>
            </w:pPr>
            <w:r>
              <w:rPr>
                <w:rFonts w:hint="eastAsia" w:ascii="黑体" w:hAnsi="黑体" w:eastAsia="黑体" w:cs="黑体"/>
                <w:bCs/>
                <w:color w:val="000000"/>
                <w:sz w:val="28"/>
                <w:szCs w:val="28"/>
                <w:lang w:bidi="ar"/>
              </w:rPr>
              <w:t>单位</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黑体" w:hAnsi="黑体" w:eastAsia="黑体" w:cs="黑体"/>
                <w:bCs/>
                <w:color w:val="000000"/>
                <w:sz w:val="28"/>
                <w:szCs w:val="28"/>
              </w:rPr>
            </w:pPr>
            <w:r>
              <w:rPr>
                <w:rFonts w:hint="eastAsia" w:ascii="黑体" w:hAnsi="黑体" w:eastAsia="黑体" w:cs="黑体"/>
                <w:bCs/>
                <w:color w:val="000000"/>
                <w:sz w:val="28"/>
                <w:szCs w:val="28"/>
                <w:lang w:bidi="ar"/>
              </w:rPr>
              <w:t>数量</w:t>
            </w:r>
          </w:p>
        </w:tc>
      </w:tr>
      <w:tr>
        <w:tblPrEx>
          <w:tblLayout w:type="fixed"/>
          <w:tblCellMar>
            <w:top w:w="0" w:type="dxa"/>
            <w:left w:w="0" w:type="dxa"/>
            <w:bottom w:w="0" w:type="dxa"/>
            <w:right w:w="0" w:type="dxa"/>
          </w:tblCellMar>
        </w:tblPrEx>
        <w:trPr>
          <w:trHeight w:val="567"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1</w:t>
            </w:r>
          </w:p>
        </w:tc>
        <w:tc>
          <w:tcPr>
            <w:tcW w:w="2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打印纸</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A4纸张</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张</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若干</w:t>
            </w:r>
          </w:p>
        </w:tc>
      </w:tr>
      <w:tr>
        <w:tblPrEx>
          <w:tblLayout w:type="fixed"/>
          <w:tblCellMar>
            <w:top w:w="0" w:type="dxa"/>
            <w:left w:w="0" w:type="dxa"/>
            <w:bottom w:w="0" w:type="dxa"/>
            <w:right w:w="0" w:type="dxa"/>
          </w:tblCellMar>
        </w:tblPrEx>
        <w:trPr>
          <w:trHeight w:val="567"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2</w:t>
            </w:r>
          </w:p>
        </w:tc>
        <w:tc>
          <w:tcPr>
            <w:tcW w:w="2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移动存储设备</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不指定</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个</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50</w:t>
            </w:r>
          </w:p>
        </w:tc>
      </w:tr>
      <w:tr>
        <w:tblPrEx>
          <w:tblLayout w:type="fixed"/>
          <w:tblCellMar>
            <w:top w:w="0" w:type="dxa"/>
            <w:left w:w="0" w:type="dxa"/>
            <w:bottom w:w="0" w:type="dxa"/>
            <w:right w:w="0" w:type="dxa"/>
          </w:tblCellMar>
        </w:tblPrEx>
        <w:trPr>
          <w:trHeight w:val="567"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3</w:t>
            </w:r>
          </w:p>
        </w:tc>
        <w:tc>
          <w:tcPr>
            <w:tcW w:w="2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签字笔</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不指定</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支</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若干</w:t>
            </w:r>
          </w:p>
        </w:tc>
      </w:tr>
      <w:tr>
        <w:tblPrEx>
          <w:tblLayout w:type="fixed"/>
          <w:tblCellMar>
            <w:top w:w="0" w:type="dxa"/>
            <w:left w:w="0" w:type="dxa"/>
            <w:bottom w:w="0" w:type="dxa"/>
            <w:right w:w="0" w:type="dxa"/>
          </w:tblCellMar>
        </w:tblPrEx>
        <w:trPr>
          <w:trHeight w:val="567"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4</w:t>
            </w:r>
          </w:p>
        </w:tc>
        <w:tc>
          <w:tcPr>
            <w:tcW w:w="2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_GB2312" w:eastAsia="仿宋_GB2312"/>
                <w:sz w:val="24"/>
                <w:szCs w:val="24"/>
                <w:lang w:eastAsia="zh-CN"/>
              </w:rPr>
            </w:pPr>
            <w:r>
              <w:rPr>
                <w:rFonts w:hint="eastAsia" w:ascii="仿宋_GB2312" w:eastAsia="仿宋_GB2312"/>
                <w:sz w:val="24"/>
                <w:szCs w:val="24"/>
                <w:lang w:eastAsia="zh-CN"/>
              </w:rPr>
              <w:t>参赛者的文件访问密码</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_GB2312" w:eastAsia="仿宋_GB2312"/>
                <w:sz w:val="24"/>
                <w:szCs w:val="24"/>
              </w:rPr>
            </w:pPr>
            <w:r>
              <w:rPr>
                <w:rFonts w:hint="eastAsia" w:ascii="仿宋_GB2312" w:eastAsia="仿宋_GB2312"/>
                <w:sz w:val="24"/>
                <w:szCs w:val="24"/>
              </w:rPr>
              <w:t>指定</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_GB2312" w:eastAsia="仿宋_GB2312"/>
                <w:sz w:val="24"/>
                <w:szCs w:val="24"/>
              </w:rPr>
            </w:pPr>
            <w:r>
              <w:rPr>
                <w:rFonts w:hint="eastAsia" w:ascii="仿宋_GB2312" w:eastAsia="仿宋_GB2312"/>
                <w:sz w:val="24"/>
                <w:szCs w:val="24"/>
              </w:rPr>
              <w:t>套</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_GB2312" w:eastAsia="仿宋_GB2312"/>
                <w:sz w:val="24"/>
                <w:szCs w:val="24"/>
              </w:rPr>
            </w:pPr>
            <w:r>
              <w:rPr>
                <w:rFonts w:hint="eastAsia" w:ascii="仿宋_GB2312" w:eastAsia="仿宋_GB2312"/>
                <w:sz w:val="24"/>
                <w:szCs w:val="24"/>
              </w:rPr>
              <w:t>若干</w:t>
            </w:r>
          </w:p>
        </w:tc>
      </w:tr>
      <w:tr>
        <w:tblPrEx>
          <w:tblLayout w:type="fixed"/>
          <w:tblCellMar>
            <w:top w:w="0" w:type="dxa"/>
            <w:left w:w="0" w:type="dxa"/>
            <w:bottom w:w="0" w:type="dxa"/>
            <w:right w:w="0" w:type="dxa"/>
          </w:tblCellMar>
        </w:tblPrEx>
        <w:trPr>
          <w:trHeight w:val="567"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5</w:t>
            </w:r>
          </w:p>
        </w:tc>
        <w:tc>
          <w:tcPr>
            <w:tcW w:w="2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_GB2312" w:eastAsia="仿宋_GB2312"/>
                <w:sz w:val="24"/>
                <w:szCs w:val="24"/>
              </w:rPr>
            </w:pPr>
            <w:r>
              <w:rPr>
                <w:rFonts w:hint="eastAsia" w:ascii="仿宋_GB2312" w:eastAsia="仿宋_GB2312"/>
                <w:sz w:val="24"/>
                <w:szCs w:val="24"/>
              </w:rPr>
              <w:t>油性记号笔</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_GB2312" w:eastAsia="仿宋_GB2312"/>
                <w:sz w:val="24"/>
                <w:szCs w:val="24"/>
              </w:rPr>
            </w:pPr>
            <w:r>
              <w:rPr>
                <w:rFonts w:hint="eastAsia" w:ascii="仿宋_GB2312" w:eastAsia="仿宋_GB2312"/>
                <w:sz w:val="24"/>
                <w:szCs w:val="24"/>
              </w:rPr>
              <w:t>不指定</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_GB2312" w:eastAsia="仿宋_GB2312"/>
                <w:sz w:val="24"/>
                <w:szCs w:val="24"/>
              </w:rPr>
            </w:pPr>
            <w:r>
              <w:rPr>
                <w:rFonts w:hint="eastAsia" w:ascii="仿宋_GB2312" w:eastAsia="仿宋_GB2312"/>
                <w:sz w:val="24"/>
                <w:szCs w:val="24"/>
              </w:rPr>
              <w:t>支</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_GB2312" w:eastAsia="仿宋_GB2312"/>
                <w:sz w:val="24"/>
                <w:szCs w:val="24"/>
              </w:rPr>
            </w:pPr>
            <w:r>
              <w:rPr>
                <w:rFonts w:hint="eastAsia" w:ascii="仿宋_GB2312" w:eastAsia="仿宋_GB2312"/>
                <w:sz w:val="24"/>
                <w:szCs w:val="24"/>
              </w:rPr>
              <w:t>若干</w:t>
            </w:r>
          </w:p>
        </w:tc>
      </w:tr>
    </w:tbl>
    <w:p>
      <w:pPr>
        <w:spacing w:line="360" w:lineRule="auto"/>
        <w:ind w:firstLine="600" w:firstLineChars="200"/>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2.竞赛场地禁止自带使用的设备和材料</w:t>
      </w:r>
    </w:p>
    <w:tbl>
      <w:tblPr>
        <w:tblStyle w:val="13"/>
        <w:tblW w:w="8836" w:type="dxa"/>
        <w:tblInd w:w="0" w:type="dxa"/>
        <w:tblLayout w:type="fixed"/>
        <w:tblCellMar>
          <w:top w:w="0" w:type="dxa"/>
          <w:left w:w="0" w:type="dxa"/>
          <w:bottom w:w="0" w:type="dxa"/>
          <w:right w:w="0" w:type="dxa"/>
        </w:tblCellMar>
      </w:tblPr>
      <w:tblGrid>
        <w:gridCol w:w="2342"/>
        <w:gridCol w:w="6494"/>
      </w:tblGrid>
      <w:tr>
        <w:tblPrEx>
          <w:tblLayout w:type="fixed"/>
          <w:tblCellMar>
            <w:top w:w="0" w:type="dxa"/>
            <w:left w:w="0" w:type="dxa"/>
            <w:bottom w:w="0" w:type="dxa"/>
            <w:right w:w="0" w:type="dxa"/>
          </w:tblCellMar>
        </w:tblPrEx>
        <w:trPr>
          <w:trHeight w:val="567" w:hRule="atLeast"/>
        </w:trPr>
        <w:tc>
          <w:tcPr>
            <w:tcW w:w="2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黑体" w:hAnsi="黑体" w:eastAsia="黑体" w:cs="黑体"/>
                <w:bCs/>
                <w:color w:val="000000"/>
                <w:sz w:val="28"/>
                <w:szCs w:val="28"/>
                <w:lang w:bidi="ar"/>
              </w:rPr>
            </w:pPr>
            <w:r>
              <w:rPr>
                <w:rFonts w:hint="eastAsia" w:ascii="黑体" w:hAnsi="黑体" w:eastAsia="黑体" w:cs="黑体"/>
                <w:bCs/>
                <w:color w:val="000000"/>
                <w:sz w:val="28"/>
                <w:szCs w:val="28"/>
                <w:lang w:bidi="ar"/>
              </w:rPr>
              <w:t>序号</w:t>
            </w:r>
          </w:p>
        </w:tc>
        <w:tc>
          <w:tcPr>
            <w:tcW w:w="6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黑体" w:hAnsi="黑体" w:eastAsia="黑体" w:cs="黑体"/>
                <w:bCs/>
                <w:color w:val="000000"/>
                <w:sz w:val="28"/>
                <w:szCs w:val="28"/>
                <w:lang w:bidi="ar"/>
              </w:rPr>
            </w:pPr>
            <w:r>
              <w:rPr>
                <w:rFonts w:hint="eastAsia" w:ascii="黑体" w:hAnsi="黑体" w:eastAsia="黑体" w:cs="黑体"/>
                <w:bCs/>
                <w:color w:val="000000"/>
                <w:sz w:val="28"/>
                <w:szCs w:val="28"/>
                <w:lang w:bidi="ar"/>
              </w:rPr>
              <w:t>设备和材料名称</w:t>
            </w:r>
          </w:p>
        </w:tc>
      </w:tr>
      <w:tr>
        <w:tblPrEx>
          <w:tblLayout w:type="fixed"/>
          <w:tblCellMar>
            <w:top w:w="0" w:type="dxa"/>
            <w:left w:w="0" w:type="dxa"/>
            <w:bottom w:w="0" w:type="dxa"/>
            <w:right w:w="0" w:type="dxa"/>
          </w:tblCellMar>
        </w:tblPrEx>
        <w:trPr>
          <w:trHeight w:val="567" w:hRule="atLeast"/>
        </w:trPr>
        <w:tc>
          <w:tcPr>
            <w:tcW w:w="2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1</w:t>
            </w:r>
          </w:p>
        </w:tc>
        <w:tc>
          <w:tcPr>
            <w:tcW w:w="6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手机</w:t>
            </w:r>
          </w:p>
        </w:tc>
      </w:tr>
      <w:tr>
        <w:tblPrEx>
          <w:tblLayout w:type="fixed"/>
          <w:tblCellMar>
            <w:top w:w="0" w:type="dxa"/>
            <w:left w:w="0" w:type="dxa"/>
            <w:bottom w:w="0" w:type="dxa"/>
            <w:right w:w="0" w:type="dxa"/>
          </w:tblCellMar>
        </w:tblPrEx>
        <w:trPr>
          <w:trHeight w:val="567" w:hRule="atLeast"/>
        </w:trPr>
        <w:tc>
          <w:tcPr>
            <w:tcW w:w="2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2</w:t>
            </w:r>
          </w:p>
        </w:tc>
        <w:tc>
          <w:tcPr>
            <w:tcW w:w="6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蓝牙设备</w:t>
            </w:r>
          </w:p>
        </w:tc>
      </w:tr>
      <w:tr>
        <w:tblPrEx>
          <w:tblLayout w:type="fixed"/>
          <w:tblCellMar>
            <w:top w:w="0" w:type="dxa"/>
            <w:left w:w="0" w:type="dxa"/>
            <w:bottom w:w="0" w:type="dxa"/>
            <w:right w:w="0" w:type="dxa"/>
          </w:tblCellMar>
        </w:tblPrEx>
        <w:trPr>
          <w:trHeight w:val="567" w:hRule="atLeast"/>
        </w:trPr>
        <w:tc>
          <w:tcPr>
            <w:tcW w:w="2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3</w:t>
            </w:r>
          </w:p>
        </w:tc>
        <w:tc>
          <w:tcPr>
            <w:tcW w:w="6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无线接收器</w:t>
            </w:r>
          </w:p>
        </w:tc>
      </w:tr>
      <w:tr>
        <w:tblPrEx>
          <w:tblLayout w:type="fixed"/>
          <w:tblCellMar>
            <w:top w:w="0" w:type="dxa"/>
            <w:left w:w="0" w:type="dxa"/>
            <w:bottom w:w="0" w:type="dxa"/>
            <w:right w:w="0" w:type="dxa"/>
          </w:tblCellMar>
        </w:tblPrEx>
        <w:trPr>
          <w:trHeight w:val="567" w:hRule="atLeast"/>
        </w:trPr>
        <w:tc>
          <w:tcPr>
            <w:tcW w:w="2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4</w:t>
            </w:r>
          </w:p>
        </w:tc>
        <w:tc>
          <w:tcPr>
            <w:tcW w:w="6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其他电子设备</w:t>
            </w:r>
          </w:p>
        </w:tc>
      </w:tr>
      <w:tr>
        <w:tblPrEx>
          <w:tblLayout w:type="fixed"/>
          <w:tblCellMar>
            <w:top w:w="0" w:type="dxa"/>
            <w:left w:w="0" w:type="dxa"/>
            <w:bottom w:w="0" w:type="dxa"/>
            <w:right w:w="0" w:type="dxa"/>
          </w:tblCellMar>
        </w:tblPrEx>
        <w:trPr>
          <w:trHeight w:val="567" w:hRule="atLeast"/>
        </w:trPr>
        <w:tc>
          <w:tcPr>
            <w:tcW w:w="2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5</w:t>
            </w:r>
          </w:p>
        </w:tc>
        <w:tc>
          <w:tcPr>
            <w:tcW w:w="6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其他比赛禁止的物品</w:t>
            </w:r>
          </w:p>
        </w:tc>
      </w:tr>
    </w:tbl>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outlineLvl w:val="1"/>
        <w:rPr>
          <w:rFonts w:ascii="楷体_GB2312" w:hAnsi="楷体_GB2312" w:eastAsia="楷体_GB2312" w:cs="楷体_GB2312"/>
          <w:bCs/>
          <w:sz w:val="30"/>
          <w:szCs w:val="30"/>
          <w:shd w:val="clear" w:color="auto" w:fill="FFFFFF"/>
          <w:lang w:eastAsia="zh-CN"/>
        </w:rPr>
      </w:pPr>
      <w:r>
        <w:rPr>
          <w:rFonts w:hint="eastAsia" w:ascii="楷体_GB2312" w:hAnsi="楷体_GB2312" w:eastAsia="楷体_GB2312" w:cs="楷体_GB2312"/>
          <w:bCs/>
          <w:sz w:val="30"/>
          <w:szCs w:val="30"/>
          <w:shd w:val="clear" w:color="auto" w:fill="FFFFFF"/>
          <w:lang w:eastAsia="zh-CN"/>
        </w:rPr>
        <w:t>（三）场地布局</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hAnsi="仿宋_GB2312" w:eastAsia="仿宋_GB2312" w:cs="仿宋_GB2312"/>
          <w:b/>
          <w:bCs/>
          <w:sz w:val="30"/>
          <w:szCs w:val="30"/>
          <w:shd w:val="clear" w:color="auto" w:fill="FFFFFF"/>
        </w:rPr>
      </w:pPr>
      <w:r>
        <w:rPr>
          <w:rFonts w:hint="eastAsia" w:ascii="仿宋_GB2312" w:hAnsi="仿宋_GB2312" w:eastAsia="仿宋_GB2312" w:cs="仿宋_GB2312"/>
          <w:bCs/>
          <w:sz w:val="30"/>
          <w:szCs w:val="30"/>
          <w:shd w:val="clear" w:color="auto" w:fill="FFFFFF"/>
        </w:rPr>
        <w:t>1.赛场环境设计</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设置裁判室、裁判工作区域、路演大厅、登分室、技术保障室、机房打印机，根据选手数量设置考核工位数100个（含备用工位一个）。</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现场保证良好的采光、照明和通风，提供稳定的水、电和供电应急设备，同时提供指导教师休息场所。</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所有竞赛设备由赛项执委会负责提供和保障，竞赛区按照参赛队数量准备比赛所需的软硬件平台，为参赛队提供标准竞赛设备。技术支持区为参赛选手提供竞赛相关设备备件，服务区提供医疗等服务保障。</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bCs/>
          <w:sz w:val="30"/>
          <w:szCs w:val="30"/>
          <w:shd w:val="clear" w:color="auto" w:fill="FFFFFF"/>
          <w:lang w:eastAsia="zh-CN"/>
        </w:rPr>
        <w:t>竞赛环境依据竞赛需求设计，在竞赛不被干扰的前提下赛场面向媒体、行业专家开放，允许媒体、行业专家在规定的时段内沿指定路线进行现场参观。</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0"/>
        <w:rPr>
          <w:rFonts w:ascii="黑体" w:hAnsi="黑体" w:eastAsia="黑体" w:cstheme="minorBidi"/>
          <w:bCs/>
          <w:kern w:val="2"/>
          <w:sz w:val="30"/>
          <w:szCs w:val="30"/>
          <w:lang w:eastAsia="zh-CN"/>
        </w:rPr>
      </w:pPr>
      <w:bookmarkStart w:id="3" w:name="_Toc61004418"/>
      <w:r>
        <w:rPr>
          <w:rFonts w:hint="eastAsia" w:ascii="黑体" w:hAnsi="黑体" w:eastAsia="黑体" w:cstheme="minorBidi"/>
          <w:bCs/>
          <w:kern w:val="2"/>
          <w:sz w:val="30"/>
          <w:szCs w:val="30"/>
          <w:lang w:eastAsia="zh-CN"/>
        </w:rPr>
        <w:t>十一、技术规范</w:t>
      </w:r>
      <w:bookmarkEnd w:id="3"/>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1．国际商会《2010国际贸易术语解释通则》</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2．《国际货运代理业务统计导则》（GB/T22152-2008）</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3．《国际货运代理通用交易条件》（GB/T22153-2008）</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4．《国际货运代理服务质量要求》（GB/T22154-2008）</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5．《国际货运代理企业资质和等级评价指标》（GB/T22155-2008）</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6．《国际货运代理作业规范》（GB/T22151-2008）</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7．《国际贸易计量单位代码》（GB/T17295-2008）</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8．《海上国际集装箱货物交付单证》（GB/T18156-2000）</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9．《物流术语》</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10．《中华人民共和国进出口关税条例》</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11．《中华人民共和国进出口货物原产地条例》</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12．《中华人民共和国知识产权海关保护条例》</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13．《中华人民共和国海关进出口货物报关单填制规范》</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14．《关于跨境电子商务零售进出口商品有关监管事宜的公告》</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15．世界海关组织《商品名称及编码协调制度》</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16．中国海关《进出口税则商品及品目注释》</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17．世界海关组织《全球贸易安全与便利标准框架》</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0"/>
        <w:rPr>
          <w:rFonts w:cs="宋体"/>
          <w:b/>
          <w:sz w:val="28"/>
          <w:szCs w:val="28"/>
          <w:lang w:eastAsia="zh-CN"/>
        </w:rPr>
      </w:pPr>
      <w:bookmarkStart w:id="4" w:name="_Toc61004420"/>
      <w:r>
        <w:rPr>
          <w:rFonts w:hint="eastAsia" w:ascii="黑体" w:hAnsi="黑体" w:eastAsia="黑体" w:cstheme="minorBidi"/>
          <w:bCs/>
          <w:kern w:val="2"/>
          <w:sz w:val="30"/>
          <w:szCs w:val="30"/>
          <w:lang w:eastAsia="zh-CN"/>
        </w:rPr>
        <w:t>十二、成绩评定</w:t>
      </w:r>
      <w:bookmarkEnd w:id="4"/>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outlineLvl w:val="1"/>
        <w:rPr>
          <w:rFonts w:ascii="楷体_GB2312" w:hAnsi="楷体_GB2312" w:eastAsia="楷体_GB2312" w:cs="楷体_GB2312"/>
          <w:bCs/>
          <w:sz w:val="30"/>
          <w:szCs w:val="30"/>
          <w:shd w:val="clear" w:color="auto" w:fill="FFFFFF"/>
          <w:lang w:eastAsia="zh-CN"/>
        </w:rPr>
      </w:pPr>
      <w:r>
        <w:rPr>
          <w:rFonts w:hint="eastAsia" w:ascii="楷体_GB2312" w:hAnsi="楷体_GB2312" w:eastAsia="楷体_GB2312" w:cs="楷体_GB2312"/>
          <w:bCs/>
          <w:sz w:val="30"/>
          <w:szCs w:val="30"/>
          <w:shd w:val="clear" w:color="auto" w:fill="FFFFFF"/>
          <w:lang w:eastAsia="zh-CN"/>
        </w:rPr>
        <w:t>（一）评分标准制定原则</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采用过程评价与结果评价相结合、行业技能评价与职业素养评价相结合的评价方式，评分标准以“公开、公平、公正”为原则。为了保证评分“公开、公平、公正”，采取以下措施：</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1.赛项考核内容和评分标准提前公开，使各参赛队处于公平备赛状态。</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2.赛项执委会统一提供竞赛用品，提前开放竞赛赛场，使各参赛队所在赛场条件一致。</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3.赛项执委会通过赛项说明会、赛点信息发布平台等发布官方信息，使各参赛队获取赛项信息渠道一致。</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4.整个竞赛过程全程录像和监控，保证无人为因素影响成绩，使各参赛队处于公开、公平、公正、独立和透明的竞赛环境。</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outlineLvl w:val="1"/>
        <w:rPr>
          <w:rFonts w:ascii="楷体_GB2312" w:hAnsi="楷体_GB2312" w:eastAsia="楷体_GB2312" w:cs="楷体_GB2312"/>
          <w:bCs/>
          <w:sz w:val="30"/>
          <w:szCs w:val="30"/>
          <w:shd w:val="clear" w:color="auto" w:fill="FFFFFF"/>
          <w:lang w:eastAsia="zh-CN"/>
        </w:rPr>
      </w:pPr>
      <w:r>
        <w:rPr>
          <w:rFonts w:hint="eastAsia" w:ascii="楷体_GB2312" w:hAnsi="楷体_GB2312" w:eastAsia="楷体_GB2312" w:cs="楷体_GB2312"/>
          <w:bCs/>
          <w:sz w:val="30"/>
          <w:szCs w:val="30"/>
          <w:shd w:val="clear" w:color="auto" w:fill="FFFFFF"/>
          <w:lang w:eastAsia="zh-CN"/>
        </w:rPr>
        <w:t>（二）评分标准</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本项目评分标准分为测量和评价两类。凡可采用客观数据表述的评判称为测量；凡需要采用主观描述进行的评判称为评价。</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1.评价分（主观）</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评价分（Judgement）打分方式：按工作任务设置评分组，裁判评分分差必须小于等于1分为有效评分。</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分数区间大致按照以下标准划分：</w:t>
      </w:r>
    </w:p>
    <w:tbl>
      <w:tblPr>
        <w:tblStyle w:val="13"/>
        <w:tblW w:w="8719" w:type="dxa"/>
        <w:tblInd w:w="0" w:type="dxa"/>
        <w:tblLayout w:type="fixed"/>
        <w:tblCellMar>
          <w:top w:w="0" w:type="dxa"/>
          <w:left w:w="0" w:type="dxa"/>
          <w:bottom w:w="0" w:type="dxa"/>
          <w:right w:w="0" w:type="dxa"/>
        </w:tblCellMar>
      </w:tblPr>
      <w:tblGrid>
        <w:gridCol w:w="1712"/>
        <w:gridCol w:w="7007"/>
      </w:tblGrid>
      <w:tr>
        <w:tblPrEx>
          <w:tblLayout w:type="fixed"/>
          <w:tblCellMar>
            <w:top w:w="0" w:type="dxa"/>
            <w:left w:w="0" w:type="dxa"/>
            <w:bottom w:w="0" w:type="dxa"/>
            <w:right w:w="0" w:type="dxa"/>
          </w:tblCellMar>
        </w:tblPrEx>
        <w:trPr>
          <w:trHeight w:val="567" w:hRule="atLeast"/>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bCs/>
                <w:color w:val="000000"/>
                <w:sz w:val="28"/>
                <w:szCs w:val="28"/>
              </w:rPr>
            </w:pPr>
            <w:r>
              <w:rPr>
                <w:rFonts w:hint="eastAsia" w:ascii="黑体" w:hAnsi="黑体" w:eastAsia="黑体" w:cs="黑体"/>
                <w:bCs/>
                <w:color w:val="000000"/>
                <w:sz w:val="28"/>
                <w:szCs w:val="28"/>
                <w:lang w:bidi="ar"/>
              </w:rPr>
              <w:t>权重分值</w:t>
            </w:r>
          </w:p>
        </w:tc>
        <w:tc>
          <w:tcPr>
            <w:tcW w:w="7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bCs/>
                <w:color w:val="000000"/>
                <w:sz w:val="28"/>
                <w:szCs w:val="28"/>
              </w:rPr>
            </w:pPr>
            <w:r>
              <w:rPr>
                <w:rFonts w:hint="eastAsia" w:ascii="黑体" w:hAnsi="黑体" w:eastAsia="黑体" w:cs="黑体"/>
                <w:bCs/>
                <w:color w:val="000000"/>
                <w:sz w:val="28"/>
                <w:szCs w:val="28"/>
                <w:lang w:bidi="ar"/>
              </w:rPr>
              <w:t>要求描述</w:t>
            </w:r>
          </w:p>
        </w:tc>
      </w:tr>
      <w:tr>
        <w:tblPrEx>
          <w:tblLayout w:type="fixed"/>
          <w:tblCellMar>
            <w:top w:w="0" w:type="dxa"/>
            <w:left w:w="0" w:type="dxa"/>
            <w:bottom w:w="0" w:type="dxa"/>
            <w:right w:w="0" w:type="dxa"/>
          </w:tblCellMar>
        </w:tblPrEx>
        <w:trPr>
          <w:trHeight w:val="567" w:hRule="atLeast"/>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0分</w:t>
            </w:r>
          </w:p>
        </w:tc>
        <w:tc>
          <w:tcPr>
            <w:tcW w:w="7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表现不符合行业要求</w:t>
            </w:r>
          </w:p>
        </w:tc>
      </w:tr>
      <w:tr>
        <w:tblPrEx>
          <w:tblLayout w:type="fixed"/>
          <w:tblCellMar>
            <w:top w:w="0" w:type="dxa"/>
            <w:left w:w="0" w:type="dxa"/>
            <w:bottom w:w="0" w:type="dxa"/>
            <w:right w:w="0" w:type="dxa"/>
          </w:tblCellMar>
        </w:tblPrEx>
        <w:trPr>
          <w:trHeight w:val="567" w:hRule="atLeast"/>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1分</w:t>
            </w:r>
          </w:p>
        </w:tc>
        <w:tc>
          <w:tcPr>
            <w:tcW w:w="7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表现可以被行业接受</w:t>
            </w:r>
          </w:p>
        </w:tc>
      </w:tr>
      <w:tr>
        <w:tblPrEx>
          <w:tblLayout w:type="fixed"/>
          <w:tblCellMar>
            <w:top w:w="0" w:type="dxa"/>
            <w:left w:w="0" w:type="dxa"/>
            <w:bottom w:w="0" w:type="dxa"/>
            <w:right w:w="0" w:type="dxa"/>
          </w:tblCellMar>
        </w:tblPrEx>
        <w:trPr>
          <w:trHeight w:val="567" w:hRule="atLeast"/>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2分</w:t>
            </w:r>
          </w:p>
        </w:tc>
        <w:tc>
          <w:tcPr>
            <w:tcW w:w="7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lang w:eastAsia="zh-CN"/>
              </w:rPr>
            </w:pPr>
            <w:r>
              <w:rPr>
                <w:rFonts w:hint="eastAsia" w:ascii="仿宋_GB2312" w:eastAsia="仿宋_GB2312"/>
                <w:sz w:val="24"/>
                <w:szCs w:val="24"/>
                <w:lang w:eastAsia="zh-CN"/>
              </w:rPr>
              <w:t>表现可以被行业接受，而且还展现出一些高质量的特点</w:t>
            </w:r>
          </w:p>
        </w:tc>
      </w:tr>
      <w:tr>
        <w:tblPrEx>
          <w:tblLayout w:type="fixed"/>
          <w:tblCellMar>
            <w:top w:w="0" w:type="dxa"/>
            <w:left w:w="0" w:type="dxa"/>
            <w:bottom w:w="0" w:type="dxa"/>
            <w:right w:w="0" w:type="dxa"/>
          </w:tblCellMar>
        </w:tblPrEx>
        <w:trPr>
          <w:trHeight w:val="567" w:hRule="atLeast"/>
        </w:trPr>
        <w:tc>
          <w:tcPr>
            <w:tcW w:w="1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3分</w:t>
            </w:r>
          </w:p>
        </w:tc>
        <w:tc>
          <w:tcPr>
            <w:tcW w:w="7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表现十分优秀</w:t>
            </w:r>
          </w:p>
        </w:tc>
      </w:tr>
    </w:tbl>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outlineLvl w:val="9"/>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2.测量分（客观）</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outlineLvl w:val="9"/>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测量分（Measurement）打分方式：按工作设置若干个评分组，测量评分准则大致参考以下样表：</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outlineLvl w:val="9"/>
        <w:rPr>
          <w:rFonts w:ascii="仿宋_GB2312" w:hAnsi="仿宋_GB2312" w:eastAsia="仿宋_GB2312" w:cs="仿宋_GB2312"/>
          <w:bCs/>
          <w:sz w:val="30"/>
          <w:szCs w:val="30"/>
          <w:shd w:val="clear" w:color="auto" w:fill="FFFFFF"/>
          <w:lang w:eastAsia="zh-CN"/>
        </w:rPr>
      </w:pPr>
      <w:r>
        <w:rPr>
          <w:rFonts w:hint="eastAsia" w:ascii="仿宋_GB2312" w:hAnsi="仿宋_GB2312" w:eastAsia="仿宋_GB2312" w:cs="仿宋_GB2312"/>
          <w:bCs/>
          <w:sz w:val="30"/>
          <w:szCs w:val="30"/>
          <w:shd w:val="clear" w:color="auto" w:fill="FFFFFF"/>
          <w:lang w:eastAsia="zh-CN"/>
        </w:rPr>
        <w:t>测量分评分准则样例表：</w:t>
      </w:r>
    </w:p>
    <w:tbl>
      <w:tblPr>
        <w:tblStyle w:val="13"/>
        <w:tblW w:w="8835" w:type="dxa"/>
        <w:tblInd w:w="0" w:type="dxa"/>
        <w:tblLayout w:type="fixed"/>
        <w:tblCellMar>
          <w:top w:w="0" w:type="dxa"/>
          <w:left w:w="0" w:type="dxa"/>
          <w:bottom w:w="0" w:type="dxa"/>
          <w:right w:w="0" w:type="dxa"/>
        </w:tblCellMar>
      </w:tblPr>
      <w:tblGrid>
        <w:gridCol w:w="1631"/>
        <w:gridCol w:w="1631"/>
        <w:gridCol w:w="1631"/>
        <w:gridCol w:w="1631"/>
        <w:gridCol w:w="2311"/>
      </w:tblGrid>
      <w:tr>
        <w:tblPrEx>
          <w:tblLayout w:type="fixed"/>
          <w:tblCellMar>
            <w:top w:w="0" w:type="dxa"/>
            <w:left w:w="0" w:type="dxa"/>
            <w:bottom w:w="0" w:type="dxa"/>
            <w:right w:w="0" w:type="dxa"/>
          </w:tblCellMar>
        </w:tblPrEx>
        <w:trPr>
          <w:trHeight w:val="567" w:hRule="atLeast"/>
        </w:trPr>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bCs/>
                <w:color w:val="000000"/>
                <w:sz w:val="28"/>
                <w:szCs w:val="28"/>
                <w:lang w:bidi="ar"/>
              </w:rPr>
            </w:pPr>
            <w:r>
              <w:rPr>
                <w:rFonts w:hint="eastAsia" w:ascii="黑体" w:hAnsi="黑体" w:eastAsia="黑体" w:cs="黑体"/>
                <w:bCs/>
                <w:color w:val="000000"/>
                <w:sz w:val="28"/>
                <w:szCs w:val="28"/>
                <w:lang w:bidi="ar"/>
              </w:rPr>
              <w:t>类型</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bCs/>
                <w:color w:val="000000"/>
                <w:sz w:val="28"/>
                <w:szCs w:val="28"/>
                <w:lang w:bidi="ar"/>
              </w:rPr>
            </w:pPr>
            <w:r>
              <w:rPr>
                <w:rFonts w:hint="eastAsia" w:ascii="黑体" w:hAnsi="黑体" w:eastAsia="黑体" w:cs="黑体"/>
                <w:bCs/>
                <w:color w:val="000000"/>
                <w:sz w:val="28"/>
                <w:szCs w:val="28"/>
                <w:lang w:bidi="ar"/>
              </w:rPr>
              <w:t>示例</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bCs/>
                <w:color w:val="000000"/>
                <w:sz w:val="28"/>
                <w:szCs w:val="28"/>
                <w:lang w:bidi="ar"/>
              </w:rPr>
            </w:pPr>
            <w:r>
              <w:rPr>
                <w:rFonts w:hint="eastAsia" w:ascii="黑体" w:hAnsi="黑体" w:eastAsia="黑体" w:cs="黑体"/>
                <w:bCs/>
                <w:color w:val="000000"/>
                <w:sz w:val="28"/>
                <w:szCs w:val="28"/>
                <w:lang w:bidi="ar"/>
              </w:rPr>
              <w:t>最高分值</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bCs/>
                <w:color w:val="000000"/>
                <w:sz w:val="28"/>
                <w:szCs w:val="28"/>
                <w:lang w:bidi="ar"/>
              </w:rPr>
            </w:pPr>
            <w:r>
              <w:rPr>
                <w:rFonts w:hint="eastAsia" w:ascii="黑体" w:hAnsi="黑体" w:eastAsia="黑体" w:cs="黑体"/>
                <w:bCs/>
                <w:color w:val="000000"/>
                <w:sz w:val="28"/>
                <w:szCs w:val="28"/>
                <w:lang w:bidi="ar"/>
              </w:rPr>
              <w:t>正确分值</w:t>
            </w: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bCs/>
                <w:color w:val="000000"/>
                <w:sz w:val="28"/>
                <w:szCs w:val="28"/>
                <w:lang w:bidi="ar"/>
              </w:rPr>
            </w:pPr>
            <w:r>
              <w:rPr>
                <w:rFonts w:hint="eastAsia" w:ascii="黑体" w:hAnsi="黑体" w:eastAsia="黑体" w:cs="黑体"/>
                <w:bCs/>
                <w:color w:val="000000"/>
                <w:sz w:val="28"/>
                <w:szCs w:val="28"/>
                <w:lang w:bidi="ar"/>
              </w:rPr>
              <w:t>不正确分值</w:t>
            </w:r>
          </w:p>
        </w:tc>
      </w:tr>
      <w:tr>
        <w:tblPrEx>
          <w:tblLayout w:type="fixed"/>
          <w:tblCellMar>
            <w:top w:w="0" w:type="dxa"/>
            <w:left w:w="0" w:type="dxa"/>
            <w:bottom w:w="0" w:type="dxa"/>
            <w:right w:w="0" w:type="dxa"/>
          </w:tblCellMar>
        </w:tblPrEx>
        <w:trPr>
          <w:trHeight w:val="567" w:hRule="atLeast"/>
        </w:trPr>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满分或零分</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集装箱的数量</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1</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1</w:t>
            </w: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0</w:t>
            </w:r>
          </w:p>
        </w:tc>
      </w:tr>
      <w:tr>
        <w:tblPrEx>
          <w:tblLayout w:type="fixed"/>
          <w:tblCellMar>
            <w:top w:w="0" w:type="dxa"/>
            <w:left w:w="0" w:type="dxa"/>
            <w:bottom w:w="0" w:type="dxa"/>
            <w:right w:w="0" w:type="dxa"/>
          </w:tblCellMar>
        </w:tblPrEx>
        <w:trPr>
          <w:trHeight w:val="567" w:hRule="atLeast"/>
        </w:trPr>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lang w:eastAsia="zh-CN"/>
              </w:rPr>
            </w:pPr>
            <w:r>
              <w:rPr>
                <w:rFonts w:hint="eastAsia" w:ascii="仿宋_GB2312" w:eastAsia="仿宋_GB2312"/>
                <w:sz w:val="24"/>
                <w:szCs w:val="24"/>
                <w:lang w:eastAsia="zh-CN"/>
              </w:rPr>
              <w:t>从满分中扣除规定分数</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lang w:eastAsia="zh-CN"/>
              </w:rPr>
            </w:pPr>
            <w:r>
              <w:rPr>
                <w:rFonts w:hint="eastAsia" w:ascii="仿宋_GB2312" w:eastAsia="仿宋_GB2312"/>
                <w:sz w:val="24"/>
                <w:szCs w:val="24"/>
                <w:lang w:eastAsia="zh-CN"/>
              </w:rPr>
              <w:t>按规定要求缮制货代单据（每个错误扣除0.1分）</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1</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1</w:t>
            </w: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0-0.9</w:t>
            </w:r>
          </w:p>
        </w:tc>
      </w:tr>
      <w:tr>
        <w:tblPrEx>
          <w:tblLayout w:type="fixed"/>
          <w:tblCellMar>
            <w:top w:w="0" w:type="dxa"/>
            <w:left w:w="0" w:type="dxa"/>
            <w:bottom w:w="0" w:type="dxa"/>
            <w:right w:w="0" w:type="dxa"/>
          </w:tblCellMar>
        </w:tblPrEx>
        <w:trPr>
          <w:trHeight w:val="567" w:hRule="atLeast"/>
        </w:trPr>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lang w:eastAsia="zh-CN"/>
              </w:rPr>
            </w:pPr>
            <w:r>
              <w:rPr>
                <w:rFonts w:hint="eastAsia" w:ascii="仿宋_GB2312" w:eastAsia="仿宋_GB2312"/>
                <w:sz w:val="24"/>
                <w:szCs w:val="24"/>
                <w:lang w:eastAsia="zh-CN"/>
              </w:rPr>
              <w:t>按渐进标准从零分加起</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lang w:eastAsia="zh-CN"/>
              </w:rPr>
            </w:pPr>
            <w:r>
              <w:rPr>
                <w:rFonts w:hint="eastAsia" w:ascii="仿宋_GB2312" w:eastAsia="仿宋_GB2312"/>
                <w:sz w:val="24"/>
                <w:szCs w:val="24"/>
                <w:lang w:eastAsia="zh-CN"/>
              </w:rPr>
              <w:t>方案与参考答案对比（每对一处加0.1分）</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1</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1</w:t>
            </w: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0.0-0.9</w:t>
            </w:r>
          </w:p>
        </w:tc>
      </w:tr>
    </w:tbl>
    <w:p>
      <w:pPr>
        <w:pStyle w:val="5"/>
        <w:spacing w:after="0" w:line="360" w:lineRule="auto"/>
        <w:ind w:firstLine="600" w:firstLineChars="200"/>
        <w:outlineLvl w:val="1"/>
        <w:rPr>
          <w:rFonts w:ascii="楷体_GB2312" w:hAnsi="楷体_GB2312" w:eastAsia="楷体_GB2312" w:cs="楷体_GB2312"/>
          <w:bCs/>
          <w:sz w:val="30"/>
          <w:szCs w:val="30"/>
          <w:shd w:val="clear" w:color="auto" w:fill="FFFFFF"/>
          <w:lang w:eastAsia="zh-CN"/>
        </w:rPr>
      </w:pPr>
      <w:r>
        <w:rPr>
          <w:rFonts w:hint="eastAsia" w:ascii="楷体_GB2312" w:hAnsi="楷体_GB2312" w:eastAsia="楷体_GB2312" w:cs="楷体_GB2312"/>
          <w:bCs/>
          <w:sz w:val="30"/>
          <w:szCs w:val="30"/>
          <w:shd w:val="clear" w:color="auto" w:fill="FFFFFF"/>
          <w:lang w:eastAsia="zh-CN"/>
        </w:rPr>
        <w:t>（三）分值构成</w:t>
      </w:r>
    </w:p>
    <w:tbl>
      <w:tblPr>
        <w:tblStyle w:val="13"/>
        <w:tblW w:w="8835" w:type="dxa"/>
        <w:tblInd w:w="0" w:type="dxa"/>
        <w:tblLayout w:type="fixed"/>
        <w:tblCellMar>
          <w:top w:w="0" w:type="dxa"/>
          <w:left w:w="0" w:type="dxa"/>
          <w:bottom w:w="0" w:type="dxa"/>
          <w:right w:w="0" w:type="dxa"/>
        </w:tblCellMar>
      </w:tblPr>
      <w:tblGrid>
        <w:gridCol w:w="1631"/>
        <w:gridCol w:w="1617"/>
        <w:gridCol w:w="3320"/>
        <w:gridCol w:w="2267"/>
      </w:tblGrid>
      <w:tr>
        <w:tblPrEx>
          <w:tblLayout w:type="fixed"/>
          <w:tblCellMar>
            <w:top w:w="0" w:type="dxa"/>
            <w:left w:w="0" w:type="dxa"/>
            <w:bottom w:w="0" w:type="dxa"/>
            <w:right w:w="0" w:type="dxa"/>
          </w:tblCellMar>
        </w:tblPrEx>
        <w:trPr>
          <w:trHeight w:val="567" w:hRule="atLeast"/>
        </w:trPr>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bCs/>
                <w:color w:val="000000"/>
                <w:sz w:val="28"/>
                <w:szCs w:val="28"/>
                <w:lang w:bidi="ar"/>
              </w:rPr>
            </w:pPr>
            <w:r>
              <w:rPr>
                <w:rFonts w:hint="eastAsia" w:ascii="黑体" w:hAnsi="黑体" w:eastAsia="黑体" w:cs="黑体"/>
                <w:bCs/>
                <w:color w:val="000000"/>
                <w:sz w:val="28"/>
                <w:szCs w:val="28"/>
                <w:lang w:bidi="ar"/>
              </w:rPr>
              <w:t>模块</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bCs/>
                <w:color w:val="000000"/>
                <w:sz w:val="28"/>
                <w:szCs w:val="28"/>
                <w:lang w:bidi="ar"/>
              </w:rPr>
            </w:pPr>
            <w:r>
              <w:rPr>
                <w:rFonts w:hint="eastAsia" w:ascii="黑体" w:hAnsi="黑体" w:eastAsia="黑体" w:cs="黑体"/>
                <w:bCs/>
                <w:color w:val="000000"/>
                <w:sz w:val="28"/>
                <w:szCs w:val="28"/>
                <w:lang w:bidi="ar"/>
              </w:rPr>
              <w:t>项目</w:t>
            </w: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bCs/>
                <w:color w:val="000000"/>
                <w:sz w:val="28"/>
                <w:szCs w:val="28"/>
                <w:lang w:bidi="ar"/>
              </w:rPr>
            </w:pPr>
            <w:r>
              <w:rPr>
                <w:rFonts w:hint="eastAsia" w:ascii="黑体" w:hAnsi="黑体" w:eastAsia="黑体" w:cs="黑体"/>
                <w:bCs/>
                <w:color w:val="000000"/>
                <w:sz w:val="28"/>
                <w:szCs w:val="28"/>
                <w:lang w:bidi="ar"/>
              </w:rPr>
              <w:t>任务</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bCs/>
                <w:color w:val="000000"/>
                <w:sz w:val="28"/>
                <w:szCs w:val="28"/>
                <w:lang w:bidi="ar"/>
              </w:rPr>
            </w:pPr>
            <w:r>
              <w:rPr>
                <w:rFonts w:hint="eastAsia" w:ascii="黑体" w:hAnsi="黑体" w:eastAsia="黑体" w:cs="黑体"/>
                <w:bCs/>
                <w:color w:val="000000"/>
                <w:sz w:val="28"/>
                <w:szCs w:val="28"/>
                <w:lang w:bidi="ar"/>
              </w:rPr>
              <w:t>分值</w:t>
            </w:r>
          </w:p>
        </w:tc>
      </w:tr>
      <w:tr>
        <w:tblPrEx>
          <w:tblLayout w:type="fixed"/>
          <w:tblCellMar>
            <w:top w:w="0" w:type="dxa"/>
            <w:left w:w="0" w:type="dxa"/>
            <w:bottom w:w="0" w:type="dxa"/>
            <w:right w:w="0" w:type="dxa"/>
          </w:tblCellMar>
        </w:tblPrEx>
        <w:trPr>
          <w:trHeight w:val="567" w:hRule="atLeast"/>
        </w:trPr>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海运</w:t>
            </w:r>
            <w:r>
              <w:rPr>
                <w:rFonts w:hint="eastAsia" w:ascii="仿宋_GB2312" w:eastAsia="仿宋_GB2312"/>
                <w:sz w:val="24"/>
                <w:szCs w:val="24"/>
              </w:rPr>
              <w:br w:type="textWrapping"/>
            </w:r>
            <w:r>
              <w:rPr>
                <w:rFonts w:hint="eastAsia" w:ascii="仿宋_GB2312" w:eastAsia="仿宋_GB2312"/>
                <w:sz w:val="24"/>
                <w:szCs w:val="24"/>
              </w:rPr>
              <w:t>（70分）</w:t>
            </w:r>
          </w:p>
        </w:tc>
        <w:tc>
          <w:tcPr>
            <w:tcW w:w="16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客户获取</w:t>
            </w: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客户咨询</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5</w:t>
            </w:r>
          </w:p>
        </w:tc>
      </w:tr>
      <w:tr>
        <w:tblPrEx>
          <w:tblLayout w:type="fixed"/>
          <w:tblCellMar>
            <w:top w:w="0" w:type="dxa"/>
            <w:left w:w="0" w:type="dxa"/>
            <w:bottom w:w="0" w:type="dxa"/>
            <w:right w:w="0" w:type="dxa"/>
          </w:tblCellMar>
        </w:tblPrEx>
        <w:trPr>
          <w:trHeight w:val="567" w:hRule="atLeast"/>
        </w:trPr>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客户会面</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10</w:t>
            </w:r>
          </w:p>
        </w:tc>
      </w:tr>
      <w:tr>
        <w:tblPrEx>
          <w:tblLayout w:type="fixed"/>
          <w:tblCellMar>
            <w:top w:w="0" w:type="dxa"/>
            <w:left w:w="0" w:type="dxa"/>
            <w:bottom w:w="0" w:type="dxa"/>
            <w:right w:w="0" w:type="dxa"/>
          </w:tblCellMar>
        </w:tblPrEx>
        <w:trPr>
          <w:trHeight w:val="567" w:hRule="atLeast"/>
        </w:trPr>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p>
        </w:tc>
        <w:tc>
          <w:tcPr>
            <w:tcW w:w="16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海运报价</w:t>
            </w: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选择集装箱</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5</w:t>
            </w:r>
          </w:p>
        </w:tc>
      </w:tr>
      <w:tr>
        <w:tblPrEx>
          <w:tblLayout w:type="fixed"/>
          <w:tblCellMar>
            <w:top w:w="0" w:type="dxa"/>
            <w:left w:w="0" w:type="dxa"/>
            <w:bottom w:w="0" w:type="dxa"/>
            <w:right w:w="0" w:type="dxa"/>
          </w:tblCellMar>
        </w:tblPrEx>
        <w:trPr>
          <w:trHeight w:val="567" w:hRule="atLeast"/>
        </w:trPr>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费用计算</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10</w:t>
            </w:r>
          </w:p>
        </w:tc>
      </w:tr>
      <w:tr>
        <w:tblPrEx>
          <w:tblLayout w:type="fixed"/>
          <w:tblCellMar>
            <w:top w:w="0" w:type="dxa"/>
            <w:left w:w="0" w:type="dxa"/>
            <w:bottom w:w="0" w:type="dxa"/>
            <w:right w:w="0" w:type="dxa"/>
          </w:tblCellMar>
        </w:tblPrEx>
        <w:trPr>
          <w:trHeight w:val="567" w:hRule="atLeast"/>
        </w:trPr>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海运报价</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10</w:t>
            </w:r>
          </w:p>
        </w:tc>
      </w:tr>
      <w:tr>
        <w:tblPrEx>
          <w:tblLayout w:type="fixed"/>
          <w:tblCellMar>
            <w:top w:w="0" w:type="dxa"/>
            <w:left w:w="0" w:type="dxa"/>
            <w:bottom w:w="0" w:type="dxa"/>
            <w:right w:w="0" w:type="dxa"/>
          </w:tblCellMar>
        </w:tblPrEx>
        <w:trPr>
          <w:trHeight w:val="567" w:hRule="atLeast"/>
        </w:trPr>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p>
        </w:tc>
        <w:tc>
          <w:tcPr>
            <w:tcW w:w="16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海运操作</w:t>
            </w: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集港作业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10</w:t>
            </w:r>
          </w:p>
        </w:tc>
      </w:tr>
      <w:tr>
        <w:tblPrEx>
          <w:tblLayout w:type="fixed"/>
          <w:tblCellMar>
            <w:top w:w="0" w:type="dxa"/>
            <w:left w:w="0" w:type="dxa"/>
            <w:bottom w:w="0" w:type="dxa"/>
            <w:right w:w="0" w:type="dxa"/>
          </w:tblCellMar>
        </w:tblPrEx>
        <w:trPr>
          <w:trHeight w:val="567" w:hRule="atLeast"/>
        </w:trPr>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单证制作</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10</w:t>
            </w:r>
          </w:p>
        </w:tc>
      </w:tr>
      <w:tr>
        <w:tblPrEx>
          <w:tblLayout w:type="fixed"/>
          <w:tblCellMar>
            <w:top w:w="0" w:type="dxa"/>
            <w:left w:w="0" w:type="dxa"/>
            <w:bottom w:w="0" w:type="dxa"/>
            <w:right w:w="0" w:type="dxa"/>
          </w:tblCellMar>
        </w:tblPrEx>
        <w:trPr>
          <w:trHeight w:val="567" w:hRule="atLeast"/>
        </w:trPr>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p>
        </w:tc>
        <w:tc>
          <w:tcPr>
            <w:tcW w:w="16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异常情况处理</w:t>
            </w: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海运投诉</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5</w:t>
            </w:r>
          </w:p>
        </w:tc>
      </w:tr>
      <w:tr>
        <w:tblPrEx>
          <w:tblLayout w:type="fixed"/>
          <w:tblCellMar>
            <w:top w:w="0" w:type="dxa"/>
            <w:left w:w="0" w:type="dxa"/>
            <w:bottom w:w="0" w:type="dxa"/>
            <w:right w:w="0" w:type="dxa"/>
          </w:tblCellMar>
        </w:tblPrEx>
        <w:trPr>
          <w:trHeight w:val="567" w:hRule="atLeast"/>
        </w:trPr>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海运索赔</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5</w:t>
            </w:r>
          </w:p>
        </w:tc>
      </w:tr>
      <w:tr>
        <w:tblPrEx>
          <w:tblLayout w:type="fixed"/>
          <w:tblCellMar>
            <w:top w:w="0" w:type="dxa"/>
            <w:left w:w="0" w:type="dxa"/>
            <w:bottom w:w="0" w:type="dxa"/>
            <w:right w:w="0" w:type="dxa"/>
          </w:tblCellMar>
        </w:tblPrEx>
        <w:trPr>
          <w:trHeight w:val="567" w:hRule="atLeast"/>
        </w:trPr>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空运</w:t>
            </w:r>
            <w:r>
              <w:rPr>
                <w:rFonts w:hint="eastAsia" w:ascii="仿宋_GB2312" w:eastAsia="仿宋_GB2312"/>
                <w:sz w:val="24"/>
                <w:szCs w:val="24"/>
              </w:rPr>
              <w:br w:type="textWrapping"/>
            </w:r>
            <w:r>
              <w:rPr>
                <w:rFonts w:hint="eastAsia" w:ascii="仿宋_GB2312" w:eastAsia="仿宋_GB2312"/>
                <w:sz w:val="24"/>
                <w:szCs w:val="24"/>
              </w:rPr>
              <w:t>（30分）</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空运报价</w:t>
            </w: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空运报价</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10</w:t>
            </w:r>
          </w:p>
        </w:tc>
      </w:tr>
      <w:tr>
        <w:tblPrEx>
          <w:tblLayout w:type="fixed"/>
          <w:tblCellMar>
            <w:top w:w="0" w:type="dxa"/>
            <w:left w:w="0" w:type="dxa"/>
            <w:bottom w:w="0" w:type="dxa"/>
            <w:right w:w="0" w:type="dxa"/>
          </w:tblCellMar>
        </w:tblPrEx>
        <w:trPr>
          <w:trHeight w:val="567" w:hRule="atLeast"/>
        </w:trPr>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空运操作</w:t>
            </w: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单证制作</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10</w:t>
            </w:r>
          </w:p>
        </w:tc>
      </w:tr>
      <w:tr>
        <w:tblPrEx>
          <w:tblLayout w:type="fixed"/>
          <w:tblCellMar>
            <w:top w:w="0" w:type="dxa"/>
            <w:left w:w="0" w:type="dxa"/>
            <w:bottom w:w="0" w:type="dxa"/>
            <w:right w:w="0" w:type="dxa"/>
          </w:tblCellMar>
        </w:tblPrEx>
        <w:trPr>
          <w:trHeight w:val="567" w:hRule="atLeast"/>
        </w:trPr>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p>
        </w:tc>
        <w:tc>
          <w:tcPr>
            <w:tcW w:w="16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异常情况处理</w:t>
            </w: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空运投诉</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5</w:t>
            </w:r>
          </w:p>
        </w:tc>
      </w:tr>
      <w:tr>
        <w:tblPrEx>
          <w:tblLayout w:type="fixed"/>
          <w:tblCellMar>
            <w:top w:w="0" w:type="dxa"/>
            <w:left w:w="0" w:type="dxa"/>
            <w:bottom w:w="0" w:type="dxa"/>
            <w:right w:w="0" w:type="dxa"/>
          </w:tblCellMar>
        </w:tblPrEx>
        <w:trPr>
          <w:trHeight w:val="567" w:hRule="atLeast"/>
        </w:trPr>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空运索赔</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eastAsia="仿宋_GB2312"/>
                <w:sz w:val="24"/>
                <w:szCs w:val="24"/>
              </w:rPr>
            </w:pPr>
            <w:r>
              <w:rPr>
                <w:rFonts w:hint="eastAsia" w:ascii="仿宋_GB2312" w:eastAsia="仿宋_GB2312"/>
                <w:sz w:val="24"/>
                <w:szCs w:val="24"/>
              </w:rPr>
              <w:t>5</w:t>
            </w:r>
          </w:p>
        </w:tc>
      </w:tr>
      <w:tr>
        <w:tblPrEx>
          <w:tblLayout w:type="fixed"/>
          <w:tblCellMar>
            <w:top w:w="0" w:type="dxa"/>
            <w:left w:w="0" w:type="dxa"/>
            <w:bottom w:w="0" w:type="dxa"/>
            <w:right w:w="0" w:type="dxa"/>
          </w:tblCellMar>
        </w:tblPrEx>
        <w:trPr>
          <w:trHeight w:val="567" w:hRule="atLeast"/>
        </w:trPr>
        <w:tc>
          <w:tcPr>
            <w:tcW w:w="88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82" w:firstLineChars="200"/>
              <w:jc w:val="center"/>
              <w:textAlignment w:val="center"/>
              <w:rPr>
                <w:b/>
                <w:color w:val="000000"/>
                <w:sz w:val="24"/>
              </w:rPr>
            </w:pPr>
            <w:r>
              <w:rPr>
                <w:rFonts w:hint="eastAsia"/>
                <w:b/>
                <w:color w:val="000000"/>
                <w:sz w:val="24"/>
                <w:lang w:bidi="ar"/>
              </w:rPr>
              <w:t>总分100</w:t>
            </w:r>
          </w:p>
        </w:tc>
      </w:tr>
    </w:tbl>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outlineLvl w:val="1"/>
        <w:rPr>
          <w:rFonts w:ascii="楷体_GB2312" w:hAnsi="楷体_GB2312" w:eastAsia="楷体_GB2312" w:cs="楷体_GB2312"/>
          <w:bCs/>
          <w:sz w:val="30"/>
          <w:szCs w:val="30"/>
          <w:shd w:val="clear" w:color="auto" w:fill="FFFFFF"/>
          <w:lang w:eastAsia="zh-CN"/>
        </w:rPr>
      </w:pPr>
      <w:r>
        <w:rPr>
          <w:rFonts w:hint="eastAsia" w:ascii="楷体_GB2312" w:hAnsi="楷体_GB2312" w:eastAsia="楷体_GB2312" w:cs="楷体_GB2312"/>
          <w:bCs/>
          <w:sz w:val="30"/>
          <w:szCs w:val="30"/>
          <w:shd w:val="clear" w:color="auto" w:fill="FFFFFF"/>
          <w:lang w:eastAsia="zh-CN"/>
        </w:rPr>
        <w:t>（四）裁判组成</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本赛项设裁判长</w:t>
      </w:r>
      <w:r>
        <w:rPr>
          <w:rFonts w:ascii="仿宋_GB2312" w:eastAsia="仿宋_GB2312" w:cstheme="minorBidi"/>
          <w:kern w:val="2"/>
          <w:sz w:val="30"/>
          <w:szCs w:val="30"/>
          <w:lang w:eastAsia="zh-CN"/>
        </w:rPr>
        <w:t>1名，裁判员</w:t>
      </w:r>
      <w:r>
        <w:rPr>
          <w:rFonts w:hint="eastAsia" w:ascii="仿宋_GB2312" w:eastAsia="仿宋_GB2312" w:cstheme="minorBidi"/>
          <w:kern w:val="2"/>
          <w:sz w:val="30"/>
          <w:szCs w:val="30"/>
          <w:lang w:eastAsia="zh-CN"/>
        </w:rPr>
        <w:t>6</w:t>
      </w:r>
      <w:r>
        <w:rPr>
          <w:rFonts w:ascii="仿宋_GB2312" w:eastAsia="仿宋_GB2312" w:cstheme="minorBidi"/>
          <w:kern w:val="2"/>
          <w:sz w:val="30"/>
          <w:szCs w:val="30"/>
          <w:lang w:eastAsia="zh-CN"/>
        </w:rPr>
        <w:t>人（不包含裁判长）。</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0"/>
        <w:rPr>
          <w:rFonts w:cs="宋体"/>
          <w:b/>
          <w:sz w:val="28"/>
          <w:szCs w:val="28"/>
          <w:lang w:eastAsia="zh-CN"/>
        </w:rPr>
      </w:pPr>
      <w:bookmarkStart w:id="5" w:name="_Toc61004421"/>
      <w:r>
        <w:rPr>
          <w:rFonts w:hint="eastAsia" w:ascii="黑体" w:hAnsi="黑体" w:eastAsia="黑体" w:cstheme="minorBidi"/>
          <w:bCs/>
          <w:kern w:val="2"/>
          <w:sz w:val="30"/>
          <w:szCs w:val="30"/>
          <w:lang w:eastAsia="zh-CN"/>
        </w:rPr>
        <w:t>十三、奖项</w:t>
      </w:r>
      <w:bookmarkEnd w:id="5"/>
      <w:r>
        <w:rPr>
          <w:rFonts w:hint="eastAsia" w:ascii="黑体" w:hAnsi="黑体" w:eastAsia="黑体" w:cstheme="minorBidi"/>
          <w:bCs/>
          <w:kern w:val="2"/>
          <w:sz w:val="30"/>
          <w:szCs w:val="30"/>
          <w:lang w:eastAsia="zh-CN"/>
        </w:rPr>
        <w:t>设定</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eastAsia="仿宋_GB2312" w:cstheme="minorBidi"/>
          <w:kern w:val="2"/>
          <w:sz w:val="30"/>
          <w:szCs w:val="30"/>
          <w:lang w:eastAsia="zh-CN"/>
        </w:rPr>
      </w:pPr>
      <w:bookmarkStart w:id="6" w:name="_Toc61004422"/>
      <w:r>
        <w:rPr>
          <w:rFonts w:hint="eastAsia" w:ascii="仿宋_GB2312" w:eastAsia="仿宋_GB2312" w:cstheme="minorBidi"/>
          <w:kern w:val="2"/>
          <w:sz w:val="30"/>
          <w:szCs w:val="30"/>
          <w:lang w:eastAsia="zh-CN"/>
        </w:rPr>
        <w:t>奖项设定，依据教育厅相关文件执行。</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0"/>
        <w:rPr>
          <w:rFonts w:ascii="黑体" w:hAnsi="黑体" w:eastAsia="黑体" w:cstheme="minorBidi"/>
          <w:bCs/>
          <w:kern w:val="2"/>
          <w:sz w:val="30"/>
          <w:szCs w:val="30"/>
          <w:lang w:eastAsia="zh-CN"/>
        </w:rPr>
      </w:pPr>
      <w:r>
        <w:rPr>
          <w:rFonts w:hint="eastAsia" w:ascii="黑体" w:hAnsi="黑体" w:eastAsia="黑体" w:cstheme="minorBidi"/>
          <w:bCs/>
          <w:kern w:val="2"/>
          <w:sz w:val="30"/>
          <w:szCs w:val="30"/>
          <w:lang w:eastAsia="zh-CN"/>
        </w:rPr>
        <w:t>十四、赛场预案</w:t>
      </w:r>
      <w:bookmarkEnd w:id="6"/>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（一）竞赛开赛前，承办院校提前调试好设施设备、计算机、系统软硬件，保证与考核应具备的条件一致，将故障率降到最低点。参赛选手确认竞赛工位、现场设备等处于正常状态。</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二）竞赛过程中，参赛选手如遇设备或软件等故障应举手示意，项目裁判长、技术人员等应及时予以解决。确因非选手因素致使操作无法继续的，经项目裁判长确认，予以启用备用设备，因此所造成的时间延误，经报请裁判长批准予以延长比赛时间处理。</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（三）竞赛过程中，参赛选手如遇身体不适可求助现场医务人员予以救治，因此所造成的时间延误，不予延时。</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（四）竞赛过程中，如遇突发不可抗力事件，全体人员应立即停止竞赛，撤离至安全场所。由赛项执委会报请大赛执委会再做后续处理。</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0"/>
        <w:rPr>
          <w:rFonts w:ascii="黑体" w:hAnsi="黑体" w:eastAsia="黑体" w:cstheme="minorBidi"/>
          <w:bCs/>
          <w:kern w:val="2"/>
          <w:sz w:val="30"/>
          <w:szCs w:val="30"/>
          <w:lang w:eastAsia="zh-CN"/>
        </w:rPr>
      </w:pPr>
      <w:bookmarkStart w:id="7" w:name="_Toc61004423"/>
      <w:r>
        <w:rPr>
          <w:rFonts w:hint="eastAsia" w:ascii="黑体" w:hAnsi="黑体" w:eastAsia="黑体" w:cstheme="minorBidi"/>
          <w:bCs/>
          <w:kern w:val="2"/>
          <w:sz w:val="30"/>
          <w:szCs w:val="30"/>
          <w:lang w:eastAsia="zh-CN"/>
        </w:rPr>
        <w:t>十五、赛项安全</w:t>
      </w:r>
      <w:bookmarkEnd w:id="7"/>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赛事安全是技能竞赛一切工作顺利开展的先决条件，是赛事筹备和运行工作必须考虑的核心问题。赛项执委会采取切实有效措施保证大赛期间参赛选手、指导教师、工作人员及观众的人身安全。</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outlineLvl w:val="1"/>
        <w:rPr>
          <w:rFonts w:ascii="楷体_GB2312" w:hAnsi="楷体_GB2312" w:eastAsia="楷体_GB2312" w:cs="楷体_GB2312"/>
          <w:bCs/>
          <w:sz w:val="30"/>
          <w:szCs w:val="30"/>
          <w:shd w:val="clear" w:color="auto" w:fill="FFFFFF"/>
          <w:lang w:eastAsia="zh-CN"/>
        </w:rPr>
      </w:pPr>
      <w:r>
        <w:rPr>
          <w:rFonts w:hint="eastAsia" w:ascii="楷体_GB2312" w:hAnsi="楷体_GB2312" w:eastAsia="楷体_GB2312" w:cs="楷体_GB2312"/>
          <w:bCs/>
          <w:sz w:val="30"/>
          <w:szCs w:val="30"/>
          <w:shd w:val="clear" w:color="auto" w:fill="FFFFFF"/>
          <w:lang w:eastAsia="zh-CN"/>
        </w:rPr>
        <w:t>（一）比赛环境</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1.赛项执委会须在赛前组织专人对比赛现场、住宿场所和交通保障、防疫条件进行考察，并对安全工作提出明确要求。赛场的布置，赛场内的器材、设备，应符合国家有关安全规定。如有必要，也可进行赛场仿真模拟测试，以发现可能出现的问题。承办单位赛前须按照执委会要求排除安全隐患。</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2.赛场周围要设立警戒线，防止无关人员进入发生意外事件。比赛现场内应参照相关职业岗位的要求为选手提供必要的劳动保护。</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3.赛项执委会须会同承办单位制定开放赛场和体验区的人员疏导方案。赛场环境中存在人员密集的区域，除了设置齐全的指示标志外，须增加引导人员，并开辟备用通道。</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4.参赛选手进入赛位，赛事裁判及工作人员进入竞赛场所，严禁携带通讯、照相摄录设备，禁止携带记录用具。如确有需要，由赛场统一配置、统一管理。赛项可根据需要配置安检设备对进入赛场重要部位的人员进行安检。</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5.大赛期间，承办单位须在赛场管理的关键岗位，增加力量，建立安全管理日志。</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6.大赛期间，所有比赛相关人员均须遵守赛项承办单位所在地疫情防控的相关规定。</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outlineLvl w:val="1"/>
        <w:rPr>
          <w:rFonts w:ascii="楷体_GB2312" w:hAnsi="楷体_GB2312" w:eastAsia="楷体_GB2312" w:cs="楷体_GB2312"/>
          <w:bCs/>
          <w:sz w:val="30"/>
          <w:szCs w:val="30"/>
          <w:shd w:val="clear" w:color="auto" w:fill="FFFFFF"/>
          <w:lang w:eastAsia="zh-CN"/>
        </w:rPr>
      </w:pPr>
      <w:r>
        <w:rPr>
          <w:rFonts w:hint="eastAsia" w:ascii="楷体_GB2312" w:hAnsi="楷体_GB2312" w:eastAsia="楷体_GB2312" w:cs="楷体_GB2312"/>
          <w:bCs/>
          <w:sz w:val="30"/>
          <w:szCs w:val="30"/>
          <w:shd w:val="clear" w:color="auto" w:fill="FFFFFF"/>
          <w:lang w:eastAsia="zh-CN"/>
        </w:rPr>
        <w:t>（二）生活条件</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1.比赛期间，参赛选手和指导教师食宿自理。</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2.赛项的安全管理，除了可以采取必要的安全隔离措施外，应严格遵守国家相关法律法规，保护个人隐私和人身自由。</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outlineLvl w:val="1"/>
        <w:rPr>
          <w:rFonts w:ascii="楷体_GB2312" w:hAnsi="楷体_GB2312" w:eastAsia="楷体_GB2312" w:cs="楷体_GB2312"/>
          <w:bCs/>
          <w:sz w:val="30"/>
          <w:szCs w:val="30"/>
          <w:shd w:val="clear" w:color="auto" w:fill="FFFFFF"/>
          <w:lang w:eastAsia="zh-CN"/>
        </w:rPr>
      </w:pPr>
      <w:r>
        <w:rPr>
          <w:rFonts w:hint="eastAsia" w:ascii="楷体_GB2312" w:hAnsi="楷体_GB2312" w:eastAsia="楷体_GB2312" w:cs="楷体_GB2312"/>
          <w:bCs/>
          <w:sz w:val="30"/>
          <w:szCs w:val="30"/>
          <w:shd w:val="clear" w:color="auto" w:fill="FFFFFF"/>
          <w:lang w:eastAsia="zh-CN"/>
        </w:rPr>
        <w:t>（三）组队责任</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1.各学校组织代表队时，须安排为参赛选手购买大赛期间的人身意外伤害保险。</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2.各学校代表队组成后，须制定相关管理制度，并对所有选手、指导教师进行安全教育。</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3.各参赛队伍须加强对参与比赛人员的安全管理，实现与赛场安全管理的对接。</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outlineLvl w:val="1"/>
        <w:rPr>
          <w:rFonts w:ascii="楷体_GB2312" w:hAnsi="楷体_GB2312" w:eastAsia="楷体_GB2312" w:cs="楷体_GB2312"/>
          <w:kern w:val="2"/>
          <w:sz w:val="30"/>
          <w:szCs w:val="30"/>
          <w:lang w:eastAsia="zh-CN"/>
        </w:rPr>
      </w:pPr>
      <w:r>
        <w:rPr>
          <w:rFonts w:hint="eastAsia" w:ascii="楷体_GB2312" w:hAnsi="楷体_GB2312" w:eastAsia="楷体_GB2312" w:cs="楷体_GB2312"/>
          <w:kern w:val="2"/>
          <w:sz w:val="30"/>
          <w:szCs w:val="30"/>
          <w:lang w:eastAsia="zh-CN"/>
        </w:rPr>
        <w:t>（</w:t>
      </w:r>
      <w:r>
        <w:rPr>
          <w:rFonts w:hint="eastAsia" w:ascii="楷体_GB2312" w:hAnsi="楷体_GB2312" w:eastAsia="楷体_GB2312" w:cs="楷体_GB2312"/>
          <w:bCs/>
          <w:sz w:val="30"/>
          <w:szCs w:val="30"/>
          <w:shd w:val="clear" w:color="auto" w:fill="FFFFFF"/>
          <w:lang w:eastAsia="zh-CN"/>
        </w:rPr>
        <w:t>四）应急处</w:t>
      </w:r>
      <w:r>
        <w:rPr>
          <w:rFonts w:hint="eastAsia" w:ascii="楷体_GB2312" w:hAnsi="楷体_GB2312" w:eastAsia="楷体_GB2312" w:cs="楷体_GB2312"/>
          <w:kern w:val="2"/>
          <w:sz w:val="30"/>
          <w:szCs w:val="30"/>
          <w:lang w:eastAsia="zh-CN"/>
        </w:rPr>
        <w:t>理</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比赛期间发生意外事故，发现者应第一时间报告竞赛委员会，同时采取措施避免事态扩大。竞赛委员会应立即启动预案予以解决并上报竞赛工作领导小组。</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outlineLvl w:val="1"/>
        <w:rPr>
          <w:rFonts w:ascii="楷体_GB2312" w:hAnsi="楷体_GB2312" w:eastAsia="楷体_GB2312" w:cs="楷体_GB2312"/>
          <w:bCs/>
          <w:sz w:val="30"/>
          <w:szCs w:val="30"/>
          <w:shd w:val="clear" w:color="auto" w:fill="FFFFFF"/>
          <w:lang w:eastAsia="zh-CN"/>
        </w:rPr>
      </w:pPr>
      <w:r>
        <w:rPr>
          <w:rFonts w:hint="eastAsia" w:ascii="楷体_GB2312" w:hAnsi="楷体_GB2312" w:eastAsia="楷体_GB2312" w:cs="楷体_GB2312"/>
          <w:bCs/>
          <w:sz w:val="30"/>
          <w:szCs w:val="30"/>
          <w:shd w:val="clear" w:color="auto" w:fill="FFFFFF"/>
          <w:lang w:eastAsia="zh-CN"/>
        </w:rPr>
        <w:t>（五）处罚措施</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1.因参赛队伍原因造成重大安全事故的，取消其获奖资格。</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2.参赛队伍有发生重大安全事故隐患，经赛场工作人员提示、警告无效的，可取消其继续比赛的资格。</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3.赛事工作人员违规的，按照相应的制度追究责任。情节恶劣并造成重大安全事故的，由司法机关追究相应法律责任。</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0"/>
        <w:rPr>
          <w:rFonts w:ascii="黑体" w:hAnsi="黑体" w:eastAsia="黑体" w:cstheme="minorBidi"/>
          <w:bCs/>
          <w:kern w:val="2"/>
          <w:sz w:val="30"/>
          <w:szCs w:val="30"/>
          <w:lang w:eastAsia="zh-CN"/>
        </w:rPr>
      </w:pPr>
      <w:bookmarkStart w:id="8" w:name="_Toc61004424"/>
      <w:r>
        <w:rPr>
          <w:rFonts w:hint="eastAsia" w:ascii="黑体" w:hAnsi="黑体" w:eastAsia="黑体" w:cstheme="minorBidi"/>
          <w:bCs/>
          <w:kern w:val="2"/>
          <w:sz w:val="30"/>
          <w:szCs w:val="30"/>
          <w:lang w:eastAsia="zh-CN"/>
        </w:rPr>
        <w:t>十六、竞赛须知</w:t>
      </w:r>
      <w:bookmarkEnd w:id="8"/>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outlineLvl w:val="1"/>
        <w:rPr>
          <w:rFonts w:ascii="楷体_GB2312" w:hAnsi="楷体_GB2312" w:eastAsia="楷体_GB2312" w:cs="楷体_GB2312"/>
          <w:bCs/>
          <w:sz w:val="30"/>
          <w:szCs w:val="30"/>
          <w:shd w:val="clear" w:color="auto" w:fill="FFFFFF"/>
          <w:lang w:eastAsia="zh-CN"/>
        </w:rPr>
      </w:pPr>
      <w:r>
        <w:rPr>
          <w:rFonts w:hint="eastAsia" w:ascii="楷体_GB2312" w:hAnsi="楷体_GB2312" w:eastAsia="楷体_GB2312" w:cs="楷体_GB2312"/>
          <w:kern w:val="2"/>
          <w:sz w:val="30"/>
          <w:szCs w:val="30"/>
          <w:lang w:eastAsia="zh-CN"/>
        </w:rPr>
        <w:t>（</w:t>
      </w:r>
      <w:r>
        <w:rPr>
          <w:rFonts w:hint="eastAsia" w:ascii="楷体_GB2312" w:hAnsi="楷体_GB2312" w:eastAsia="楷体_GB2312" w:cs="楷体_GB2312"/>
          <w:bCs/>
          <w:sz w:val="30"/>
          <w:szCs w:val="30"/>
          <w:shd w:val="clear" w:color="auto" w:fill="FFFFFF"/>
          <w:lang w:eastAsia="zh-CN"/>
        </w:rPr>
        <w:t>一）参赛队须知</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1.本赛项为个人赛，每校参赛队不超过2队。</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2.参赛队员在报名获得审核确认后，原则上不再更换，报名结束后，如参赛队员因故不能参赛，须由所在院校于赛项开赛10个工作日之前出具书面说明，经竞赛委员会核实后予以更换；竞赛开始后，参赛队不得更换参赛队员，允许队员缺席比赛。</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3.参赛队按照大赛赛程安排，凭颁发的参赛证及标识和有效身份证件参加比赛及相关活动。</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4.报到当日佩戴一次性防护口罩、扫健康码、测体温后持身份证进入学校，无证者、健康码为“红色”或“黄色”者、有发热（体温≥37.3℃）、咳嗽、胸闷、呼吸困难、乏力、恶心呕吐等可疑症状者、未佩戴口罩者不得进入学校。报到时发放竞赛胸牌与其他相关资料。竞赛当日佩戴一次性防护口罩与竞赛胸牌、扫健康码、测体温后可正常进入学校。开闭幕式及竞赛期间须全程佩戴一次性防护口罩。</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outlineLvl w:val="1"/>
        <w:rPr>
          <w:rFonts w:ascii="楷体_GB2312" w:hAnsi="楷体_GB2312" w:eastAsia="楷体_GB2312" w:cs="楷体_GB2312"/>
          <w:bCs/>
          <w:sz w:val="30"/>
          <w:szCs w:val="30"/>
          <w:shd w:val="clear" w:color="auto" w:fill="FFFFFF"/>
          <w:lang w:eastAsia="zh-CN"/>
        </w:rPr>
      </w:pPr>
      <w:r>
        <w:rPr>
          <w:rFonts w:hint="eastAsia" w:ascii="楷体_GB2312" w:hAnsi="楷体_GB2312" w:eastAsia="楷体_GB2312" w:cs="楷体_GB2312"/>
          <w:bCs/>
          <w:sz w:val="30"/>
          <w:szCs w:val="30"/>
          <w:shd w:val="clear" w:color="auto" w:fill="FFFFFF"/>
          <w:lang w:eastAsia="zh-CN"/>
        </w:rPr>
        <w:t>（二）指导教师须知</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1.各参赛代表队要发扬良好道德风尚，听从指挥，服从裁判，不弄虚作假。如发现弄虚作假者，取消参赛资格，名次无效。</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2.各代表队领队要坚决执行竞赛的各项规定，加强对参赛人员的管理，做好赛前准备工作，督促选手带好证件等竞赛相关材料。</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3.竞赛过程中，除参加当场次竞赛的选手、执行裁判员、现场工作人员和经批准的人员外，领队、指导教师及其他人员一律不得进入竞赛场地。</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4.参赛代表队若对竞赛过程有异议，在规定的时间内由领队向赛项仲裁工作组提出书面报告。</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5.对申诉的仲裁结果，领队要带头服从和执行，并做好选手工作。参赛选手不得因申诉或对处理意见不服而停止竞赛，否则以弃权处理。</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6.指导老师应及时查看教育厅指定大赛官网有关赛项的通知和内容，认真研究和掌握本赛项竞赛的规程、技术规范和赛场要求，指导选手做好赛前的一切技术准备和竞赛准备。</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7.认真执行承办单位疫情防控相关要求。</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outlineLvl w:val="1"/>
        <w:rPr>
          <w:rFonts w:ascii="楷体_GB2312" w:hAnsi="楷体_GB2312" w:eastAsia="楷体_GB2312" w:cs="楷体_GB2312"/>
          <w:bCs/>
          <w:sz w:val="30"/>
          <w:szCs w:val="30"/>
          <w:shd w:val="clear" w:color="auto" w:fill="FFFFFF"/>
          <w:lang w:eastAsia="zh-CN"/>
        </w:rPr>
      </w:pPr>
      <w:r>
        <w:rPr>
          <w:rFonts w:hint="eastAsia" w:ascii="楷体_GB2312" w:hAnsi="楷体_GB2312" w:eastAsia="楷体_GB2312" w:cs="楷体_GB2312"/>
          <w:bCs/>
          <w:sz w:val="30"/>
          <w:szCs w:val="30"/>
          <w:shd w:val="clear" w:color="auto" w:fill="FFFFFF"/>
          <w:lang w:eastAsia="zh-CN"/>
        </w:rPr>
        <w:t>（三）参赛选手须知</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1.参赛选手应按有关要求如实填报个人信息，否则取消竞赛资格。</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2.参赛选手凭统一印制的参赛证和有效身份证件参加竞赛。</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3.参赛选手应认真学习领会本次竞赛相关文件，自觉遵守大赛纪律，服从指挥，听从安排，文明参赛。</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4.参赛选手请勿携带与竞赛无关的电子设备、通讯设备及其他资料与用品。</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5.参赛选手应按照规定时间抵达赛场，凭参赛证、身份证件检录，按要求入场，不得迟到早退。</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6.参赛选手应按抽签结果在指定位置就座。</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7.参赛选手须在确认竞赛内容和现场设备等无误后开始竞赛。在竞赛过程中，如有疑问，参赛选手可举手示意，项目裁判长应按照有关要求及时予以答疑。如遇设备或软件等故障，参赛选手应举手示意，项目裁判长、技术人员等应及时予以解决。确因计算机软件或硬件故障，致使操作无法继续的，经项目裁判长确认，予以启用备用计算机。</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8.各参赛选手必须按规范要求操作竞赛设备。一旦出现较严重的安全事故，经裁判长批准后将立即取消其参赛资格。</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9.比赛期间，如遇身体不适，参赛选手可求助现场医务人员予以救治。</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10.竞赛时间终了，选手应全体起立，结束操作。</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11.在竞赛期间，参赛选手不得接受其他单位和个人进行的与竞赛内容相关的采访。参赛选手不得将竞赛的相关信息私自公布。</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outlineLvl w:val="1"/>
        <w:rPr>
          <w:rFonts w:ascii="楷体_GB2312" w:hAnsi="楷体_GB2312" w:eastAsia="楷体_GB2312" w:cs="楷体_GB2312"/>
          <w:bCs/>
          <w:sz w:val="30"/>
          <w:szCs w:val="30"/>
          <w:shd w:val="clear" w:color="auto" w:fill="FFFFFF"/>
          <w:lang w:eastAsia="zh-CN"/>
        </w:rPr>
      </w:pPr>
      <w:r>
        <w:rPr>
          <w:rFonts w:hint="eastAsia" w:ascii="楷体_GB2312" w:hAnsi="楷体_GB2312" w:eastAsia="楷体_GB2312" w:cs="楷体_GB2312"/>
          <w:bCs/>
          <w:sz w:val="30"/>
          <w:szCs w:val="30"/>
          <w:shd w:val="clear" w:color="auto" w:fill="FFFFFF"/>
          <w:lang w:eastAsia="zh-CN"/>
        </w:rPr>
        <w:t>（四）工作人员须知</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1.工作人员必须统一佩戴由大赛组委会签发的相应证件，着装整齐。</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2.工作人员不得影响参赛选手比赛，不允许有影响比赛公平的行为。</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3.服从领导，听从指挥，以高度负责的精神、严肃认真的态度做好各项工作。</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4.熟悉比赛规程，认真遵守各项比赛规则和工作要求。</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5．坚守岗位，如有急事需要离开岗位时，应经领导同意，并做好工作衔接。</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6.严格遵守比赛纪律，如发现其他人员有违反比赛纪律的行为，应予以制止。情节严重的，应向竞赛执委会反映。</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黑体" w:hAnsi="黑体" w:eastAsia="黑体" w:cstheme="minorBidi"/>
          <w:bCs/>
          <w:kern w:val="2"/>
          <w:sz w:val="30"/>
          <w:szCs w:val="30"/>
          <w:lang w:eastAsia="zh-CN"/>
        </w:rPr>
      </w:pPr>
      <w:r>
        <w:rPr>
          <w:rFonts w:hint="eastAsia" w:ascii="仿宋_GB2312" w:eastAsia="仿宋_GB2312" w:cstheme="minorBidi"/>
          <w:kern w:val="2"/>
          <w:sz w:val="30"/>
          <w:szCs w:val="30"/>
          <w:lang w:eastAsia="zh-CN"/>
        </w:rPr>
        <w:t>7.发扬无私奉献和团结协作的精神，提供热情、优质服务。</w:t>
      </w:r>
      <w:bookmarkStart w:id="9" w:name="_Toc61004425"/>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0"/>
        <w:rPr>
          <w:rFonts w:ascii="黑体" w:hAnsi="黑体" w:eastAsia="黑体" w:cstheme="minorBidi"/>
          <w:bCs/>
          <w:kern w:val="2"/>
          <w:sz w:val="30"/>
          <w:szCs w:val="30"/>
          <w:lang w:eastAsia="zh-CN"/>
        </w:rPr>
      </w:pPr>
      <w:r>
        <w:rPr>
          <w:rFonts w:hint="eastAsia" w:ascii="黑体" w:hAnsi="黑体" w:eastAsia="黑体" w:cstheme="minorBidi"/>
          <w:bCs/>
          <w:kern w:val="2"/>
          <w:sz w:val="30"/>
          <w:szCs w:val="30"/>
          <w:lang w:eastAsia="zh-CN"/>
        </w:rPr>
        <w:t>十七、申诉与仲裁</w:t>
      </w:r>
      <w:bookmarkEnd w:id="9"/>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rFonts w:ascii="仿宋_GB2312" w:eastAsia="仿宋_GB2312" w:cstheme="minorBidi"/>
          <w:kern w:val="2"/>
          <w:sz w:val="30"/>
          <w:szCs w:val="30"/>
          <w:lang w:eastAsia="zh-CN"/>
        </w:rPr>
      </w:pPr>
      <w:r>
        <w:rPr>
          <w:rFonts w:hint="eastAsia" w:ascii="仿宋_GB2312" w:eastAsia="仿宋_GB2312" w:cstheme="minorBidi"/>
          <w:kern w:val="2"/>
          <w:sz w:val="30"/>
          <w:szCs w:val="30"/>
          <w:lang w:eastAsia="zh-CN"/>
        </w:rPr>
        <w:t>本赛项在比赛过程中若出现有失公正或违规现象，代表队领队可在比赛成绩公示后2小时之内向赛项仲裁组提出书面申诉。大赛采取两级仲裁机制，赛项设仲裁工作组，赛区设仲裁委员会。赛项仲裁组在接到申诉后的2小时内会组织审议，并及时反馈裁定结果。申诉方对复议结果如仍有异议，可由领队向赛区仲裁委员会提出书面申诉。赛区仲裁委员会的仲裁结果为最终结果。</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0"/>
        <w:rPr>
          <w:rFonts w:ascii="黑体" w:hAnsi="黑体" w:eastAsia="黑体" w:cstheme="minorBidi"/>
          <w:bCs/>
          <w:kern w:val="2"/>
          <w:sz w:val="30"/>
          <w:szCs w:val="30"/>
          <w:lang w:eastAsia="zh-CN"/>
        </w:rPr>
      </w:pPr>
      <w:r>
        <w:rPr>
          <w:rFonts w:hint="eastAsia" w:ascii="黑体" w:hAnsi="黑体" w:eastAsia="黑体" w:cstheme="minorBidi"/>
          <w:bCs/>
          <w:kern w:val="2"/>
          <w:sz w:val="30"/>
          <w:szCs w:val="30"/>
          <w:lang w:eastAsia="zh-CN"/>
        </w:rPr>
        <w:t>十八、竞赛录像</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00" w:firstLineChars="200"/>
        <w:textAlignment w:val="auto"/>
        <w:rPr>
          <w:sz w:val="28"/>
          <w:szCs w:val="28"/>
          <w:lang w:eastAsia="zh-CN"/>
        </w:rPr>
      </w:pPr>
      <w:r>
        <w:rPr>
          <w:rFonts w:hint="eastAsia" w:ascii="仿宋_GB2312" w:eastAsia="仿宋_GB2312" w:cstheme="minorBidi"/>
          <w:kern w:val="2"/>
          <w:sz w:val="30"/>
          <w:szCs w:val="30"/>
          <w:lang w:eastAsia="zh-CN"/>
        </w:rPr>
        <w:t>承办单位对比赛进行全程录像。</w:t>
      </w:r>
    </w:p>
    <w:p>
      <w:pPr>
        <w:ind w:firstLine="560" w:firstLineChars="200"/>
        <w:rPr>
          <w:sz w:val="28"/>
          <w:szCs w:val="28"/>
          <w:lang w:eastAsia="zh-CN"/>
        </w:rPr>
      </w:pPr>
    </w:p>
    <w:p>
      <w:pPr>
        <w:spacing w:line="360" w:lineRule="auto"/>
        <w:ind w:firstLine="640" w:firstLineChars="200"/>
        <w:rPr>
          <w:rFonts w:ascii="仿宋_GB2312" w:eastAsia="仿宋_GB2312"/>
          <w:sz w:val="32"/>
          <w:szCs w:val="32"/>
          <w:lang w:eastAsia="zh-CN"/>
        </w:rPr>
      </w:pPr>
    </w:p>
    <w:p>
      <w:pPr>
        <w:spacing w:line="360" w:lineRule="auto"/>
        <w:ind w:firstLine="640" w:firstLineChars="200"/>
        <w:jc w:val="right"/>
        <w:rPr>
          <w:rFonts w:ascii="仿宋_GB2312" w:eastAsia="仿宋_GB2312"/>
          <w:sz w:val="32"/>
          <w:szCs w:val="32"/>
          <w:lang w:eastAsia="zh-CN"/>
        </w:rPr>
      </w:pPr>
    </w:p>
    <w:sectPr>
      <w:footerReference r:id="rId3" w:type="default"/>
      <w:pgSz w:w="11910" w:h="16840"/>
      <w:pgMar w:top="1871" w:right="1361" w:bottom="1757" w:left="1474" w:header="0" w:footer="120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9790430</wp:posOffset>
              </wp:positionV>
              <wp:extent cx="166370" cy="152400"/>
              <wp:effectExtent l="1905" t="0" r="3175" b="127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1.15pt;margin-top:770.9pt;height:12pt;width:13.1pt;mso-position-horizontal-relative:page;mso-position-vertical-relative:page;z-index:-251657216;mso-width-relative:page;mso-height-relative:page;" filled="f" stroked="f" coordsize="21600,21600" o:gfxdata="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2aYj/aAAAADQEA&#10;AA8AAAAAAAAAAQAgAAAAIgAAAGRycy9kb3ducmV2LnhtbFBLAQIUABQAAAAIAIdO4kAyorFL3wEA&#10;ALUDAAAOAAAAAAAAAAEAIAAAACkBAABkcnMvZTJvRG9jLnhtbFBLBQYAAAAABgAGAFkBAAB6BQAA&#10;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1A619E"/>
    <w:multiLevelType w:val="multilevel"/>
    <w:tmpl w:val="781A619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25C"/>
    <w:rsid w:val="000044E1"/>
    <w:rsid w:val="00007DCF"/>
    <w:rsid w:val="00010820"/>
    <w:rsid w:val="00011F24"/>
    <w:rsid w:val="00015731"/>
    <w:rsid w:val="00037E6D"/>
    <w:rsid w:val="0005390F"/>
    <w:rsid w:val="000568D3"/>
    <w:rsid w:val="00066904"/>
    <w:rsid w:val="00072455"/>
    <w:rsid w:val="00085B2B"/>
    <w:rsid w:val="000956DF"/>
    <w:rsid w:val="000A28F4"/>
    <w:rsid w:val="000A5A07"/>
    <w:rsid w:val="000A5E5F"/>
    <w:rsid w:val="000C08EC"/>
    <w:rsid w:val="000C189A"/>
    <w:rsid w:val="000D7084"/>
    <w:rsid w:val="000E089D"/>
    <w:rsid w:val="000F3408"/>
    <w:rsid w:val="000F77C4"/>
    <w:rsid w:val="001058EC"/>
    <w:rsid w:val="0011241D"/>
    <w:rsid w:val="00112F73"/>
    <w:rsid w:val="001272D2"/>
    <w:rsid w:val="001472BC"/>
    <w:rsid w:val="001613F2"/>
    <w:rsid w:val="001921AB"/>
    <w:rsid w:val="001A1D92"/>
    <w:rsid w:val="001E2D8A"/>
    <w:rsid w:val="001E67D2"/>
    <w:rsid w:val="00202E1B"/>
    <w:rsid w:val="00217CE5"/>
    <w:rsid w:val="00226CDE"/>
    <w:rsid w:val="00241A77"/>
    <w:rsid w:val="002434E6"/>
    <w:rsid w:val="00246B89"/>
    <w:rsid w:val="00255FEA"/>
    <w:rsid w:val="002778B0"/>
    <w:rsid w:val="00281F6D"/>
    <w:rsid w:val="00287925"/>
    <w:rsid w:val="002922A6"/>
    <w:rsid w:val="00294B59"/>
    <w:rsid w:val="002B1BB8"/>
    <w:rsid w:val="002B2288"/>
    <w:rsid w:val="002E56F4"/>
    <w:rsid w:val="002F3949"/>
    <w:rsid w:val="002F584F"/>
    <w:rsid w:val="002F7FF1"/>
    <w:rsid w:val="003158C5"/>
    <w:rsid w:val="003202A5"/>
    <w:rsid w:val="00367EB0"/>
    <w:rsid w:val="003A721B"/>
    <w:rsid w:val="003B47F0"/>
    <w:rsid w:val="003C0004"/>
    <w:rsid w:val="003D79E0"/>
    <w:rsid w:val="003E3EDB"/>
    <w:rsid w:val="003F2742"/>
    <w:rsid w:val="003F3560"/>
    <w:rsid w:val="00402590"/>
    <w:rsid w:val="00402E2A"/>
    <w:rsid w:val="00405E0E"/>
    <w:rsid w:val="00420D4C"/>
    <w:rsid w:val="00420DA0"/>
    <w:rsid w:val="00421664"/>
    <w:rsid w:val="00442F18"/>
    <w:rsid w:val="004451F5"/>
    <w:rsid w:val="00470209"/>
    <w:rsid w:val="004A6E1C"/>
    <w:rsid w:val="004B08A9"/>
    <w:rsid w:val="004B5220"/>
    <w:rsid w:val="004C60AD"/>
    <w:rsid w:val="004D17D2"/>
    <w:rsid w:val="004E53DB"/>
    <w:rsid w:val="005040AE"/>
    <w:rsid w:val="0051256D"/>
    <w:rsid w:val="00526C16"/>
    <w:rsid w:val="00553218"/>
    <w:rsid w:val="005612B8"/>
    <w:rsid w:val="00597B2B"/>
    <w:rsid w:val="005E0747"/>
    <w:rsid w:val="005E6908"/>
    <w:rsid w:val="0060440D"/>
    <w:rsid w:val="00642C6E"/>
    <w:rsid w:val="00643DAD"/>
    <w:rsid w:val="00650F02"/>
    <w:rsid w:val="006617FF"/>
    <w:rsid w:val="00675B3C"/>
    <w:rsid w:val="00694C6A"/>
    <w:rsid w:val="006B44C7"/>
    <w:rsid w:val="006C6A70"/>
    <w:rsid w:val="006F1801"/>
    <w:rsid w:val="00720E4C"/>
    <w:rsid w:val="00725288"/>
    <w:rsid w:val="00733237"/>
    <w:rsid w:val="00735BD5"/>
    <w:rsid w:val="007761D9"/>
    <w:rsid w:val="0079344B"/>
    <w:rsid w:val="007A1864"/>
    <w:rsid w:val="007C15B2"/>
    <w:rsid w:val="007C1B0F"/>
    <w:rsid w:val="007C1C77"/>
    <w:rsid w:val="007D1087"/>
    <w:rsid w:val="007F1CB1"/>
    <w:rsid w:val="008034A9"/>
    <w:rsid w:val="00803651"/>
    <w:rsid w:val="0080603B"/>
    <w:rsid w:val="008132DF"/>
    <w:rsid w:val="00850BB3"/>
    <w:rsid w:val="00875A64"/>
    <w:rsid w:val="00877F94"/>
    <w:rsid w:val="00880EFE"/>
    <w:rsid w:val="008845F4"/>
    <w:rsid w:val="008A06E9"/>
    <w:rsid w:val="008A5911"/>
    <w:rsid w:val="008B1E59"/>
    <w:rsid w:val="008B7388"/>
    <w:rsid w:val="008C68CE"/>
    <w:rsid w:val="008D1583"/>
    <w:rsid w:val="008D3152"/>
    <w:rsid w:val="008E032C"/>
    <w:rsid w:val="00925441"/>
    <w:rsid w:val="00935BAA"/>
    <w:rsid w:val="009520D2"/>
    <w:rsid w:val="00954D81"/>
    <w:rsid w:val="00960FBB"/>
    <w:rsid w:val="009618BF"/>
    <w:rsid w:val="009928A8"/>
    <w:rsid w:val="00997D47"/>
    <w:rsid w:val="009B384F"/>
    <w:rsid w:val="009B3B6E"/>
    <w:rsid w:val="009C3C26"/>
    <w:rsid w:val="009D7BD7"/>
    <w:rsid w:val="009E7268"/>
    <w:rsid w:val="009E7EFE"/>
    <w:rsid w:val="00A067D5"/>
    <w:rsid w:val="00A20111"/>
    <w:rsid w:val="00A337D7"/>
    <w:rsid w:val="00A43133"/>
    <w:rsid w:val="00A45ECD"/>
    <w:rsid w:val="00A45FD1"/>
    <w:rsid w:val="00A60599"/>
    <w:rsid w:val="00A7210B"/>
    <w:rsid w:val="00AD125E"/>
    <w:rsid w:val="00AD50B6"/>
    <w:rsid w:val="00B06AD0"/>
    <w:rsid w:val="00B10F10"/>
    <w:rsid w:val="00B24CF4"/>
    <w:rsid w:val="00B371E0"/>
    <w:rsid w:val="00B41331"/>
    <w:rsid w:val="00B55884"/>
    <w:rsid w:val="00B55BC8"/>
    <w:rsid w:val="00B56190"/>
    <w:rsid w:val="00B93FC5"/>
    <w:rsid w:val="00B95929"/>
    <w:rsid w:val="00BC5347"/>
    <w:rsid w:val="00BC779F"/>
    <w:rsid w:val="00C0594E"/>
    <w:rsid w:val="00C356D6"/>
    <w:rsid w:val="00C6031D"/>
    <w:rsid w:val="00C64C1E"/>
    <w:rsid w:val="00C74FFF"/>
    <w:rsid w:val="00C84058"/>
    <w:rsid w:val="00C90B35"/>
    <w:rsid w:val="00C949AD"/>
    <w:rsid w:val="00CA2564"/>
    <w:rsid w:val="00CA5E8E"/>
    <w:rsid w:val="00CC125C"/>
    <w:rsid w:val="00CD60F8"/>
    <w:rsid w:val="00CE2356"/>
    <w:rsid w:val="00D001A3"/>
    <w:rsid w:val="00D053E3"/>
    <w:rsid w:val="00D060E0"/>
    <w:rsid w:val="00D12F9E"/>
    <w:rsid w:val="00D3612A"/>
    <w:rsid w:val="00D37D96"/>
    <w:rsid w:val="00D65E6F"/>
    <w:rsid w:val="00D70E8F"/>
    <w:rsid w:val="00D84917"/>
    <w:rsid w:val="00DB50C2"/>
    <w:rsid w:val="00DB6F11"/>
    <w:rsid w:val="00DC21A8"/>
    <w:rsid w:val="00DF24D4"/>
    <w:rsid w:val="00DF5C9E"/>
    <w:rsid w:val="00E14458"/>
    <w:rsid w:val="00E23D4C"/>
    <w:rsid w:val="00E2481D"/>
    <w:rsid w:val="00E31881"/>
    <w:rsid w:val="00E44F0D"/>
    <w:rsid w:val="00E46F5C"/>
    <w:rsid w:val="00E61ECD"/>
    <w:rsid w:val="00E65248"/>
    <w:rsid w:val="00E66299"/>
    <w:rsid w:val="00E8129F"/>
    <w:rsid w:val="00E861C2"/>
    <w:rsid w:val="00EC27D3"/>
    <w:rsid w:val="00EC4B25"/>
    <w:rsid w:val="00ED4778"/>
    <w:rsid w:val="00EF118D"/>
    <w:rsid w:val="00EF7147"/>
    <w:rsid w:val="00F12288"/>
    <w:rsid w:val="00F17938"/>
    <w:rsid w:val="00F27F3B"/>
    <w:rsid w:val="00F40DCA"/>
    <w:rsid w:val="00F46B7D"/>
    <w:rsid w:val="00F54279"/>
    <w:rsid w:val="00F6613B"/>
    <w:rsid w:val="00F71E9D"/>
    <w:rsid w:val="00F726EA"/>
    <w:rsid w:val="00F752F6"/>
    <w:rsid w:val="00F80856"/>
    <w:rsid w:val="00FA2CE3"/>
    <w:rsid w:val="00FB48C2"/>
    <w:rsid w:val="00FC6E7D"/>
    <w:rsid w:val="00FD531C"/>
    <w:rsid w:val="00FD6EEF"/>
    <w:rsid w:val="10C00154"/>
    <w:rsid w:val="24B64970"/>
    <w:rsid w:val="2F907126"/>
    <w:rsid w:val="5E080F60"/>
    <w:rsid w:val="61A647D8"/>
    <w:rsid w:val="65254AF7"/>
    <w:rsid w:val="6878526B"/>
    <w:rsid w:val="6F3D2D59"/>
    <w:rsid w:val="7BF81969"/>
    <w:rsid w:val="7DE22C7B"/>
    <w:rsid w:val="7EAC6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en-US" w:eastAsia="en-US" w:bidi="ar-SA"/>
    </w:rPr>
  </w:style>
  <w:style w:type="paragraph" w:styleId="2">
    <w:name w:val="heading 1"/>
    <w:basedOn w:val="1"/>
    <w:next w:val="1"/>
    <w:link w:val="22"/>
    <w:qFormat/>
    <w:uiPriority w:val="9"/>
    <w:pPr>
      <w:spacing w:before="23"/>
      <w:ind w:left="1237" w:right="1295"/>
      <w:jc w:val="center"/>
      <w:outlineLvl w:val="0"/>
    </w:pPr>
    <w:rPr>
      <w:rFonts w:ascii="黑体" w:hAnsi="黑体" w:eastAsia="黑体" w:cs="黑体"/>
      <w:sz w:val="44"/>
      <w:szCs w:val="44"/>
    </w:rPr>
  </w:style>
  <w:style w:type="paragraph" w:styleId="3">
    <w:name w:val="heading 2"/>
    <w:basedOn w:val="1"/>
    <w:next w:val="1"/>
    <w:qFormat/>
    <w:uiPriority w:val="1"/>
    <w:pPr>
      <w:ind w:left="776"/>
      <w:outlineLvl w:val="1"/>
    </w:pPr>
    <w:rPr>
      <w:b/>
      <w:bCs/>
      <w:sz w:val="28"/>
      <w:szCs w:val="28"/>
    </w:rPr>
  </w:style>
  <w:style w:type="paragraph" w:styleId="4">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5">
    <w:name w:val="Body Text First Indent"/>
    <w:basedOn w:val="6"/>
    <w:link w:val="24"/>
    <w:semiHidden/>
    <w:unhideWhenUsed/>
    <w:qFormat/>
    <w:uiPriority w:val="99"/>
    <w:pPr>
      <w:spacing w:after="120"/>
      <w:ind w:left="0" w:firstLine="420" w:firstLineChars="100"/>
    </w:pPr>
    <w:rPr>
      <w:sz w:val="22"/>
      <w:szCs w:val="22"/>
    </w:rPr>
  </w:style>
  <w:style w:type="paragraph" w:styleId="6">
    <w:name w:val="Body Text"/>
    <w:basedOn w:val="1"/>
    <w:link w:val="23"/>
    <w:qFormat/>
    <w:uiPriority w:val="1"/>
    <w:pPr>
      <w:ind w:left="217"/>
    </w:pPr>
    <w:rPr>
      <w:sz w:val="28"/>
      <w:szCs w:val="28"/>
    </w:rPr>
  </w:style>
  <w:style w:type="paragraph" w:styleId="7">
    <w:name w:val="Document Map"/>
    <w:basedOn w:val="1"/>
    <w:link w:val="21"/>
    <w:semiHidden/>
    <w:unhideWhenUsed/>
    <w:qFormat/>
    <w:uiPriority w:val="99"/>
    <w:pPr>
      <w:autoSpaceDE/>
      <w:autoSpaceDN/>
      <w:jc w:val="both"/>
    </w:pPr>
    <w:rPr>
      <w:rFonts w:ascii="宋体" w:hAnsi="Calibri" w:eastAsia="宋体" w:cs="Times New Roman"/>
      <w:kern w:val="2"/>
      <w:sz w:val="18"/>
      <w:szCs w:val="18"/>
      <w:lang w:eastAsia="zh-CN"/>
    </w:rPr>
  </w:style>
  <w:style w:type="paragraph" w:styleId="8">
    <w:name w:val="Balloon Text"/>
    <w:basedOn w:val="1"/>
    <w:link w:val="20"/>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autoSpaceDE/>
      <w:autoSpaceDN/>
      <w:spacing w:before="100" w:beforeAutospacing="1" w:after="100" w:afterAutospacing="1"/>
    </w:pPr>
    <w:rPr>
      <w:rFonts w:ascii="宋体" w:hAnsi="宋体" w:eastAsia="宋体" w:cs="宋体"/>
      <w:sz w:val="24"/>
      <w:lang w:eastAsia="zh-CN"/>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5">
    <w:name w:val="Table Normal"/>
    <w:unhideWhenUsed/>
    <w:qFormat/>
    <w:uiPriority w:val="2"/>
    <w:tblPr>
      <w:tblLayout w:type="fixed"/>
      <w:tblCellMar>
        <w:top w:w="0" w:type="dxa"/>
        <w:left w:w="0" w:type="dxa"/>
        <w:bottom w:w="0" w:type="dxa"/>
        <w:right w:w="0" w:type="dxa"/>
      </w:tblCellMar>
    </w:tblPr>
  </w:style>
  <w:style w:type="paragraph" w:styleId="16">
    <w:name w:val="List Paragraph"/>
    <w:basedOn w:val="1"/>
    <w:qFormat/>
    <w:uiPriority w:val="1"/>
    <w:pPr>
      <w:ind w:left="217" w:firstLine="559"/>
    </w:pPr>
  </w:style>
  <w:style w:type="paragraph" w:customStyle="1" w:styleId="17">
    <w:name w:val="Table Paragraph"/>
    <w:basedOn w:val="1"/>
    <w:qFormat/>
    <w:uiPriority w:val="1"/>
  </w:style>
  <w:style w:type="character" w:customStyle="1" w:styleId="18">
    <w:name w:val="页眉 Char"/>
    <w:basedOn w:val="12"/>
    <w:link w:val="10"/>
    <w:qFormat/>
    <w:uiPriority w:val="99"/>
    <w:rPr>
      <w:rFonts w:ascii="仿宋" w:hAnsi="仿宋" w:eastAsia="仿宋" w:cs="仿宋"/>
      <w:sz w:val="18"/>
      <w:szCs w:val="18"/>
    </w:rPr>
  </w:style>
  <w:style w:type="character" w:customStyle="1" w:styleId="19">
    <w:name w:val="页脚 Char"/>
    <w:basedOn w:val="12"/>
    <w:link w:val="9"/>
    <w:qFormat/>
    <w:uiPriority w:val="99"/>
    <w:rPr>
      <w:rFonts w:ascii="仿宋" w:hAnsi="仿宋" w:eastAsia="仿宋" w:cs="仿宋"/>
      <w:sz w:val="18"/>
      <w:szCs w:val="18"/>
    </w:rPr>
  </w:style>
  <w:style w:type="character" w:customStyle="1" w:styleId="20">
    <w:name w:val="批注框文本 Char"/>
    <w:basedOn w:val="12"/>
    <w:link w:val="8"/>
    <w:semiHidden/>
    <w:qFormat/>
    <w:uiPriority w:val="99"/>
    <w:rPr>
      <w:rFonts w:ascii="仿宋" w:hAnsi="仿宋" w:eastAsia="仿宋" w:cs="仿宋"/>
      <w:sz w:val="18"/>
      <w:szCs w:val="18"/>
    </w:rPr>
  </w:style>
  <w:style w:type="character" w:customStyle="1" w:styleId="21">
    <w:name w:val="文档结构图 Char"/>
    <w:basedOn w:val="12"/>
    <w:link w:val="7"/>
    <w:semiHidden/>
    <w:qFormat/>
    <w:uiPriority w:val="99"/>
    <w:rPr>
      <w:rFonts w:ascii="宋体" w:hAnsi="Calibri" w:eastAsia="宋体" w:cs="Times New Roman"/>
      <w:kern w:val="2"/>
      <w:sz w:val="18"/>
      <w:szCs w:val="18"/>
      <w:lang w:eastAsia="zh-CN"/>
    </w:rPr>
  </w:style>
  <w:style w:type="character" w:customStyle="1" w:styleId="22">
    <w:name w:val="标题 1 Char"/>
    <w:basedOn w:val="12"/>
    <w:link w:val="2"/>
    <w:qFormat/>
    <w:uiPriority w:val="9"/>
    <w:rPr>
      <w:rFonts w:ascii="黑体" w:hAnsi="黑体" w:eastAsia="黑体" w:cs="黑体"/>
      <w:sz w:val="44"/>
      <w:szCs w:val="44"/>
    </w:rPr>
  </w:style>
  <w:style w:type="character" w:customStyle="1" w:styleId="23">
    <w:name w:val="正文文本 Char"/>
    <w:basedOn w:val="12"/>
    <w:link w:val="6"/>
    <w:qFormat/>
    <w:uiPriority w:val="1"/>
    <w:rPr>
      <w:rFonts w:ascii="仿宋" w:hAnsi="仿宋" w:eastAsia="仿宋" w:cs="仿宋"/>
      <w:sz w:val="28"/>
      <w:szCs w:val="28"/>
    </w:rPr>
  </w:style>
  <w:style w:type="character" w:customStyle="1" w:styleId="24">
    <w:name w:val="正文首行缩进 Char"/>
    <w:basedOn w:val="23"/>
    <w:link w:val="5"/>
    <w:semiHidden/>
    <w:qFormat/>
    <w:uiPriority w:val="99"/>
    <w:rPr>
      <w:rFonts w:ascii="仿宋" w:hAnsi="仿宋" w:eastAsia="仿宋" w:cs="仿宋"/>
      <w:sz w:val="28"/>
      <w:szCs w:val="28"/>
    </w:rPr>
  </w:style>
  <w:style w:type="character" w:customStyle="1" w:styleId="25">
    <w:name w:val="font21"/>
    <w:basedOn w:val="12"/>
    <w:qFormat/>
    <w:uiPriority w:val="0"/>
    <w:rPr>
      <w:rFonts w:hint="eastAsia" w:ascii="仿宋" w:hAnsi="仿宋" w:eastAsia="仿宋" w:cs="仿宋"/>
      <w:color w:val="000000"/>
      <w:sz w:val="22"/>
      <w:szCs w:val="22"/>
      <w:u w:val="none"/>
    </w:rPr>
  </w:style>
  <w:style w:type="character" w:customStyle="1" w:styleId="26">
    <w:name w:val="font01"/>
    <w:basedOn w:val="12"/>
    <w:qFormat/>
    <w:uiPriority w:val="0"/>
    <w:rPr>
      <w:rFonts w:hint="eastAsia" w:ascii="宋体" w:hAnsi="宋体" w:eastAsia="宋体" w:cs="宋体"/>
      <w:color w:val="000000"/>
      <w:sz w:val="20"/>
      <w:szCs w:val="20"/>
      <w:u w:val="none"/>
    </w:rPr>
  </w:style>
  <w:style w:type="character" w:customStyle="1" w:styleId="27">
    <w:name w:val="font41"/>
    <w:basedOn w:val="12"/>
    <w:qFormat/>
    <w:uiPriority w:val="0"/>
    <w:rPr>
      <w:rFonts w:hint="default" w:ascii="Arial Narrow" w:hAnsi="Arial Narrow" w:eastAsia="Arial Narrow" w:cs="Arial Narrow"/>
      <w:color w:val="000000"/>
      <w:sz w:val="20"/>
      <w:szCs w:val="20"/>
      <w:u w:val="none"/>
    </w:rPr>
  </w:style>
  <w:style w:type="character" w:customStyle="1" w:styleId="28">
    <w:name w:val="font31"/>
    <w:basedOn w:val="12"/>
    <w:qFormat/>
    <w:uiPriority w:val="0"/>
    <w:rPr>
      <w:rFonts w:hint="eastAsia" w:ascii="仿宋" w:hAnsi="仿宋" w:eastAsia="仿宋" w:cs="仿宋"/>
      <w:color w:val="000000"/>
      <w:sz w:val="20"/>
      <w:szCs w:val="20"/>
      <w:u w:val="none"/>
    </w:rPr>
  </w:style>
  <w:style w:type="character" w:customStyle="1" w:styleId="29">
    <w:name w:val="标题 3 Char"/>
    <w:basedOn w:val="12"/>
    <w:link w:val="4"/>
    <w:semiHidden/>
    <w:qFormat/>
    <w:uiPriority w:val="9"/>
    <w:rPr>
      <w:rFonts w:ascii="仿宋" w:hAnsi="仿宋" w:eastAsia="仿宋" w:cs="仿宋"/>
      <w:b/>
      <w:bCs/>
      <w:sz w:val="32"/>
      <w:szCs w:val="3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Pages>
  <Words>1314</Words>
  <Characters>7493</Characters>
  <Lines>62</Lines>
  <Paragraphs>17</Paragraphs>
  <TotalTime>2</TotalTime>
  <ScaleCrop>false</ScaleCrop>
  <LinksUpToDate>false</LinksUpToDate>
  <CharactersWithSpaces>8790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2021-10-14T04:15:00Z</dcterms:created>
  <dc:creator>官小军</dc:creator>
  <cp:lastModifiedBy>刘东洋</cp:lastModifiedBy>
  <cp:lastPrinted>2021-10-09T02:24:00Z</cp:lastPrinted>
  <dcterms:modified xsi:type="dcterms:W3CDTF">2021-10-27T01:58:08Z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2021-08-19T00:00:00Z</vt:filetime>
  </property>
  <property fmtid="{D5CDD505-2E9C-101B-9397-08002B2CF9AE}" pid="3" name="Creator">
    <vt:lpwstr>WPS 文字</vt:lpwstr>
  </property>
  <property fmtid="{D5CDD505-2E9C-101B-9397-08002B2CF9AE}" pid="4" name="LastSaved">
    <vt:filetime>2021-10-03T00:00:00Z</vt:filetime>
  </property>
  <property fmtid="{D5CDD505-2E9C-101B-9397-08002B2CF9AE}" pid="5" name="KSOProductBuildVer">
    <vt:lpwstr>2052-10.8.2.6666</vt:lpwstr>
  </property>
  <property fmtid="{D5CDD505-2E9C-101B-9397-08002B2CF9AE}" pid="6" name="ICV">
    <vt:lpwstr>160FD81CEDBE48AAA815CDD1D1A6CC08</vt:lpwstr>
  </property>
</Properties>
</file>