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w:t>
      </w:r>
      <w:r>
        <w:rPr>
          <w:rFonts w:ascii="方正小标宋简体" w:hAnsi="方正小标宋简体" w:eastAsia="方正小标宋简体" w:cs="方正小标宋简体"/>
          <w:bCs/>
          <w:sz w:val="44"/>
          <w:szCs w:val="44"/>
        </w:rPr>
        <w:t>1</w:t>
      </w:r>
      <w:r>
        <w:rPr>
          <w:rFonts w:hint="eastAsia" w:ascii="方正小标宋简体" w:hAnsi="方正小标宋简体" w:eastAsia="方正小标宋简体" w:cs="方正小标宋简体"/>
          <w:bCs/>
          <w:sz w:val="44"/>
          <w:szCs w:val="44"/>
        </w:rPr>
        <w:t>年河南省高等职业教育技能大赛</w:t>
      </w:r>
    </w:p>
    <w:p>
      <w:pPr>
        <w:widowControl/>
        <w:spacing w:line="600" w:lineRule="exact"/>
        <w:jc w:val="center"/>
        <w:rPr>
          <w:rFonts w:ascii="黑体" w:hAnsi="黑体" w:eastAsia="黑体" w:cs="黑体"/>
          <w:sz w:val="30"/>
          <w:szCs w:val="30"/>
        </w:rPr>
      </w:pPr>
      <w:r>
        <w:rPr>
          <w:rFonts w:ascii="方正小标宋简体" w:hAnsi="方正小标宋简体" w:eastAsia="方正小标宋简体" w:cs="方正小标宋简体"/>
          <w:bCs/>
          <w:sz w:val="44"/>
          <w:szCs w:val="44"/>
        </w:rPr>
        <w:t>化学实验技术</w:t>
      </w:r>
      <w:r>
        <w:rPr>
          <w:rFonts w:hint="eastAsia" w:ascii="方正小标宋简体" w:hAnsi="方正小标宋简体" w:eastAsia="方正小标宋简体" w:cs="方正小标宋简体"/>
          <w:bCs/>
          <w:sz w:val="44"/>
          <w:szCs w:val="44"/>
        </w:rPr>
        <w:t>赛项竞赛方案</w:t>
      </w:r>
    </w:p>
    <w:p>
      <w:pPr>
        <w:ind w:firstLine="600" w:firstLineChars="200"/>
        <w:jc w:val="left"/>
        <w:rPr>
          <w:rFonts w:hint="eastAsia" w:ascii="黑体" w:hAnsi="黑体" w:eastAsia="黑体" w:cs="黑体"/>
          <w:sz w:val="30"/>
          <w:szCs w:val="30"/>
        </w:rPr>
      </w:pPr>
    </w:p>
    <w:p>
      <w:pPr>
        <w:keepNext w:val="0"/>
        <w:keepLines w:val="0"/>
        <w:pageBreakBefore w:val="0"/>
        <w:widowControl w:val="0"/>
        <w:kinsoku/>
        <w:wordWrap/>
        <w:overflowPunct/>
        <w:topLinePunct w:val="0"/>
        <w:bidi w:val="0"/>
        <w:snapToGrid/>
        <w:spacing w:line="560" w:lineRule="exact"/>
        <w:ind w:firstLine="600" w:firstLineChars="200"/>
        <w:jc w:val="left"/>
        <w:textAlignment w:val="auto"/>
        <w:outlineLvl w:val="9"/>
        <w:rPr>
          <w:rFonts w:ascii="黑体" w:hAnsi="黑体" w:eastAsia="黑体" w:cs="黑体"/>
          <w:sz w:val="30"/>
          <w:szCs w:val="30"/>
        </w:rPr>
      </w:pPr>
      <w:r>
        <w:rPr>
          <w:rFonts w:hint="eastAsia" w:ascii="黑体" w:hAnsi="黑体" w:eastAsia="黑体" w:cs="黑体"/>
          <w:sz w:val="30"/>
          <w:szCs w:val="30"/>
        </w:rPr>
        <w:t>一、赛项名称及承办院校</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outlineLvl w:val="9"/>
        <w:rPr>
          <w:rFonts w:ascii="仿宋_GB2312" w:hAnsi="仿宋" w:eastAsia="仿宋_GB2312" w:cs="仿宋_GB2312"/>
          <w:sz w:val="30"/>
          <w:szCs w:val="30"/>
        </w:rPr>
      </w:pPr>
      <w:r>
        <w:rPr>
          <w:rFonts w:hint="eastAsia" w:ascii="仿宋_GB2312" w:hAnsi="仿宋" w:eastAsia="仿宋_GB2312" w:cs="仿宋_GB2312"/>
          <w:sz w:val="30"/>
          <w:szCs w:val="30"/>
        </w:rPr>
        <w:t>赛项编号：</w:t>
      </w:r>
      <w:r>
        <w:rPr>
          <w:rFonts w:hint="eastAsia" w:ascii="仿宋_GB2312" w:hAnsi="仿宋" w:eastAsia="仿宋_GB2312" w:cs="仿宋"/>
          <w:kern w:val="0"/>
          <w:sz w:val="30"/>
          <w:szCs w:val="30"/>
        </w:rPr>
        <w:t>GZ-2021026</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outlineLvl w:val="9"/>
        <w:rPr>
          <w:rFonts w:ascii="仿宋_GB2312" w:hAnsi="仿宋" w:eastAsia="仿宋_GB2312" w:cs="仿宋_GB2312"/>
          <w:sz w:val="30"/>
          <w:szCs w:val="30"/>
        </w:rPr>
      </w:pPr>
      <w:r>
        <w:rPr>
          <w:rFonts w:hint="eastAsia" w:ascii="仿宋_GB2312" w:hAnsi="仿宋" w:eastAsia="仿宋_GB2312" w:cs="仿宋_GB2312"/>
          <w:sz w:val="30"/>
          <w:szCs w:val="30"/>
        </w:rPr>
        <w:t>赛项名称：化学实验技术</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outlineLvl w:val="9"/>
        <w:rPr>
          <w:rFonts w:ascii="仿宋_GB2312" w:hAnsi="仿宋" w:eastAsia="仿宋_GB2312" w:cs="仿宋_GB2312"/>
          <w:sz w:val="30"/>
          <w:szCs w:val="30"/>
        </w:rPr>
      </w:pPr>
      <w:r>
        <w:rPr>
          <w:rFonts w:hint="eastAsia" w:ascii="仿宋_GB2312" w:hAnsi="仿宋" w:eastAsia="仿宋_GB2312" w:cs="仿宋_GB2312"/>
          <w:sz w:val="30"/>
          <w:szCs w:val="30"/>
        </w:rPr>
        <w:t>英文名称：</w:t>
      </w:r>
      <w:r>
        <w:rPr>
          <w:rFonts w:hint="eastAsia" w:ascii="仿宋_GB2312" w:hAnsi="仿宋" w:eastAsia="仿宋_GB2312" w:cs="仿宋"/>
          <w:kern w:val="0"/>
          <w:sz w:val="30"/>
          <w:szCs w:val="30"/>
        </w:rPr>
        <w:t>Chemical Experimental Technology</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outlineLvl w:val="9"/>
        <w:rPr>
          <w:rFonts w:ascii="仿宋_GB2312" w:hAnsi="仿宋" w:eastAsia="仿宋_GB2312" w:cs="仿宋_GB2312"/>
          <w:sz w:val="30"/>
          <w:szCs w:val="30"/>
        </w:rPr>
      </w:pPr>
      <w:r>
        <w:rPr>
          <w:rFonts w:hint="eastAsia" w:ascii="仿宋_GB2312" w:hAnsi="仿宋" w:eastAsia="仿宋_GB2312" w:cs="仿宋_GB2312"/>
          <w:sz w:val="30"/>
          <w:szCs w:val="30"/>
        </w:rPr>
        <w:t>赛项组别：高职组</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outlineLvl w:val="9"/>
        <w:rPr>
          <w:rFonts w:ascii="仿宋_GB2312" w:hAnsi="仿宋" w:eastAsia="仿宋_GB2312" w:cs="仿宋_GB2312"/>
          <w:sz w:val="30"/>
          <w:szCs w:val="30"/>
        </w:rPr>
      </w:pPr>
      <w:r>
        <w:rPr>
          <w:rFonts w:hint="eastAsia" w:ascii="仿宋_GB2312" w:hAnsi="仿宋" w:eastAsia="仿宋_GB2312" w:cs="仿宋_GB2312"/>
          <w:sz w:val="30"/>
          <w:szCs w:val="30"/>
        </w:rPr>
        <w:t>承办院校：河南应用技术职业学院</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outlineLvl w:val="9"/>
        <w:rPr>
          <w:rFonts w:ascii="仿宋_GB2312" w:hAnsi="仿宋_GB2312" w:eastAsia="仿宋_GB2312" w:cs="仿宋_GB2312"/>
          <w:sz w:val="30"/>
          <w:szCs w:val="30"/>
        </w:rPr>
      </w:pPr>
      <w:r>
        <w:rPr>
          <w:rFonts w:hint="eastAsia" w:ascii="仿宋_GB2312" w:hAnsi="仿宋" w:eastAsia="仿宋_GB2312" w:cs="仿宋_GB2312"/>
          <w:sz w:val="30"/>
          <w:szCs w:val="30"/>
        </w:rPr>
        <w:t>报到及住宿地点：另行通知。</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outlineLvl w:val="9"/>
        <w:rPr>
          <w:rFonts w:ascii="黑体" w:hAnsi="黑体" w:eastAsia="黑体" w:cs="黑体"/>
          <w:sz w:val="30"/>
          <w:szCs w:val="30"/>
          <w:lang w:val="zh-TW"/>
        </w:rPr>
      </w:pPr>
      <w:r>
        <w:rPr>
          <w:rFonts w:hint="eastAsia" w:ascii="黑体" w:hAnsi="黑体" w:eastAsia="黑体" w:cs="黑体"/>
          <w:sz w:val="30"/>
          <w:szCs w:val="30"/>
          <w:lang w:val="zh-TW"/>
        </w:rPr>
        <w:t>二、赛项描述</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化学实验技术是利用现代化学技术对各类天然或合成材料进行定性与定量分析、制备与合成，及其物理与化学性能测量的专门技术技能。</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化学实验技术人员适于在企业质量控制部门、研究和开发部门的化学实验室，或在不同行业企业的环保部门工作，应能独立地进行合成、质量控制、分析任务，制定实验室的工作计划，记录工作过程和评价工作结果。在工作中必须遵守有关劳动安全、健康保护、环境保护以及质量保证等的条例和规定。本赛项由三个模块组成，涉及物质的定性分析、定量分析、制备和质量控制。通过实际操作模块来评估选手的知识理解和技能掌握，不再单独举行理论测试。</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outlineLvl w:val="9"/>
        <w:rPr>
          <w:rFonts w:ascii="黑体" w:hAnsi="黑体" w:eastAsia="黑体" w:cs="黑体"/>
          <w:sz w:val="30"/>
          <w:szCs w:val="30"/>
          <w:lang w:val="zh-TW"/>
        </w:rPr>
      </w:pPr>
      <w:r>
        <w:rPr>
          <w:rFonts w:hint="eastAsia" w:ascii="黑体" w:hAnsi="黑体" w:eastAsia="黑体" w:cs="黑体"/>
          <w:sz w:val="30"/>
          <w:szCs w:val="30"/>
          <w:lang w:val="zh-TW"/>
        </w:rPr>
        <w:t>三、选手能力标准规范</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本赛项涉及的与化学实验技术相关的职业，包括《中华人民共和国职业分类大典（</w:t>
      </w:r>
      <w:r>
        <w:rPr>
          <w:rFonts w:ascii="仿宋_GB2312" w:hAnsi="仿宋_GB2312" w:eastAsia="仿宋_GB2312" w:cs="仿宋_GB2312"/>
          <w:sz w:val="30"/>
          <w:szCs w:val="30"/>
        </w:rPr>
        <w:t xml:space="preserve">2015 </w:t>
      </w:r>
      <w:r>
        <w:rPr>
          <w:rFonts w:hint="eastAsia" w:ascii="仿宋_GB2312" w:hAnsi="仿宋_GB2312" w:eastAsia="仿宋_GB2312" w:cs="仿宋_GB2312"/>
          <w:sz w:val="30"/>
          <w:szCs w:val="30"/>
        </w:rPr>
        <w:t>年版）》中“化工工程技术人员</w:t>
      </w:r>
      <w:r>
        <w:rPr>
          <w:rFonts w:ascii="仿宋_GB2312" w:hAnsi="仿宋_GB2312" w:eastAsia="仿宋_GB2312" w:cs="仿宋_GB2312"/>
          <w:sz w:val="30"/>
          <w:szCs w:val="30"/>
        </w:rPr>
        <w:t>(GBM20206)</w:t>
      </w:r>
      <w:r>
        <w:rPr>
          <w:rFonts w:hint="eastAsia" w:ascii="仿宋_GB2312" w:hAnsi="仿宋_GB2312" w:eastAsia="仿宋_GB2312" w:cs="仿宋_GB2312"/>
          <w:sz w:val="30"/>
          <w:szCs w:val="30"/>
        </w:rPr>
        <w:t>”“环境保护工程技术人员</w:t>
      </w:r>
      <w:r>
        <w:rPr>
          <w:rFonts w:ascii="仿宋_GB2312" w:hAnsi="仿宋_GB2312" w:eastAsia="仿宋_GB2312" w:cs="仿宋_GB2312"/>
          <w:sz w:val="30"/>
          <w:szCs w:val="30"/>
        </w:rPr>
        <w:t>(GBM20227)</w:t>
      </w:r>
      <w:r>
        <w:rPr>
          <w:rFonts w:hint="eastAsia" w:ascii="仿宋_GB2312" w:hAnsi="仿宋_GB2312" w:eastAsia="仿宋_GB2312" w:cs="仿宋_GB2312"/>
          <w:sz w:val="30"/>
          <w:szCs w:val="30"/>
        </w:rPr>
        <w:t>”“检验、检测和计量服务人员</w:t>
      </w:r>
      <w:r>
        <w:rPr>
          <w:rFonts w:ascii="仿宋_GB2312" w:hAnsi="仿宋_GB2312" w:eastAsia="仿宋_GB2312" w:cs="仿宋_GB2312"/>
          <w:sz w:val="30"/>
          <w:szCs w:val="30"/>
        </w:rPr>
        <w:t>(GBM40805)</w:t>
      </w:r>
      <w:r>
        <w:rPr>
          <w:rFonts w:hint="eastAsia" w:ascii="仿宋_GB2312" w:hAnsi="仿宋_GB2312" w:eastAsia="仿宋_GB2312" w:cs="仿宋_GB2312"/>
          <w:sz w:val="30"/>
          <w:szCs w:val="30"/>
        </w:rPr>
        <w:t>”“环境监测服务人员</w:t>
      </w:r>
      <w:r>
        <w:rPr>
          <w:rFonts w:ascii="仿宋_GB2312" w:hAnsi="仿宋_GB2312" w:eastAsia="仿宋_GB2312" w:cs="仿宋_GB2312"/>
          <w:sz w:val="30"/>
          <w:szCs w:val="30"/>
        </w:rPr>
        <w:t>(GBM40806)</w:t>
      </w:r>
      <w:r>
        <w:rPr>
          <w:rFonts w:hint="eastAsia" w:ascii="仿宋_GB2312" w:hAnsi="仿宋_GB2312" w:eastAsia="仿宋_GB2312" w:cs="仿宋_GB2312"/>
          <w:sz w:val="30"/>
          <w:szCs w:val="30"/>
        </w:rPr>
        <w:t>”“检验试验人员</w:t>
      </w:r>
      <w:r>
        <w:rPr>
          <w:rFonts w:ascii="仿宋_GB2312" w:hAnsi="仿宋_GB2312" w:eastAsia="仿宋_GB2312" w:cs="仿宋_GB2312"/>
          <w:sz w:val="30"/>
          <w:szCs w:val="30"/>
        </w:rPr>
        <w:t>(GBM63103)</w:t>
      </w:r>
      <w:r>
        <w:rPr>
          <w:rFonts w:hint="eastAsia" w:ascii="仿宋_GB2312" w:hAnsi="仿宋_GB2312" w:eastAsia="仿宋_GB2312" w:cs="仿宋_GB2312"/>
          <w:sz w:val="30"/>
          <w:szCs w:val="30"/>
        </w:rPr>
        <w:t>”等职业小类。本标准规范中选手应具备的知识和技能参照世界技能大赛标准规范（见附件1）制定，作为竞赛选手训练及准备的指南。</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outlineLvl w:val="9"/>
        <w:rPr>
          <w:rFonts w:ascii="黑体" w:hAnsi="黑体" w:eastAsia="黑体" w:cs="黑体"/>
          <w:sz w:val="30"/>
          <w:szCs w:val="30"/>
          <w:lang w:val="zh-TW"/>
        </w:rPr>
      </w:pPr>
      <w:r>
        <w:rPr>
          <w:rFonts w:hint="eastAsia" w:ascii="黑体" w:hAnsi="黑体" w:eastAsia="黑体" w:cs="黑体"/>
          <w:sz w:val="30"/>
          <w:szCs w:val="30"/>
          <w:lang w:val="zh-TW"/>
        </w:rPr>
        <w:t>四、竞赛目的</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 xml:space="preserve">2021 </w:t>
      </w:r>
      <w:r>
        <w:rPr>
          <w:rFonts w:hint="eastAsia" w:ascii="仿宋_GB2312" w:hAnsi="仿宋_GB2312" w:eastAsia="仿宋_GB2312" w:cs="仿宋_GB2312"/>
          <w:sz w:val="30"/>
          <w:szCs w:val="30"/>
        </w:rPr>
        <w:t>年河南省高等职业教育技能大赛化学实验技术赛项竞赛方案，以</w:t>
      </w:r>
      <w:r>
        <w:rPr>
          <w:rFonts w:ascii="仿宋_GB2312" w:hAnsi="仿宋_GB2312" w:eastAsia="仿宋_GB2312" w:cs="仿宋_GB2312"/>
          <w:sz w:val="30"/>
          <w:szCs w:val="30"/>
        </w:rPr>
        <w:t>2021年全国职业院校技能大赛</w:t>
      </w:r>
      <w:r>
        <w:rPr>
          <w:rFonts w:hint="eastAsia" w:ascii="仿宋_GB2312" w:hAnsi="仿宋_GB2312" w:eastAsia="仿宋_GB2312" w:cs="仿宋_GB2312"/>
          <w:sz w:val="30"/>
          <w:szCs w:val="30"/>
        </w:rPr>
        <w:t>化学实验技术</w:t>
      </w:r>
      <w:r>
        <w:rPr>
          <w:rFonts w:ascii="仿宋_GB2312" w:hAnsi="仿宋_GB2312" w:eastAsia="仿宋_GB2312" w:cs="仿宋_GB2312"/>
          <w:sz w:val="30"/>
          <w:szCs w:val="30"/>
        </w:rPr>
        <w:t>赛项规程</w:t>
      </w:r>
      <w:r>
        <w:rPr>
          <w:rFonts w:hint="eastAsia" w:ascii="仿宋_GB2312" w:hAnsi="仿宋_GB2312" w:eastAsia="仿宋_GB2312" w:cs="仿宋_GB2312"/>
          <w:sz w:val="30"/>
          <w:szCs w:val="30"/>
        </w:rPr>
        <w:t>文件为参考依据。为发挥好职业院校技能大赛对职业教育“树旗、导航、定标、催化”作用，本赛项以检验教学成果、体现世赛理念、促进职业教育高质量发展为指导思想，瞄准世界高水平，营造崇尚技能氛围，推动专业教学改革与发展，实现课程内容与职业标准对接，培育学生工匠精神，提升学生化学实验技术能力而设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通过技能竞赛考查学生掌握物质制备和分析的基本理论知识；考查学生执行国家及行业标准规范的能力、科学的实验工作方法和实验技巧；考查学生实事求是的科学态度，严谨细致的工作作风，清洁整齐的良好工作习惯；考查学生职业健康、安全、环保意识。</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outlineLvl w:val="9"/>
        <w:rPr>
          <w:rFonts w:ascii="黑体" w:hAnsi="黑体" w:eastAsia="黑体" w:cs="黑体"/>
          <w:sz w:val="30"/>
          <w:szCs w:val="30"/>
          <w:lang w:val="zh-TW"/>
        </w:rPr>
      </w:pPr>
      <w:r>
        <w:rPr>
          <w:rFonts w:hint="eastAsia" w:ascii="黑体" w:hAnsi="黑体" w:eastAsia="黑体" w:cs="黑体"/>
          <w:sz w:val="30"/>
          <w:szCs w:val="30"/>
          <w:lang w:val="zh-TW"/>
        </w:rPr>
        <w:t>五、竞赛内容</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outlineLvl w:val="9"/>
        <w:rPr>
          <w:rFonts w:ascii="楷体_GB2312" w:hAnsi="仿宋_GB2312" w:eastAsia="楷体_GB2312" w:cs="仿宋_GB2312"/>
          <w:sz w:val="30"/>
          <w:szCs w:val="30"/>
        </w:rPr>
      </w:pPr>
      <w:r>
        <w:rPr>
          <w:rFonts w:hint="eastAsia" w:ascii="楷体_GB2312" w:hAnsi="仿宋_GB2312" w:eastAsia="楷体_GB2312" w:cs="仿宋_GB2312"/>
          <w:sz w:val="30"/>
          <w:szCs w:val="30"/>
        </w:rPr>
        <w:t>（一）考核内容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考核内容将涵盖化学实验技术人员特定职能和整体角色的执行，可能包括：</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取样</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样品制备</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物性常数和化学参数识别</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定性分析</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定量分析</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有机物合成</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滴定分析</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光度测定</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气相色谱法</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光谱法</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数据记录和分析</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质量控制</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工作管理以及健康和安全</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废弃物处置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outlineLvl w:val="9"/>
        <w:rPr>
          <w:rFonts w:ascii="楷体_GB2312" w:hAnsi="仿宋_GB2312" w:eastAsia="楷体_GB2312" w:cs="仿宋_GB2312"/>
          <w:sz w:val="30"/>
          <w:szCs w:val="30"/>
        </w:rPr>
      </w:pPr>
      <w:r>
        <w:rPr>
          <w:rFonts w:hint="eastAsia" w:ascii="楷体_GB2312" w:hAnsi="仿宋_GB2312" w:eastAsia="楷体_GB2312" w:cs="仿宋_GB2312"/>
          <w:sz w:val="30"/>
          <w:szCs w:val="30"/>
        </w:rPr>
        <w:t>（二）考核项目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考核项目设计旨在提供全面、公平、真实的机会，结合评分标准对选手能力要求进行评价。本赛项由 </w:t>
      </w:r>
      <w:r>
        <w:rPr>
          <w:rFonts w:ascii="仿宋_GB2312" w:hAnsi="仿宋_GB2312" w:eastAsia="仿宋_GB2312" w:cs="仿宋_GB2312"/>
          <w:sz w:val="30"/>
          <w:szCs w:val="30"/>
        </w:rPr>
        <w:t xml:space="preserve">3 </w:t>
      </w:r>
      <w:r>
        <w:rPr>
          <w:rFonts w:hint="eastAsia" w:ascii="仿宋_GB2312" w:hAnsi="仿宋_GB2312" w:eastAsia="仿宋_GB2312" w:cs="仿宋_GB2312"/>
          <w:sz w:val="30"/>
          <w:szCs w:val="30"/>
        </w:rPr>
        <w:t>个独立的模块组成，每个模块的任务和评价重点均不同，各项目涉及的主要药品试剂标签、软件操作界面将采用英文标识，同时提供专业英文词典。评价参赛选手解决问题的能力，准确、细致、创意和创新。</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各模块考核项目、考核内容、考核时间及赋分权重见表</w:t>
      </w:r>
      <w:r>
        <w:rPr>
          <w:rFonts w:ascii="仿宋_GB2312" w:hAnsi="仿宋_GB2312" w:eastAsia="仿宋_GB2312" w:cs="仿宋_GB2312"/>
          <w:sz w:val="30"/>
          <w:szCs w:val="30"/>
        </w:rPr>
        <w:t>1</w:t>
      </w:r>
      <w:r>
        <w:rPr>
          <w:rFonts w:hint="eastAsia" w:ascii="仿宋_GB2312" w:hAnsi="仿宋_GB2312" w:eastAsia="仿宋_GB2312" w:cs="仿宋_GB2312"/>
          <w:sz w:val="30"/>
          <w:szCs w:val="30"/>
        </w:rPr>
        <w:t>。选手须按照竞赛项目表内规定的时间和工作模块进行竞赛，每个模块的竞赛时间不得超过规定时间。</w:t>
      </w:r>
    </w:p>
    <w:p>
      <w:pPr>
        <w:spacing w:line="560" w:lineRule="exact"/>
        <w:jc w:val="center"/>
        <w:rPr>
          <w:rFonts w:ascii="黑体" w:hAnsi="黑体" w:eastAsia="黑体" w:cs="仿宋_GB2312"/>
          <w:sz w:val="24"/>
          <w:szCs w:val="24"/>
        </w:rPr>
      </w:pPr>
    </w:p>
    <w:p>
      <w:pPr>
        <w:spacing w:line="560" w:lineRule="exact"/>
        <w:jc w:val="center"/>
        <w:rPr>
          <w:rFonts w:ascii="黑体" w:hAnsi="黑体" w:eastAsia="黑体" w:cs="仿宋_GB2312"/>
          <w:sz w:val="24"/>
          <w:szCs w:val="24"/>
        </w:rPr>
      </w:pPr>
      <w:r>
        <w:rPr>
          <w:rFonts w:ascii="黑体" w:hAnsi="黑体" w:eastAsia="黑体" w:cs="仿宋_GB2312"/>
          <w:sz w:val="24"/>
          <w:szCs w:val="24"/>
        </w:rPr>
        <w:t>表1  各模块考核内容、时间分配及赋分权重</w:t>
      </w:r>
    </w:p>
    <w:tbl>
      <w:tblPr>
        <w:tblStyle w:val="8"/>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
      <w:tblGrid>
        <w:gridCol w:w="846"/>
        <w:gridCol w:w="1605"/>
        <w:gridCol w:w="1623"/>
        <w:gridCol w:w="2348"/>
        <w:gridCol w:w="137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397" w:hRule="atLeast"/>
          <w:tblHeader/>
          <w:jc w:val="center"/>
        </w:trPr>
        <w:tc>
          <w:tcPr>
            <w:tcW w:w="846" w:type="dxa"/>
            <w:tcBorders>
              <w:left w:val="nil"/>
            </w:tcBorders>
            <w:shd w:val="clear" w:color="auto" w:fill="auto"/>
            <w:vAlign w:val="center"/>
          </w:tcPr>
          <w:p>
            <w:pPr>
              <w:pStyle w:val="11"/>
              <w:adjustRightInd/>
              <w:jc w:val="center"/>
              <w:rPr>
                <w:rFonts w:hint="eastAsia" w:ascii="黑体" w:hAnsi="黑体" w:eastAsia="黑体" w:cs="黑体"/>
                <w:b w:val="0"/>
                <w:bCs w:val="0"/>
                <w:color w:val="auto"/>
              </w:rPr>
            </w:pPr>
            <w:r>
              <w:rPr>
                <w:rFonts w:hint="eastAsia" w:ascii="黑体" w:hAnsi="黑体" w:eastAsia="黑体" w:cs="黑体"/>
                <w:b w:val="0"/>
                <w:bCs w:val="0"/>
                <w:color w:val="auto"/>
              </w:rPr>
              <w:t>编号</w:t>
            </w:r>
          </w:p>
        </w:tc>
        <w:tc>
          <w:tcPr>
            <w:tcW w:w="1605" w:type="dxa"/>
            <w:tcBorders>
              <w:bottom w:val="single" w:color="auto" w:sz="4" w:space="0"/>
            </w:tcBorders>
            <w:shd w:val="clear" w:color="auto" w:fill="auto"/>
            <w:vAlign w:val="center"/>
          </w:tcPr>
          <w:p>
            <w:pPr>
              <w:pStyle w:val="11"/>
              <w:adjustRightInd/>
              <w:jc w:val="center"/>
              <w:rPr>
                <w:rFonts w:hint="eastAsia" w:ascii="黑体" w:hAnsi="黑体" w:eastAsia="黑体" w:cs="黑体"/>
                <w:b w:val="0"/>
                <w:bCs w:val="0"/>
                <w:color w:val="auto"/>
              </w:rPr>
            </w:pPr>
            <w:r>
              <w:rPr>
                <w:rFonts w:hint="eastAsia" w:ascii="黑体" w:hAnsi="黑体" w:eastAsia="黑体" w:cs="黑体"/>
                <w:b w:val="0"/>
                <w:bCs w:val="0"/>
                <w:color w:val="auto"/>
              </w:rPr>
              <w:t>模块名称</w:t>
            </w:r>
          </w:p>
        </w:tc>
        <w:tc>
          <w:tcPr>
            <w:tcW w:w="1623" w:type="dxa"/>
            <w:shd w:val="clear" w:color="auto" w:fill="auto"/>
            <w:vAlign w:val="center"/>
          </w:tcPr>
          <w:p>
            <w:pPr>
              <w:pStyle w:val="11"/>
              <w:adjustRightInd/>
              <w:jc w:val="center"/>
              <w:rPr>
                <w:rFonts w:hint="eastAsia" w:ascii="黑体" w:hAnsi="黑体" w:eastAsia="黑体" w:cs="黑体"/>
                <w:b w:val="0"/>
                <w:bCs w:val="0"/>
                <w:color w:val="auto"/>
              </w:rPr>
            </w:pPr>
            <w:r>
              <w:rPr>
                <w:rFonts w:hint="eastAsia" w:ascii="黑体" w:hAnsi="黑体" w:eastAsia="黑体" w:cs="黑体"/>
                <w:b w:val="0"/>
                <w:bCs w:val="0"/>
                <w:color w:val="auto"/>
              </w:rPr>
              <w:t>项目名称</w:t>
            </w:r>
          </w:p>
        </w:tc>
        <w:tc>
          <w:tcPr>
            <w:tcW w:w="2348" w:type="dxa"/>
            <w:shd w:val="clear" w:color="auto" w:fill="auto"/>
            <w:vAlign w:val="center"/>
          </w:tcPr>
          <w:p>
            <w:pPr>
              <w:pStyle w:val="11"/>
              <w:adjustRightInd/>
              <w:jc w:val="center"/>
              <w:rPr>
                <w:rFonts w:hint="eastAsia" w:ascii="黑体" w:hAnsi="黑体" w:eastAsia="黑体" w:cs="黑体"/>
                <w:b w:val="0"/>
                <w:bCs w:val="0"/>
                <w:color w:val="auto"/>
              </w:rPr>
            </w:pPr>
            <w:r>
              <w:rPr>
                <w:rFonts w:hint="eastAsia" w:ascii="黑体" w:hAnsi="黑体" w:eastAsia="黑体" w:cs="黑体"/>
                <w:b w:val="0"/>
                <w:bCs w:val="0"/>
                <w:color w:val="auto"/>
              </w:rPr>
              <w:t>考核内容</w:t>
            </w:r>
          </w:p>
        </w:tc>
        <w:tc>
          <w:tcPr>
            <w:tcW w:w="1370" w:type="dxa"/>
            <w:shd w:val="clear" w:color="auto" w:fill="auto"/>
            <w:vAlign w:val="center"/>
          </w:tcPr>
          <w:p>
            <w:pPr>
              <w:pStyle w:val="11"/>
              <w:adjustRightInd/>
              <w:jc w:val="center"/>
              <w:rPr>
                <w:rFonts w:hint="eastAsia" w:ascii="黑体" w:hAnsi="黑体" w:eastAsia="黑体" w:cs="黑体"/>
                <w:b w:val="0"/>
                <w:bCs w:val="0"/>
                <w:color w:val="auto"/>
              </w:rPr>
            </w:pPr>
            <w:r>
              <w:rPr>
                <w:rFonts w:hint="eastAsia" w:ascii="黑体" w:hAnsi="黑体" w:eastAsia="黑体" w:cs="黑体"/>
                <w:b w:val="0"/>
                <w:bCs w:val="0"/>
                <w:color w:val="auto"/>
              </w:rPr>
              <w:t>考核时间</w:t>
            </w:r>
          </w:p>
        </w:tc>
        <w:tc>
          <w:tcPr>
            <w:tcW w:w="992" w:type="dxa"/>
            <w:tcBorders>
              <w:right w:val="nil"/>
            </w:tcBorders>
            <w:shd w:val="clear" w:color="auto" w:fill="auto"/>
            <w:vAlign w:val="center"/>
          </w:tcPr>
          <w:p>
            <w:pPr>
              <w:pStyle w:val="11"/>
              <w:adjustRightInd/>
              <w:jc w:val="center"/>
              <w:rPr>
                <w:rFonts w:hint="eastAsia" w:ascii="黑体" w:hAnsi="黑体" w:eastAsia="黑体" w:cs="黑体"/>
                <w:b w:val="0"/>
                <w:bCs w:val="0"/>
                <w:color w:val="auto"/>
              </w:rPr>
            </w:pPr>
            <w:r>
              <w:rPr>
                <w:rFonts w:hint="eastAsia" w:ascii="黑体" w:hAnsi="黑体" w:eastAsia="黑体" w:cs="黑体"/>
                <w:b w:val="0"/>
                <w:bCs w:val="0"/>
                <w:color w:val="auto"/>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397" w:hRule="atLeast"/>
          <w:jc w:val="center"/>
        </w:trPr>
        <w:tc>
          <w:tcPr>
            <w:tcW w:w="846" w:type="dxa"/>
            <w:tcBorders>
              <w:left w:val="nil"/>
            </w:tcBorders>
            <w:shd w:val="clear" w:color="auto" w:fill="auto"/>
            <w:vAlign w:val="center"/>
          </w:tcPr>
          <w:p>
            <w:pPr>
              <w:pStyle w:val="11"/>
              <w:adjustRightInd/>
              <w:jc w:val="center"/>
              <w:rPr>
                <w:rFonts w:ascii="仿宋_GB2312" w:hAnsi="仿宋_GB2312" w:eastAsia="仿宋_GB2312" w:cs="仿宋_GB2312"/>
                <w:color w:val="auto"/>
              </w:rPr>
            </w:pPr>
            <w:r>
              <w:rPr>
                <w:rFonts w:ascii="仿宋_GB2312" w:hAnsi="仿宋_GB2312" w:eastAsia="仿宋_GB2312" w:cs="仿宋_GB2312"/>
                <w:color w:val="auto"/>
              </w:rPr>
              <w:t>A</w:t>
            </w:r>
          </w:p>
        </w:tc>
        <w:tc>
          <w:tcPr>
            <w:tcW w:w="1605" w:type="dxa"/>
            <w:shd w:val="clear" w:color="auto" w:fill="auto"/>
            <w:vAlign w:val="center"/>
          </w:tcPr>
          <w:p>
            <w:pPr>
              <w:pStyle w:val="11"/>
              <w:adjustRightInd/>
              <w:jc w:val="center"/>
              <w:rPr>
                <w:rFonts w:ascii="仿宋_GB2312" w:hAnsi="仿宋_GB2312" w:eastAsia="仿宋_GB2312" w:cs="仿宋_GB2312"/>
                <w:color w:val="auto"/>
              </w:rPr>
            </w:pPr>
            <w:r>
              <w:rPr>
                <w:rFonts w:ascii="仿宋_GB2312" w:hAnsi="仿宋_GB2312" w:eastAsia="仿宋_GB2312" w:cs="仿宋_GB2312"/>
                <w:color w:val="auto"/>
              </w:rPr>
              <w:t>化学分析法</w:t>
            </w:r>
          </w:p>
        </w:tc>
        <w:tc>
          <w:tcPr>
            <w:tcW w:w="1623" w:type="dxa"/>
            <w:shd w:val="clear" w:color="auto" w:fill="auto"/>
            <w:vAlign w:val="center"/>
          </w:tcPr>
          <w:p>
            <w:pPr>
              <w:pStyle w:val="11"/>
              <w:adjustRightInd/>
              <w:jc w:val="center"/>
              <w:rPr>
                <w:rFonts w:ascii="仿宋_GB2312" w:hAnsi="仿宋_GB2312" w:eastAsia="仿宋_GB2312" w:cs="仿宋_GB2312"/>
                <w:color w:val="auto"/>
              </w:rPr>
            </w:pPr>
            <w:r>
              <w:rPr>
                <w:rFonts w:ascii="仿宋_GB2312" w:hAnsi="仿宋_GB2312" w:eastAsia="仿宋_GB2312" w:cs="仿宋_GB2312"/>
                <w:color w:val="auto"/>
              </w:rPr>
              <w:t>样品中金属组分</w:t>
            </w:r>
            <w:r>
              <w:rPr>
                <w:rFonts w:hint="eastAsia" w:ascii="仿宋_GB2312" w:hAnsi="仿宋_GB2312" w:eastAsia="仿宋_GB2312" w:cs="仿宋_GB2312"/>
                <w:color w:val="auto"/>
              </w:rPr>
              <w:t>（</w:t>
            </w:r>
            <w:r>
              <w:rPr>
                <w:rFonts w:ascii="仿宋_GB2312" w:hAnsi="仿宋_GB2312" w:eastAsia="仿宋_GB2312" w:cs="仿宋_GB2312"/>
                <w:color w:val="auto"/>
              </w:rPr>
              <w:t>钴</w:t>
            </w:r>
            <w:r>
              <w:rPr>
                <w:rFonts w:hint="eastAsia" w:ascii="仿宋_GB2312" w:hAnsi="仿宋_GB2312" w:eastAsia="仿宋_GB2312" w:cs="仿宋_GB2312"/>
                <w:color w:val="auto"/>
              </w:rPr>
              <w:t>或镍）</w:t>
            </w:r>
            <w:r>
              <w:rPr>
                <w:rFonts w:ascii="仿宋_GB2312" w:hAnsi="仿宋_GB2312" w:eastAsia="仿宋_GB2312" w:cs="仿宋_GB2312"/>
                <w:color w:val="auto"/>
              </w:rPr>
              <w:t>含量的测定</w:t>
            </w:r>
          </w:p>
        </w:tc>
        <w:tc>
          <w:tcPr>
            <w:tcW w:w="2348" w:type="dxa"/>
            <w:shd w:val="clear" w:color="auto" w:fill="auto"/>
            <w:vAlign w:val="center"/>
          </w:tcPr>
          <w:p>
            <w:pPr>
              <w:pStyle w:val="11"/>
              <w:adjustRightInd/>
              <w:jc w:val="both"/>
              <w:rPr>
                <w:rFonts w:ascii="仿宋_GB2312" w:hAnsi="仿宋_GB2312" w:eastAsia="仿宋_GB2312" w:cs="仿宋_GB2312"/>
                <w:color w:val="auto"/>
              </w:rPr>
            </w:pPr>
            <w:r>
              <w:rPr>
                <w:rFonts w:ascii="仿宋_GB2312" w:hAnsi="仿宋_GB2312" w:eastAsia="仿宋_GB2312" w:cs="仿宋_GB2312"/>
                <w:color w:val="auto"/>
              </w:rPr>
              <w:t>个人健康安全</w:t>
            </w:r>
          </w:p>
          <w:p>
            <w:pPr>
              <w:pStyle w:val="11"/>
              <w:adjustRightInd/>
              <w:jc w:val="both"/>
              <w:rPr>
                <w:rFonts w:ascii="仿宋_GB2312" w:hAnsi="仿宋_GB2312" w:eastAsia="仿宋_GB2312" w:cs="仿宋_GB2312"/>
                <w:color w:val="auto"/>
              </w:rPr>
            </w:pPr>
            <w:r>
              <w:rPr>
                <w:rFonts w:ascii="仿宋_GB2312" w:hAnsi="仿宋_GB2312" w:eastAsia="仿宋_GB2312" w:cs="仿宋_GB2312"/>
                <w:color w:val="auto"/>
              </w:rPr>
              <w:t>药品称量</w:t>
            </w:r>
          </w:p>
          <w:p>
            <w:pPr>
              <w:pStyle w:val="11"/>
              <w:adjustRightInd/>
              <w:jc w:val="both"/>
              <w:rPr>
                <w:rFonts w:ascii="仿宋_GB2312" w:hAnsi="仿宋_GB2312" w:eastAsia="仿宋_GB2312" w:cs="仿宋_GB2312"/>
                <w:color w:val="auto"/>
              </w:rPr>
            </w:pPr>
            <w:r>
              <w:rPr>
                <w:rFonts w:ascii="仿宋_GB2312" w:hAnsi="仿宋_GB2312" w:eastAsia="仿宋_GB2312" w:cs="仿宋_GB2312"/>
                <w:color w:val="auto"/>
              </w:rPr>
              <w:t>溶液配制</w:t>
            </w:r>
          </w:p>
          <w:p>
            <w:pPr>
              <w:pStyle w:val="11"/>
              <w:adjustRightInd/>
              <w:jc w:val="both"/>
              <w:rPr>
                <w:rFonts w:ascii="仿宋_GB2312" w:hAnsi="仿宋_GB2312" w:eastAsia="仿宋_GB2312" w:cs="仿宋_GB2312"/>
                <w:color w:val="auto"/>
              </w:rPr>
            </w:pPr>
            <w:r>
              <w:rPr>
                <w:rFonts w:ascii="仿宋_GB2312" w:hAnsi="仿宋_GB2312" w:eastAsia="仿宋_GB2312" w:cs="仿宋_GB2312"/>
                <w:color w:val="auto"/>
              </w:rPr>
              <w:t>标准溶液标定</w:t>
            </w:r>
          </w:p>
          <w:p>
            <w:pPr>
              <w:pStyle w:val="11"/>
              <w:adjustRightInd/>
              <w:jc w:val="both"/>
              <w:rPr>
                <w:rFonts w:ascii="仿宋_GB2312" w:hAnsi="仿宋_GB2312" w:eastAsia="仿宋_GB2312" w:cs="仿宋_GB2312"/>
                <w:color w:val="auto"/>
              </w:rPr>
            </w:pPr>
            <w:r>
              <w:rPr>
                <w:rFonts w:ascii="仿宋_GB2312" w:hAnsi="仿宋_GB2312" w:eastAsia="仿宋_GB2312" w:cs="仿宋_GB2312"/>
                <w:color w:val="auto"/>
              </w:rPr>
              <w:t>样品制备</w:t>
            </w:r>
          </w:p>
          <w:p>
            <w:pPr>
              <w:pStyle w:val="11"/>
              <w:adjustRightInd/>
              <w:jc w:val="both"/>
              <w:rPr>
                <w:rFonts w:ascii="仿宋_GB2312" w:hAnsi="仿宋_GB2312" w:eastAsia="仿宋_GB2312" w:cs="仿宋_GB2312"/>
                <w:color w:val="auto"/>
              </w:rPr>
            </w:pPr>
            <w:r>
              <w:rPr>
                <w:rFonts w:ascii="仿宋_GB2312" w:hAnsi="仿宋_GB2312" w:eastAsia="仿宋_GB2312" w:cs="仿宋_GB2312"/>
                <w:color w:val="auto"/>
              </w:rPr>
              <w:t>含量测定</w:t>
            </w:r>
          </w:p>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文明操作</w:t>
            </w:r>
          </w:p>
          <w:p>
            <w:pPr>
              <w:pStyle w:val="11"/>
              <w:adjustRightInd/>
              <w:jc w:val="both"/>
              <w:rPr>
                <w:rFonts w:ascii="仿宋_GB2312" w:hAnsi="仿宋_GB2312" w:eastAsia="仿宋_GB2312" w:cs="仿宋_GB2312"/>
                <w:color w:val="auto"/>
              </w:rPr>
            </w:pPr>
            <w:r>
              <w:rPr>
                <w:rFonts w:ascii="仿宋_GB2312" w:hAnsi="仿宋_GB2312" w:eastAsia="仿宋_GB2312" w:cs="仿宋_GB2312"/>
                <w:color w:val="auto"/>
              </w:rPr>
              <w:t>数据处理</w:t>
            </w:r>
          </w:p>
          <w:p>
            <w:pPr>
              <w:pStyle w:val="11"/>
              <w:adjustRightInd/>
              <w:jc w:val="both"/>
              <w:rPr>
                <w:rFonts w:ascii="仿宋_GB2312" w:hAnsi="仿宋_GB2312" w:eastAsia="仿宋_GB2312" w:cs="仿宋_GB2312"/>
                <w:color w:val="auto"/>
              </w:rPr>
            </w:pPr>
            <w:r>
              <w:rPr>
                <w:rFonts w:ascii="仿宋_GB2312" w:hAnsi="仿宋_GB2312" w:eastAsia="仿宋_GB2312" w:cs="仿宋_GB2312"/>
                <w:color w:val="auto"/>
              </w:rPr>
              <w:t>结果报告</w:t>
            </w:r>
          </w:p>
        </w:tc>
        <w:tc>
          <w:tcPr>
            <w:tcW w:w="1370" w:type="dxa"/>
            <w:shd w:val="clear" w:color="auto" w:fill="auto"/>
            <w:vAlign w:val="center"/>
          </w:tcPr>
          <w:p>
            <w:pPr>
              <w:pStyle w:val="11"/>
              <w:adjustRightInd/>
              <w:jc w:val="center"/>
              <w:rPr>
                <w:rFonts w:ascii="仿宋_GB2312" w:hAnsi="仿宋_GB2312" w:eastAsia="仿宋_GB2312" w:cs="仿宋_GB2312"/>
                <w:color w:val="auto"/>
              </w:rPr>
            </w:pPr>
            <w:r>
              <w:rPr>
                <w:rFonts w:ascii="仿宋_GB2312" w:hAnsi="仿宋_GB2312" w:eastAsia="仿宋_GB2312" w:cs="仿宋_GB2312"/>
                <w:color w:val="auto"/>
              </w:rPr>
              <w:t>210分钟</w:t>
            </w:r>
          </w:p>
        </w:tc>
        <w:tc>
          <w:tcPr>
            <w:tcW w:w="992" w:type="dxa"/>
            <w:tcBorders>
              <w:right w:val="nil"/>
            </w:tcBorders>
            <w:shd w:val="clear" w:color="auto" w:fill="auto"/>
            <w:vAlign w:val="center"/>
          </w:tcPr>
          <w:p>
            <w:pPr>
              <w:pStyle w:val="11"/>
              <w:adjustRightInd/>
              <w:jc w:val="center"/>
              <w:rPr>
                <w:rFonts w:ascii="仿宋_GB2312" w:hAnsi="仿宋_GB2312" w:eastAsia="仿宋_GB2312" w:cs="仿宋_GB2312"/>
                <w:color w:val="auto"/>
              </w:rPr>
            </w:pPr>
            <w:r>
              <w:rPr>
                <w:rFonts w:ascii="仿宋_GB2312" w:hAnsi="仿宋_GB2312" w:eastAsia="仿宋_GB2312" w:cs="仿宋_GB2312"/>
                <w:color w:val="auto"/>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397" w:hRule="atLeast"/>
          <w:jc w:val="center"/>
        </w:trPr>
        <w:tc>
          <w:tcPr>
            <w:tcW w:w="846" w:type="dxa"/>
            <w:tcBorders>
              <w:left w:val="nil"/>
            </w:tcBorders>
            <w:shd w:val="clear" w:color="auto" w:fill="auto"/>
            <w:vAlign w:val="center"/>
          </w:tcPr>
          <w:p>
            <w:pPr>
              <w:pStyle w:val="11"/>
              <w:adjustRightInd/>
              <w:jc w:val="center"/>
              <w:rPr>
                <w:rFonts w:ascii="仿宋_GB2312" w:hAnsi="仿宋_GB2312" w:eastAsia="仿宋_GB2312" w:cs="仿宋_GB2312"/>
                <w:color w:val="auto"/>
              </w:rPr>
            </w:pPr>
            <w:r>
              <w:rPr>
                <w:rFonts w:hint="eastAsia" w:ascii="仿宋_GB2312" w:hAnsi="仿宋_GB2312" w:eastAsia="仿宋_GB2312" w:cs="仿宋_GB2312"/>
                <w:color w:val="auto"/>
              </w:rPr>
              <w:t>B</w:t>
            </w:r>
          </w:p>
        </w:tc>
        <w:tc>
          <w:tcPr>
            <w:tcW w:w="1605" w:type="dxa"/>
            <w:shd w:val="clear" w:color="auto" w:fill="auto"/>
            <w:vAlign w:val="center"/>
          </w:tcPr>
          <w:p>
            <w:pPr>
              <w:pStyle w:val="11"/>
              <w:adjustRightInd/>
              <w:jc w:val="center"/>
              <w:rPr>
                <w:rFonts w:ascii="仿宋_GB2312" w:hAnsi="仿宋_GB2312" w:eastAsia="仿宋_GB2312" w:cs="仿宋_GB2312"/>
                <w:color w:val="auto"/>
              </w:rPr>
            </w:pPr>
            <w:r>
              <w:rPr>
                <w:rFonts w:ascii="仿宋_GB2312" w:hAnsi="仿宋_GB2312" w:eastAsia="仿宋_GB2312" w:cs="仿宋_GB2312"/>
                <w:color w:val="auto"/>
              </w:rPr>
              <w:t>仪器分析法</w:t>
            </w:r>
          </w:p>
        </w:tc>
        <w:tc>
          <w:tcPr>
            <w:tcW w:w="1623" w:type="dxa"/>
            <w:shd w:val="clear" w:color="auto" w:fill="auto"/>
            <w:vAlign w:val="center"/>
          </w:tcPr>
          <w:p>
            <w:pPr>
              <w:pStyle w:val="11"/>
              <w:adjustRightInd/>
              <w:jc w:val="center"/>
              <w:rPr>
                <w:rFonts w:ascii="仿宋_GB2312" w:hAnsi="仿宋_GB2312" w:eastAsia="仿宋_GB2312" w:cs="仿宋_GB2312"/>
                <w:color w:val="auto"/>
              </w:rPr>
            </w:pPr>
            <w:r>
              <w:rPr>
                <w:rFonts w:ascii="仿宋_GB2312" w:hAnsi="仿宋_GB2312" w:eastAsia="仿宋_GB2312" w:cs="仿宋_GB2312"/>
                <w:color w:val="auto"/>
              </w:rPr>
              <w:t>样品中铁含量的测定</w:t>
            </w:r>
          </w:p>
        </w:tc>
        <w:tc>
          <w:tcPr>
            <w:tcW w:w="2348" w:type="dxa"/>
            <w:shd w:val="clear" w:color="auto" w:fill="auto"/>
            <w:vAlign w:val="center"/>
          </w:tcPr>
          <w:p>
            <w:pPr>
              <w:pStyle w:val="11"/>
              <w:adjustRightInd/>
              <w:jc w:val="both"/>
              <w:rPr>
                <w:rFonts w:ascii="仿宋_GB2312" w:hAnsi="仿宋_GB2312" w:eastAsia="仿宋_GB2312" w:cs="仿宋_GB2312"/>
                <w:color w:val="auto"/>
              </w:rPr>
            </w:pPr>
            <w:r>
              <w:rPr>
                <w:rFonts w:ascii="仿宋_GB2312" w:hAnsi="仿宋_GB2312" w:eastAsia="仿宋_GB2312" w:cs="仿宋_GB2312"/>
                <w:color w:val="auto"/>
              </w:rPr>
              <w:t>个人健康安全</w:t>
            </w:r>
          </w:p>
          <w:p>
            <w:pPr>
              <w:pStyle w:val="11"/>
              <w:adjustRightInd/>
              <w:jc w:val="both"/>
              <w:rPr>
                <w:rFonts w:ascii="仿宋_GB2312" w:hAnsi="仿宋_GB2312" w:eastAsia="仿宋_GB2312" w:cs="仿宋_GB2312"/>
                <w:color w:val="auto"/>
              </w:rPr>
            </w:pPr>
            <w:r>
              <w:rPr>
                <w:rFonts w:ascii="仿宋_GB2312" w:hAnsi="仿宋_GB2312" w:eastAsia="仿宋_GB2312" w:cs="仿宋_GB2312"/>
                <w:color w:val="auto"/>
              </w:rPr>
              <w:t>药品称量</w:t>
            </w:r>
          </w:p>
          <w:p>
            <w:pPr>
              <w:pStyle w:val="11"/>
              <w:adjustRightInd/>
              <w:jc w:val="both"/>
              <w:rPr>
                <w:rFonts w:ascii="仿宋_GB2312" w:hAnsi="仿宋_GB2312" w:eastAsia="仿宋_GB2312" w:cs="仿宋_GB2312"/>
                <w:color w:val="auto"/>
              </w:rPr>
            </w:pPr>
            <w:r>
              <w:rPr>
                <w:rFonts w:ascii="仿宋_GB2312" w:hAnsi="仿宋_GB2312" w:eastAsia="仿宋_GB2312" w:cs="仿宋_GB2312"/>
                <w:color w:val="auto"/>
              </w:rPr>
              <w:t>溶液配制</w:t>
            </w:r>
          </w:p>
          <w:p>
            <w:pPr>
              <w:pStyle w:val="11"/>
              <w:adjustRightInd/>
              <w:jc w:val="both"/>
              <w:rPr>
                <w:rFonts w:ascii="仿宋_GB2312" w:hAnsi="仿宋_GB2312" w:eastAsia="仿宋_GB2312" w:cs="仿宋_GB2312"/>
                <w:color w:val="auto"/>
              </w:rPr>
            </w:pPr>
            <w:r>
              <w:rPr>
                <w:rFonts w:ascii="仿宋_GB2312" w:hAnsi="仿宋_GB2312" w:eastAsia="仿宋_GB2312" w:cs="仿宋_GB2312"/>
                <w:color w:val="auto"/>
              </w:rPr>
              <w:t>标准工作曲线制作</w:t>
            </w:r>
          </w:p>
          <w:p>
            <w:pPr>
              <w:pStyle w:val="11"/>
              <w:adjustRightInd/>
              <w:jc w:val="both"/>
              <w:rPr>
                <w:rFonts w:ascii="仿宋_GB2312" w:hAnsi="仿宋_GB2312" w:eastAsia="仿宋_GB2312" w:cs="仿宋_GB2312"/>
                <w:color w:val="auto"/>
              </w:rPr>
            </w:pPr>
            <w:r>
              <w:rPr>
                <w:rFonts w:ascii="仿宋_GB2312" w:hAnsi="仿宋_GB2312" w:eastAsia="仿宋_GB2312" w:cs="仿宋_GB2312"/>
                <w:color w:val="auto"/>
              </w:rPr>
              <w:t>样品制备</w:t>
            </w:r>
          </w:p>
          <w:p>
            <w:pPr>
              <w:pStyle w:val="11"/>
              <w:adjustRightInd/>
              <w:jc w:val="both"/>
              <w:rPr>
                <w:rFonts w:ascii="仿宋_GB2312" w:hAnsi="仿宋_GB2312" w:eastAsia="仿宋_GB2312" w:cs="仿宋_GB2312"/>
                <w:color w:val="auto"/>
              </w:rPr>
            </w:pPr>
            <w:r>
              <w:rPr>
                <w:rFonts w:ascii="仿宋_GB2312" w:hAnsi="仿宋_GB2312" w:eastAsia="仿宋_GB2312" w:cs="仿宋_GB2312"/>
                <w:color w:val="auto"/>
              </w:rPr>
              <w:t>含量测定</w:t>
            </w:r>
          </w:p>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文明操作</w:t>
            </w:r>
          </w:p>
          <w:p>
            <w:pPr>
              <w:pStyle w:val="11"/>
              <w:adjustRightInd/>
              <w:jc w:val="both"/>
              <w:rPr>
                <w:rFonts w:ascii="仿宋_GB2312" w:hAnsi="仿宋_GB2312" w:eastAsia="仿宋_GB2312" w:cs="仿宋_GB2312"/>
                <w:color w:val="auto"/>
              </w:rPr>
            </w:pPr>
            <w:r>
              <w:rPr>
                <w:rFonts w:ascii="仿宋_GB2312" w:hAnsi="仿宋_GB2312" w:eastAsia="仿宋_GB2312" w:cs="仿宋_GB2312"/>
                <w:color w:val="auto"/>
              </w:rPr>
              <w:t>数据处理</w:t>
            </w:r>
          </w:p>
          <w:p>
            <w:pPr>
              <w:pStyle w:val="11"/>
              <w:adjustRightInd/>
              <w:jc w:val="both"/>
              <w:rPr>
                <w:rFonts w:ascii="仿宋_GB2312" w:hAnsi="仿宋_GB2312" w:eastAsia="仿宋_GB2312" w:cs="仿宋_GB2312"/>
                <w:color w:val="auto"/>
              </w:rPr>
            </w:pPr>
            <w:r>
              <w:rPr>
                <w:rFonts w:ascii="仿宋_GB2312" w:hAnsi="仿宋_GB2312" w:eastAsia="仿宋_GB2312" w:cs="仿宋_GB2312"/>
                <w:color w:val="auto"/>
              </w:rPr>
              <w:t>结果报告</w:t>
            </w:r>
          </w:p>
        </w:tc>
        <w:tc>
          <w:tcPr>
            <w:tcW w:w="1370" w:type="dxa"/>
            <w:shd w:val="clear" w:color="auto" w:fill="auto"/>
            <w:vAlign w:val="center"/>
          </w:tcPr>
          <w:p>
            <w:pPr>
              <w:pStyle w:val="11"/>
              <w:adjustRightInd/>
              <w:jc w:val="center"/>
              <w:rPr>
                <w:rFonts w:ascii="仿宋_GB2312" w:hAnsi="仿宋_GB2312" w:eastAsia="仿宋_GB2312" w:cs="仿宋_GB2312"/>
                <w:color w:val="auto"/>
              </w:rPr>
            </w:pPr>
            <w:r>
              <w:rPr>
                <w:rFonts w:ascii="仿宋_GB2312" w:hAnsi="仿宋_GB2312" w:eastAsia="仿宋_GB2312" w:cs="仿宋_GB2312"/>
                <w:color w:val="auto"/>
              </w:rPr>
              <w:t>210分钟</w:t>
            </w:r>
          </w:p>
        </w:tc>
        <w:tc>
          <w:tcPr>
            <w:tcW w:w="992" w:type="dxa"/>
            <w:tcBorders>
              <w:right w:val="nil"/>
            </w:tcBorders>
            <w:shd w:val="clear" w:color="auto" w:fill="auto"/>
            <w:vAlign w:val="center"/>
          </w:tcPr>
          <w:p>
            <w:pPr>
              <w:pStyle w:val="11"/>
              <w:adjustRightInd/>
              <w:jc w:val="center"/>
              <w:rPr>
                <w:rFonts w:ascii="仿宋_GB2312" w:hAnsi="仿宋_GB2312" w:eastAsia="仿宋_GB2312" w:cs="仿宋_GB2312"/>
                <w:color w:val="auto"/>
              </w:rPr>
            </w:pPr>
            <w:r>
              <w:rPr>
                <w:rFonts w:ascii="仿宋_GB2312" w:hAnsi="仿宋_GB2312" w:eastAsia="仿宋_GB2312" w:cs="仿宋_GB2312"/>
                <w:color w:val="auto"/>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397" w:hRule="atLeast"/>
          <w:jc w:val="center"/>
        </w:trPr>
        <w:tc>
          <w:tcPr>
            <w:tcW w:w="846" w:type="dxa"/>
            <w:tcBorders>
              <w:left w:val="nil"/>
            </w:tcBorders>
            <w:shd w:val="clear" w:color="auto" w:fill="auto"/>
            <w:vAlign w:val="center"/>
          </w:tcPr>
          <w:p>
            <w:pPr>
              <w:pStyle w:val="11"/>
              <w:adjustRightInd/>
              <w:jc w:val="center"/>
              <w:rPr>
                <w:rFonts w:ascii="仿宋_GB2312" w:hAnsi="仿宋_GB2312" w:eastAsia="仿宋_GB2312" w:cs="仿宋_GB2312"/>
                <w:color w:val="auto"/>
              </w:rPr>
            </w:pPr>
            <w:r>
              <w:rPr>
                <w:rFonts w:ascii="仿宋_GB2312" w:hAnsi="仿宋_GB2312" w:eastAsia="仿宋_GB2312" w:cs="仿宋_GB2312"/>
                <w:color w:val="auto"/>
              </w:rPr>
              <w:t>C</w:t>
            </w:r>
          </w:p>
        </w:tc>
        <w:tc>
          <w:tcPr>
            <w:tcW w:w="1605" w:type="dxa"/>
            <w:shd w:val="clear" w:color="auto" w:fill="auto"/>
            <w:vAlign w:val="center"/>
          </w:tcPr>
          <w:p>
            <w:pPr>
              <w:pStyle w:val="11"/>
              <w:adjustRightInd/>
              <w:jc w:val="center"/>
              <w:rPr>
                <w:rFonts w:ascii="仿宋_GB2312" w:hAnsi="仿宋_GB2312" w:eastAsia="仿宋_GB2312" w:cs="仿宋_GB2312"/>
                <w:color w:val="auto"/>
              </w:rPr>
            </w:pPr>
            <w:r>
              <w:rPr>
                <w:rFonts w:ascii="仿宋_GB2312" w:hAnsi="仿宋_GB2312" w:eastAsia="仿宋_GB2312" w:cs="仿宋_GB2312"/>
                <w:color w:val="auto"/>
              </w:rPr>
              <w:t>产品合成及质量评价</w:t>
            </w:r>
          </w:p>
        </w:tc>
        <w:tc>
          <w:tcPr>
            <w:tcW w:w="1623" w:type="dxa"/>
            <w:shd w:val="clear" w:color="auto" w:fill="auto"/>
            <w:vAlign w:val="center"/>
          </w:tcPr>
          <w:p>
            <w:pPr>
              <w:pStyle w:val="11"/>
              <w:adjustRightInd/>
              <w:jc w:val="center"/>
              <w:rPr>
                <w:rFonts w:ascii="仿宋_GB2312" w:hAnsi="仿宋_GB2312" w:eastAsia="仿宋_GB2312" w:cs="仿宋_GB2312"/>
                <w:color w:val="auto"/>
              </w:rPr>
            </w:pPr>
            <w:r>
              <w:rPr>
                <w:rFonts w:ascii="仿宋_GB2312" w:hAnsi="仿宋_GB2312" w:eastAsia="仿宋_GB2312" w:cs="仿宋_GB2312"/>
                <w:color w:val="auto"/>
              </w:rPr>
              <w:t>乙酸乙酯的合成及质量评价</w:t>
            </w:r>
          </w:p>
        </w:tc>
        <w:tc>
          <w:tcPr>
            <w:tcW w:w="2348" w:type="dxa"/>
            <w:shd w:val="clear" w:color="auto" w:fill="auto"/>
            <w:vAlign w:val="center"/>
          </w:tcPr>
          <w:p>
            <w:pPr>
              <w:pStyle w:val="11"/>
              <w:adjustRightInd/>
              <w:jc w:val="both"/>
              <w:rPr>
                <w:rFonts w:ascii="仿宋_GB2312" w:hAnsi="仿宋_GB2312" w:eastAsia="仿宋_GB2312" w:cs="仿宋_GB2312"/>
                <w:color w:val="auto"/>
              </w:rPr>
            </w:pPr>
            <w:r>
              <w:rPr>
                <w:rFonts w:ascii="仿宋_GB2312" w:hAnsi="仿宋_GB2312" w:eastAsia="仿宋_GB2312" w:cs="仿宋_GB2312"/>
                <w:color w:val="auto"/>
              </w:rPr>
              <w:t>个人健康安全</w:t>
            </w:r>
          </w:p>
          <w:p>
            <w:pPr>
              <w:pStyle w:val="11"/>
              <w:adjustRightInd/>
              <w:jc w:val="both"/>
              <w:rPr>
                <w:rFonts w:ascii="仿宋_GB2312" w:hAnsi="仿宋_GB2312" w:eastAsia="仿宋_GB2312" w:cs="仿宋_GB2312"/>
                <w:color w:val="auto"/>
              </w:rPr>
            </w:pPr>
            <w:r>
              <w:rPr>
                <w:rFonts w:ascii="仿宋_GB2312" w:hAnsi="仿宋_GB2312" w:eastAsia="仿宋_GB2312" w:cs="仿宋_GB2312"/>
                <w:color w:val="auto"/>
              </w:rPr>
              <w:t>实验装置搭建</w:t>
            </w:r>
          </w:p>
          <w:p>
            <w:pPr>
              <w:pStyle w:val="11"/>
              <w:adjustRightInd/>
              <w:jc w:val="both"/>
              <w:rPr>
                <w:rFonts w:ascii="仿宋_GB2312" w:hAnsi="仿宋_GB2312" w:eastAsia="仿宋_GB2312" w:cs="仿宋_GB2312"/>
                <w:color w:val="auto"/>
              </w:rPr>
            </w:pPr>
            <w:r>
              <w:rPr>
                <w:rFonts w:ascii="仿宋_GB2312" w:hAnsi="仿宋_GB2312" w:eastAsia="仿宋_GB2312" w:cs="仿宋_GB2312"/>
                <w:color w:val="auto"/>
              </w:rPr>
              <w:t>反应物用量计算</w:t>
            </w:r>
          </w:p>
          <w:p>
            <w:pPr>
              <w:pStyle w:val="11"/>
              <w:adjustRightInd/>
              <w:jc w:val="both"/>
              <w:rPr>
                <w:rFonts w:ascii="仿宋_GB2312" w:hAnsi="仿宋_GB2312" w:eastAsia="仿宋_GB2312" w:cs="仿宋_GB2312"/>
                <w:color w:val="auto"/>
              </w:rPr>
            </w:pPr>
            <w:r>
              <w:rPr>
                <w:rFonts w:ascii="仿宋_GB2312" w:hAnsi="仿宋_GB2312" w:eastAsia="仿宋_GB2312" w:cs="仿宋_GB2312"/>
                <w:color w:val="auto"/>
              </w:rPr>
              <w:t>有机物合成</w:t>
            </w:r>
          </w:p>
          <w:p>
            <w:pPr>
              <w:pStyle w:val="11"/>
              <w:adjustRightInd/>
              <w:jc w:val="both"/>
              <w:rPr>
                <w:rFonts w:ascii="仿宋_GB2312" w:hAnsi="仿宋_GB2312" w:eastAsia="仿宋_GB2312" w:cs="仿宋_GB2312"/>
                <w:color w:val="auto"/>
              </w:rPr>
            </w:pPr>
            <w:r>
              <w:rPr>
                <w:rFonts w:ascii="仿宋_GB2312" w:hAnsi="仿宋_GB2312" w:eastAsia="仿宋_GB2312" w:cs="仿宋_GB2312"/>
                <w:color w:val="auto"/>
              </w:rPr>
              <w:t>产品分离提纯</w:t>
            </w:r>
          </w:p>
          <w:p>
            <w:pPr>
              <w:pStyle w:val="11"/>
              <w:adjustRightInd/>
              <w:jc w:val="both"/>
              <w:rPr>
                <w:rFonts w:ascii="仿宋_GB2312" w:hAnsi="仿宋_GB2312" w:eastAsia="仿宋_GB2312" w:cs="仿宋_GB2312"/>
                <w:color w:val="auto"/>
              </w:rPr>
            </w:pPr>
            <w:r>
              <w:rPr>
                <w:rFonts w:ascii="仿宋_GB2312" w:hAnsi="仿宋_GB2312" w:eastAsia="仿宋_GB2312" w:cs="仿宋_GB2312"/>
                <w:color w:val="auto"/>
              </w:rPr>
              <w:t>产率计算</w:t>
            </w:r>
          </w:p>
          <w:p>
            <w:pPr>
              <w:pStyle w:val="11"/>
              <w:adjustRightInd/>
              <w:jc w:val="both"/>
              <w:rPr>
                <w:rFonts w:ascii="仿宋_GB2312" w:hAnsi="仿宋_GB2312" w:eastAsia="仿宋_GB2312" w:cs="仿宋_GB2312"/>
                <w:color w:val="auto"/>
              </w:rPr>
            </w:pPr>
            <w:r>
              <w:rPr>
                <w:rFonts w:ascii="仿宋_GB2312" w:hAnsi="仿宋_GB2312" w:eastAsia="仿宋_GB2312" w:cs="仿宋_GB2312"/>
                <w:color w:val="auto"/>
              </w:rPr>
              <w:t>含量分析</w:t>
            </w:r>
          </w:p>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文明操作</w:t>
            </w:r>
          </w:p>
          <w:p>
            <w:pPr>
              <w:pStyle w:val="11"/>
              <w:adjustRightInd/>
              <w:jc w:val="both"/>
              <w:rPr>
                <w:rFonts w:ascii="仿宋_GB2312" w:hAnsi="仿宋_GB2312" w:eastAsia="仿宋_GB2312" w:cs="仿宋_GB2312"/>
                <w:color w:val="auto"/>
              </w:rPr>
            </w:pPr>
            <w:r>
              <w:rPr>
                <w:rFonts w:ascii="仿宋_GB2312" w:hAnsi="仿宋_GB2312" w:eastAsia="仿宋_GB2312" w:cs="仿宋_GB2312"/>
                <w:color w:val="auto"/>
              </w:rPr>
              <w:t>质量评价</w:t>
            </w:r>
          </w:p>
          <w:p>
            <w:pPr>
              <w:pStyle w:val="11"/>
              <w:adjustRightInd/>
              <w:jc w:val="both"/>
              <w:rPr>
                <w:rFonts w:ascii="仿宋_GB2312" w:hAnsi="仿宋_GB2312" w:eastAsia="仿宋_GB2312" w:cs="仿宋_GB2312"/>
                <w:color w:val="auto"/>
              </w:rPr>
            </w:pPr>
            <w:r>
              <w:rPr>
                <w:rFonts w:ascii="仿宋_GB2312" w:hAnsi="仿宋_GB2312" w:eastAsia="仿宋_GB2312" w:cs="仿宋_GB2312"/>
                <w:color w:val="auto"/>
              </w:rPr>
              <w:t>结果报告</w:t>
            </w:r>
          </w:p>
        </w:tc>
        <w:tc>
          <w:tcPr>
            <w:tcW w:w="1370" w:type="dxa"/>
            <w:shd w:val="clear" w:color="auto" w:fill="auto"/>
            <w:vAlign w:val="center"/>
          </w:tcPr>
          <w:p>
            <w:pPr>
              <w:pStyle w:val="11"/>
              <w:adjustRightInd/>
              <w:jc w:val="both"/>
              <w:rPr>
                <w:rFonts w:ascii="仿宋_GB2312" w:hAnsi="仿宋_GB2312" w:eastAsia="仿宋_GB2312" w:cs="仿宋_GB2312"/>
                <w:color w:val="auto"/>
              </w:rPr>
            </w:pPr>
            <w:r>
              <w:rPr>
                <w:rFonts w:ascii="仿宋_GB2312" w:hAnsi="仿宋_GB2312" w:eastAsia="仿宋_GB2312" w:cs="仿宋_GB2312"/>
                <w:color w:val="auto"/>
              </w:rPr>
              <w:t>420</w:t>
            </w:r>
            <w:r>
              <w:rPr>
                <w:rFonts w:hint="eastAsia" w:ascii="仿宋_GB2312" w:hAnsi="仿宋_GB2312" w:eastAsia="仿宋_GB2312" w:cs="仿宋_GB2312"/>
                <w:color w:val="auto"/>
              </w:rPr>
              <w:t>分钟</w:t>
            </w:r>
          </w:p>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（其中实</w:t>
            </w:r>
          </w:p>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验操作</w:t>
            </w:r>
            <w:r>
              <w:rPr>
                <w:rFonts w:ascii="仿宋_GB2312" w:hAnsi="仿宋_GB2312" w:eastAsia="仿宋_GB2312" w:cs="仿宋_GB2312"/>
                <w:color w:val="auto"/>
              </w:rPr>
              <w:t>360</w:t>
            </w:r>
          </w:p>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分钟、色谱仿真软件操作</w:t>
            </w:r>
            <w:r>
              <w:rPr>
                <w:rFonts w:ascii="仿宋_GB2312" w:hAnsi="仿宋_GB2312" w:eastAsia="仿宋_GB2312" w:cs="仿宋_GB2312"/>
                <w:color w:val="auto"/>
              </w:rPr>
              <w:t xml:space="preserve">60 </w:t>
            </w:r>
            <w:r>
              <w:rPr>
                <w:rFonts w:hint="eastAsia" w:ascii="仿宋_GB2312" w:hAnsi="仿宋_GB2312" w:eastAsia="仿宋_GB2312" w:cs="仿宋_GB2312"/>
                <w:color w:val="auto"/>
              </w:rPr>
              <w:t>分钟）</w:t>
            </w:r>
          </w:p>
        </w:tc>
        <w:tc>
          <w:tcPr>
            <w:tcW w:w="992" w:type="dxa"/>
            <w:tcBorders>
              <w:right w:val="nil"/>
            </w:tcBorders>
            <w:shd w:val="clear" w:color="auto" w:fill="auto"/>
            <w:vAlign w:val="center"/>
          </w:tcPr>
          <w:p>
            <w:pPr>
              <w:pStyle w:val="11"/>
              <w:adjustRightInd/>
              <w:jc w:val="center"/>
              <w:rPr>
                <w:rFonts w:ascii="仿宋_GB2312" w:hAnsi="仿宋_GB2312" w:eastAsia="仿宋_GB2312" w:cs="仿宋_GB2312"/>
                <w:color w:val="auto"/>
              </w:rPr>
            </w:pPr>
            <w:r>
              <w:rPr>
                <w:rFonts w:ascii="仿宋_GB2312" w:hAnsi="仿宋_GB2312" w:eastAsia="仿宋_GB2312" w:cs="仿宋_GB2312"/>
                <w:color w:val="auto"/>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397" w:hRule="atLeast"/>
          <w:jc w:val="center"/>
        </w:trPr>
        <w:tc>
          <w:tcPr>
            <w:tcW w:w="6422" w:type="dxa"/>
            <w:gridSpan w:val="4"/>
            <w:tcBorders>
              <w:left w:val="nil"/>
            </w:tcBorders>
            <w:shd w:val="clear" w:color="auto" w:fill="auto"/>
            <w:vAlign w:val="center"/>
          </w:tcPr>
          <w:p>
            <w:pPr>
              <w:pStyle w:val="11"/>
              <w:adjustRightInd/>
              <w:jc w:val="center"/>
              <w:rPr>
                <w:rFonts w:ascii="仿宋_GB2312" w:hAnsi="仿宋_GB2312" w:eastAsia="仿宋_GB2312" w:cs="仿宋_GB2312"/>
                <w:b/>
                <w:bCs/>
                <w:color w:val="auto"/>
              </w:rPr>
            </w:pPr>
            <w:r>
              <w:rPr>
                <w:rFonts w:ascii="仿宋_GB2312" w:hAnsi="仿宋_GB2312" w:eastAsia="仿宋_GB2312" w:cs="仿宋_GB2312"/>
                <w:b/>
                <w:bCs/>
                <w:color w:val="auto"/>
              </w:rPr>
              <w:t>合计</w:t>
            </w:r>
          </w:p>
        </w:tc>
        <w:tc>
          <w:tcPr>
            <w:tcW w:w="1370" w:type="dxa"/>
            <w:shd w:val="clear" w:color="auto" w:fill="auto"/>
            <w:vAlign w:val="center"/>
          </w:tcPr>
          <w:p>
            <w:pPr>
              <w:pStyle w:val="11"/>
              <w:adjustRightInd/>
              <w:jc w:val="center"/>
              <w:rPr>
                <w:rFonts w:ascii="仿宋_GB2312" w:hAnsi="仿宋_GB2312" w:eastAsia="仿宋_GB2312" w:cs="仿宋_GB2312"/>
                <w:b/>
                <w:bCs/>
                <w:color w:val="auto"/>
              </w:rPr>
            </w:pPr>
            <w:r>
              <w:rPr>
                <w:rFonts w:ascii="仿宋_GB2312" w:hAnsi="仿宋_GB2312" w:eastAsia="仿宋_GB2312" w:cs="仿宋_GB2312"/>
                <w:b/>
                <w:bCs/>
                <w:color w:val="auto"/>
              </w:rPr>
              <w:t>840 分钟</w:t>
            </w:r>
          </w:p>
        </w:tc>
        <w:tc>
          <w:tcPr>
            <w:tcW w:w="992" w:type="dxa"/>
            <w:tcBorders>
              <w:right w:val="nil"/>
            </w:tcBorders>
            <w:shd w:val="clear" w:color="auto" w:fill="auto"/>
            <w:vAlign w:val="center"/>
          </w:tcPr>
          <w:p>
            <w:pPr>
              <w:pStyle w:val="11"/>
              <w:adjustRightInd/>
              <w:jc w:val="center"/>
              <w:rPr>
                <w:rFonts w:ascii="仿宋_GB2312" w:hAnsi="仿宋_GB2312" w:eastAsia="仿宋_GB2312" w:cs="仿宋_GB2312"/>
                <w:b/>
                <w:bCs/>
                <w:color w:val="auto"/>
              </w:rPr>
            </w:pPr>
            <w:r>
              <w:rPr>
                <w:rFonts w:ascii="仿宋_GB2312" w:hAnsi="仿宋_GB2312" w:eastAsia="仿宋_GB2312" w:cs="仿宋_GB2312"/>
                <w:b/>
                <w:bCs/>
                <w:color w:val="auto"/>
              </w:rPr>
              <w:t>100%</w:t>
            </w:r>
          </w:p>
        </w:tc>
      </w:tr>
    </w:tbl>
    <w:p>
      <w:pPr>
        <w:keepNext w:val="0"/>
        <w:keepLines w:val="0"/>
        <w:pageBreakBefore w:val="0"/>
        <w:widowControl w:val="0"/>
        <w:kinsoku/>
        <w:wordWrap/>
        <w:overflowPunct/>
        <w:topLinePunct w:val="0"/>
        <w:bidi w:val="0"/>
        <w:snapToGrid/>
        <w:spacing w:line="560" w:lineRule="exact"/>
        <w:ind w:firstLine="600" w:firstLineChars="200"/>
        <w:jc w:val="left"/>
        <w:textAlignment w:val="auto"/>
        <w:outlineLvl w:val="9"/>
        <w:rPr>
          <w:rFonts w:ascii="楷体_GB2312" w:hAnsi="仿宋_GB2312" w:eastAsia="楷体_GB2312" w:cs="仿宋_GB2312"/>
          <w:sz w:val="30"/>
          <w:szCs w:val="30"/>
        </w:rPr>
      </w:pPr>
      <w:r>
        <w:rPr>
          <w:rFonts w:hint="eastAsia" w:ascii="楷体_GB2312" w:hAnsi="仿宋_GB2312" w:eastAsia="楷体_GB2312" w:cs="仿宋_GB2312"/>
          <w:sz w:val="30"/>
          <w:szCs w:val="30"/>
        </w:rPr>
        <w:t>（三）命题方式</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本竞赛项目的每个竞赛模块均有明确的考核目标和规定的解决方案。</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本竞赛项目不对外公开正式赛题内容，只公布竞赛样题。竞赛样题内容包括考核目标、解决方案等方面，供各参赛队参考。</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赛前，专家组将会同裁判长，结合赛场场地布局、设备材料等具体情况，遵循赛题调整的工作程序，对正式赛题内容进行修改，修改比例不超过</w:t>
      </w:r>
      <w:r>
        <w:rPr>
          <w:rFonts w:ascii="仿宋_GB2312" w:hAnsi="仿宋_GB2312" w:eastAsia="仿宋_GB2312" w:cs="仿宋_GB2312"/>
          <w:sz w:val="30"/>
          <w:szCs w:val="30"/>
        </w:rPr>
        <w:t>30%</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专家组组长和裁判长对最终的正式赛题签字确认。</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outlineLvl w:val="9"/>
        <w:rPr>
          <w:rFonts w:ascii="黑体" w:hAnsi="黑体" w:eastAsia="黑体" w:cs="黑体"/>
          <w:sz w:val="30"/>
          <w:szCs w:val="30"/>
          <w:lang w:val="zh-TW"/>
        </w:rPr>
      </w:pPr>
      <w:r>
        <w:rPr>
          <w:rFonts w:hint="eastAsia" w:ascii="黑体" w:hAnsi="黑体" w:eastAsia="黑体" w:cs="黑体"/>
          <w:sz w:val="30"/>
          <w:szCs w:val="30"/>
          <w:lang w:val="zh-TW"/>
        </w:rPr>
        <w:t>六、竞赛方式</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本竞赛项目为个人赛，要求选手在</w:t>
      </w:r>
      <w:r>
        <w:rPr>
          <w:rFonts w:ascii="仿宋_GB2312" w:hAnsi="仿宋_GB2312" w:eastAsia="仿宋_GB2312" w:cs="仿宋_GB2312"/>
          <w:sz w:val="30"/>
          <w:szCs w:val="30"/>
        </w:rPr>
        <w:t xml:space="preserve">2 </w:t>
      </w:r>
      <w:r>
        <w:rPr>
          <w:rFonts w:hint="eastAsia" w:ascii="仿宋_GB2312" w:hAnsi="仿宋_GB2312" w:eastAsia="仿宋_GB2312" w:cs="仿宋_GB2312"/>
          <w:sz w:val="30"/>
          <w:szCs w:val="30"/>
        </w:rPr>
        <w:t>天时间内独立完成</w:t>
      </w:r>
      <w:r>
        <w:rPr>
          <w:rFonts w:ascii="仿宋_GB2312" w:hAnsi="仿宋_GB2312" w:eastAsia="仿宋_GB2312" w:cs="仿宋_GB2312"/>
          <w:sz w:val="30"/>
          <w:szCs w:val="30"/>
        </w:rPr>
        <w:t xml:space="preserve">3 </w:t>
      </w:r>
      <w:r>
        <w:rPr>
          <w:rFonts w:hint="eastAsia" w:ascii="仿宋_GB2312" w:hAnsi="仿宋_GB2312" w:eastAsia="仿宋_GB2312" w:cs="仿宋_GB2312"/>
          <w:sz w:val="30"/>
          <w:szCs w:val="30"/>
        </w:rPr>
        <w:t>个项目任务。</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outlineLvl w:val="9"/>
        <w:rPr>
          <w:rFonts w:ascii="黑体" w:hAnsi="黑体" w:eastAsia="黑体" w:cs="黑体"/>
          <w:sz w:val="30"/>
          <w:szCs w:val="30"/>
          <w:lang w:val="zh-TW"/>
        </w:rPr>
      </w:pPr>
      <w:r>
        <w:rPr>
          <w:rFonts w:hint="eastAsia" w:ascii="黑体" w:hAnsi="黑体" w:eastAsia="黑体" w:cs="黑体"/>
          <w:sz w:val="30"/>
          <w:szCs w:val="30"/>
          <w:lang w:val="zh-TW"/>
        </w:rPr>
        <w:t>七、竞赛流程</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outlineLvl w:val="9"/>
        <w:rPr>
          <w:rFonts w:ascii="楷体_GB2312" w:hAnsi="仿宋_GB2312" w:eastAsia="楷体_GB2312" w:cs="仿宋_GB2312"/>
          <w:sz w:val="30"/>
          <w:szCs w:val="30"/>
        </w:rPr>
      </w:pPr>
      <w:r>
        <w:rPr>
          <w:rFonts w:hint="eastAsia" w:ascii="楷体_GB2312" w:hAnsi="仿宋_GB2312" w:eastAsia="楷体_GB2312" w:cs="仿宋_GB2312"/>
          <w:sz w:val="30"/>
          <w:szCs w:val="30"/>
        </w:rPr>
        <w:t>（一）时间安排</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 xml:space="preserve">1. </w:t>
      </w:r>
      <w:r>
        <w:rPr>
          <w:rFonts w:hint="eastAsia" w:ascii="仿宋_GB2312" w:hAnsi="仿宋_GB2312" w:eastAsia="仿宋_GB2312" w:cs="仿宋_GB2312"/>
          <w:sz w:val="30"/>
          <w:szCs w:val="30"/>
        </w:rPr>
        <w:t xml:space="preserve">裁判员原则上提前 </w:t>
      </w:r>
      <w:r>
        <w:rPr>
          <w:rFonts w:ascii="仿宋_GB2312" w:hAnsi="仿宋_GB2312" w:eastAsia="仿宋_GB2312" w:cs="仿宋_GB2312"/>
          <w:sz w:val="30"/>
          <w:szCs w:val="30"/>
        </w:rPr>
        <w:t xml:space="preserve">1 </w:t>
      </w:r>
      <w:r>
        <w:rPr>
          <w:rFonts w:hint="eastAsia" w:ascii="仿宋_GB2312" w:hAnsi="仿宋_GB2312" w:eastAsia="仿宋_GB2312" w:cs="仿宋_GB2312"/>
          <w:sz w:val="30"/>
          <w:szCs w:val="30"/>
        </w:rPr>
        <w:t>天报到，便于赛项执委会组织执裁培训、熟悉比赛评分细则，具体安排另行通知。</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 xml:space="preserve">2. </w:t>
      </w:r>
      <w:r>
        <w:rPr>
          <w:rFonts w:hint="eastAsia" w:ascii="仿宋_GB2312" w:hAnsi="仿宋_GB2312" w:eastAsia="仿宋_GB2312" w:cs="仿宋_GB2312"/>
          <w:sz w:val="30"/>
          <w:szCs w:val="30"/>
        </w:rPr>
        <w:t xml:space="preserve">参赛队报到时间 </w:t>
      </w:r>
      <w:r>
        <w:rPr>
          <w:rFonts w:ascii="仿宋_GB2312" w:hAnsi="仿宋_GB2312" w:eastAsia="仿宋_GB2312" w:cs="仿宋_GB2312"/>
          <w:sz w:val="30"/>
          <w:szCs w:val="30"/>
        </w:rPr>
        <w:t xml:space="preserve">1 </w:t>
      </w:r>
      <w:r>
        <w:rPr>
          <w:rFonts w:hint="eastAsia" w:ascii="仿宋_GB2312" w:hAnsi="仿宋_GB2312" w:eastAsia="仿宋_GB2312" w:cs="仿宋_GB2312"/>
          <w:sz w:val="30"/>
          <w:szCs w:val="30"/>
        </w:rPr>
        <w:t xml:space="preserve">天，比赛时间为 </w:t>
      </w:r>
      <w:r>
        <w:rPr>
          <w:rFonts w:ascii="仿宋_GB2312" w:hAnsi="仿宋_GB2312" w:eastAsia="仿宋_GB2312" w:cs="仿宋_GB2312"/>
          <w:sz w:val="30"/>
          <w:szCs w:val="30"/>
        </w:rPr>
        <w:t xml:space="preserve">2 </w:t>
      </w:r>
      <w:r>
        <w:rPr>
          <w:rFonts w:hint="eastAsia" w:ascii="仿宋_GB2312" w:hAnsi="仿宋_GB2312" w:eastAsia="仿宋_GB2312" w:cs="仿宋_GB2312"/>
          <w:sz w:val="30"/>
          <w:szCs w:val="30"/>
        </w:rPr>
        <w:t>天，裁判阅卷、成绩公布</w:t>
      </w:r>
      <w:r>
        <w:rPr>
          <w:rFonts w:ascii="仿宋_GB2312" w:hAnsi="仿宋_GB2312" w:eastAsia="仿宋_GB2312" w:cs="仿宋_GB2312"/>
          <w:sz w:val="30"/>
          <w:szCs w:val="30"/>
        </w:rPr>
        <w:t>1</w:t>
      </w:r>
      <w:r>
        <w:rPr>
          <w:rFonts w:hint="eastAsia" w:ascii="仿宋_GB2312" w:hAnsi="仿宋_GB2312" w:eastAsia="仿宋_GB2312" w:cs="仿宋_GB2312"/>
          <w:sz w:val="30"/>
          <w:szCs w:val="30"/>
        </w:rPr>
        <w:t>天。</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outlineLvl w:val="9"/>
        <w:rPr>
          <w:rFonts w:ascii="楷体_GB2312" w:hAnsi="仿宋_GB2312" w:eastAsia="楷体_GB2312" w:cs="仿宋_GB2312"/>
          <w:sz w:val="30"/>
          <w:szCs w:val="30"/>
        </w:rPr>
      </w:pPr>
      <w:r>
        <w:rPr>
          <w:rFonts w:hint="eastAsia" w:ascii="楷体_GB2312" w:hAnsi="仿宋_GB2312" w:eastAsia="楷体_GB2312" w:cs="仿宋_GB2312"/>
          <w:sz w:val="30"/>
          <w:szCs w:val="30"/>
        </w:rPr>
        <w:t>（二）竞赛流程</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 xml:space="preserve">1. </w:t>
      </w:r>
      <w:r>
        <w:rPr>
          <w:rFonts w:hint="eastAsia" w:ascii="仿宋_GB2312" w:hAnsi="仿宋_GB2312" w:eastAsia="仿宋_GB2312" w:cs="仿宋_GB2312"/>
          <w:sz w:val="30"/>
          <w:szCs w:val="30"/>
        </w:rPr>
        <w:t>在赛前领队会上，由参赛队代表抽签确定A、</w:t>
      </w:r>
      <w:r>
        <w:rPr>
          <w:rFonts w:ascii="仿宋_GB2312" w:hAnsi="仿宋_GB2312" w:eastAsia="仿宋_GB2312" w:cs="仿宋_GB2312"/>
          <w:sz w:val="30"/>
          <w:szCs w:val="30"/>
        </w:rPr>
        <w:t>B组</w:t>
      </w:r>
      <w:r>
        <w:rPr>
          <w:rFonts w:hint="eastAsia" w:ascii="仿宋_GB2312" w:hAnsi="仿宋_GB2312" w:eastAsia="仿宋_GB2312" w:cs="仿宋_GB2312"/>
          <w:sz w:val="30"/>
          <w:szCs w:val="30"/>
        </w:rPr>
        <w:t>参赛选手。</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 xml:space="preserve">2. </w:t>
      </w:r>
      <w:r>
        <w:rPr>
          <w:rFonts w:hint="eastAsia" w:ascii="仿宋_GB2312" w:hAnsi="仿宋_GB2312" w:eastAsia="仿宋_GB2312" w:cs="仿宋_GB2312"/>
          <w:sz w:val="30"/>
          <w:szCs w:val="30"/>
        </w:rPr>
        <w:t xml:space="preserve">赛场的赛位统一编制。参赛队比赛前 </w:t>
      </w:r>
      <w:r>
        <w:rPr>
          <w:rFonts w:ascii="仿宋_GB2312" w:hAnsi="仿宋_GB2312" w:eastAsia="仿宋_GB2312" w:cs="仿宋_GB2312"/>
          <w:sz w:val="30"/>
          <w:szCs w:val="30"/>
        </w:rPr>
        <w:t xml:space="preserve">30 </w:t>
      </w:r>
      <w:r>
        <w:rPr>
          <w:rFonts w:hint="eastAsia" w:ascii="仿宋_GB2312" w:hAnsi="仿宋_GB2312" w:eastAsia="仿宋_GB2312" w:cs="仿宋_GB2312"/>
          <w:sz w:val="30"/>
          <w:szCs w:val="30"/>
        </w:rPr>
        <w:t xml:space="preserve">分钟凭参赛证、身份证到指定地点检录，经 </w:t>
      </w:r>
      <w:r>
        <w:rPr>
          <w:rFonts w:ascii="仿宋_GB2312" w:hAnsi="仿宋_GB2312" w:eastAsia="仿宋_GB2312" w:cs="仿宋_GB2312"/>
          <w:sz w:val="30"/>
          <w:szCs w:val="30"/>
        </w:rPr>
        <w:t xml:space="preserve">1 </w:t>
      </w:r>
      <w:r>
        <w:rPr>
          <w:rFonts w:hint="eastAsia" w:ascii="仿宋_GB2312" w:hAnsi="仿宋_GB2312" w:eastAsia="仿宋_GB2312" w:cs="仿宋_GB2312"/>
          <w:sz w:val="30"/>
          <w:szCs w:val="30"/>
        </w:rPr>
        <w:t>次加密抽签决定赛位号，抽签结束后，随即按照抽取的赛位号进场，然后在对应的赛位上完成竞赛规定的工作任务。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 xml:space="preserve">3. </w:t>
      </w:r>
      <w:r>
        <w:rPr>
          <w:rFonts w:hint="eastAsia" w:ascii="仿宋_GB2312" w:hAnsi="仿宋_GB2312" w:eastAsia="仿宋_GB2312" w:cs="仿宋_GB2312"/>
          <w:sz w:val="30"/>
          <w:szCs w:val="30"/>
        </w:rPr>
        <w:t>赛位号不对外公布，抽签结果密封后统一保管。实操结束后，选手的现场试卷进行密封，在评分结束后开封解密并统计成绩。</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outlineLvl w:val="9"/>
        <w:rPr>
          <w:rFonts w:ascii="黑体" w:hAnsi="黑体" w:eastAsia="黑体" w:cs="黑体"/>
          <w:sz w:val="30"/>
          <w:szCs w:val="30"/>
          <w:lang w:val="zh-TW"/>
        </w:rPr>
      </w:pPr>
      <w:r>
        <w:rPr>
          <w:rFonts w:hint="eastAsia" w:ascii="黑体" w:hAnsi="黑体" w:eastAsia="黑体" w:cs="黑体"/>
          <w:sz w:val="30"/>
          <w:szCs w:val="30"/>
          <w:lang w:val="zh-TW"/>
        </w:rPr>
        <w:t>八、竞赛样题</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竞赛样题具体内容详见附件</w:t>
      </w:r>
      <w:r>
        <w:rPr>
          <w:rFonts w:ascii="仿宋_GB2312" w:hAnsi="仿宋_GB2312" w:eastAsia="仿宋_GB2312" w:cs="仿宋_GB2312"/>
          <w:sz w:val="30"/>
          <w:szCs w:val="30"/>
        </w:rPr>
        <w:t>2</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outlineLvl w:val="9"/>
        <w:rPr>
          <w:rFonts w:ascii="黑体" w:hAnsi="黑体" w:eastAsia="黑体" w:cs="黑体"/>
          <w:sz w:val="30"/>
          <w:szCs w:val="30"/>
          <w:lang w:val="zh-TW"/>
        </w:rPr>
      </w:pPr>
      <w:r>
        <w:rPr>
          <w:rFonts w:hint="eastAsia" w:ascii="黑体" w:hAnsi="黑体" w:eastAsia="黑体" w:cs="黑体"/>
          <w:sz w:val="30"/>
          <w:szCs w:val="30"/>
          <w:lang w:val="zh-TW"/>
        </w:rPr>
        <w:t>九、竞赛规则</w:t>
      </w:r>
    </w:p>
    <w:p>
      <w:pPr>
        <w:pStyle w:val="12"/>
        <w:keepNext w:val="0"/>
        <w:keepLines w:val="0"/>
        <w:pageBreakBefore w:val="0"/>
        <w:widowControl w:val="0"/>
        <w:kinsoku/>
        <w:wordWrap/>
        <w:overflowPunct/>
        <w:topLinePunct w:val="0"/>
        <w:bidi w:val="0"/>
        <w:snapToGrid/>
        <w:spacing w:line="560" w:lineRule="exact"/>
        <w:ind w:firstLine="600"/>
        <w:textAlignment w:val="auto"/>
        <w:outlineLvl w:val="9"/>
        <w:rPr>
          <w:rFonts w:ascii="楷体_GB2312" w:hAnsi="仿宋_GB2312" w:eastAsia="楷体_GB2312" w:cs="仿宋_GB2312"/>
          <w:color w:val="auto"/>
          <w:sz w:val="30"/>
          <w:szCs w:val="30"/>
        </w:rPr>
      </w:pPr>
      <w:r>
        <w:rPr>
          <w:rFonts w:hint="eastAsia" w:ascii="楷体_GB2312" w:hAnsi="宋体" w:eastAsia="楷体_GB2312" w:cs="宋体"/>
          <w:kern w:val="0"/>
          <w:sz w:val="30"/>
          <w:szCs w:val="30"/>
        </w:rPr>
        <w:t>（一）参赛规则</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rPr>
        <w:t xml:space="preserve"> 每个学校可派出不超过两支的参赛代表队，</w:t>
      </w:r>
      <w:r>
        <w:rPr>
          <w:rFonts w:ascii="仿宋_GB2312" w:hAnsi="仿宋_GB2312" w:eastAsia="仿宋_GB2312" w:cs="仿宋_GB2312"/>
          <w:color w:val="000000"/>
          <w:sz w:val="30"/>
          <w:szCs w:val="30"/>
          <w:u w:color="000000"/>
        </w:rPr>
        <w:t>每个参赛代表队限报1名选手和1名指导教师，选手和指导教师必须是本校学生和本校教师。</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2</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参赛选手须为高等职业学校全日制在籍学生；本科院校中高职类全日制在籍学生；五年制高职四、五年级学生可报名参加高职组比赛。高职组参赛选手年龄须不超过25周岁（当年），即1996年11月1日后出生。</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outlineLvl w:val="9"/>
        <w:rPr>
          <w:rFonts w:ascii="仿宋" w:hAnsi="仿宋" w:eastAsia="仿宋" w:cs="仿宋_GB2312"/>
          <w:color w:val="000000"/>
          <w:sz w:val="30"/>
          <w:szCs w:val="30"/>
          <w:u w:color="000000"/>
          <w:lang w:val="zh-TW"/>
        </w:rPr>
      </w:pPr>
      <w:r>
        <w:rPr>
          <w:rFonts w:ascii="仿宋_GB2312" w:hAnsi="仿宋_GB2312" w:eastAsia="仿宋_GB2312" w:cs="仿宋_GB2312"/>
          <w:sz w:val="30"/>
          <w:szCs w:val="30"/>
        </w:rPr>
        <w:t>3</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凡在往届全国职业院校技能大赛高职组获一等奖的选手，不再参加本项目比赛。</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 xml:space="preserve"> 参赛院校须按规定时间登录河南省高职院校技能大赛报名系统，按要求填报并提交参赛信息。</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提交报名信息后，参赛院校从系统导出报名表、赛项汇总表，连同参赛选手身份证复印件、学信网“教育部学籍在线验证报告”或省招办录取名册复印件各1份并加盖公章报送或邮寄至承办学校（河南应用技术职业学院）。邮寄地址：河南省郑州市郑上路5</w:t>
      </w:r>
      <w:r>
        <w:rPr>
          <w:rFonts w:ascii="仿宋_GB2312" w:hAnsi="仿宋_GB2312" w:eastAsia="仿宋_GB2312" w:cs="仿宋_GB2312"/>
          <w:sz w:val="30"/>
          <w:szCs w:val="30"/>
        </w:rPr>
        <w:t>48</w:t>
      </w:r>
      <w:r>
        <w:rPr>
          <w:rFonts w:hint="eastAsia" w:ascii="仿宋_GB2312" w:hAnsi="仿宋_GB2312" w:eastAsia="仿宋_GB2312" w:cs="仿宋_GB2312"/>
          <w:sz w:val="30"/>
          <w:szCs w:val="30"/>
        </w:rPr>
        <w:t>号河南应用技术职业学院，</w:t>
      </w:r>
      <w:r>
        <w:rPr>
          <w:rFonts w:ascii="仿宋_GB2312" w:hAnsi="仿宋_GB2312" w:eastAsia="仿宋_GB2312" w:cs="仿宋_GB2312"/>
          <w:sz w:val="30"/>
          <w:szCs w:val="30"/>
        </w:rPr>
        <w:t>邮编：</w:t>
      </w:r>
      <w:r>
        <w:rPr>
          <w:rFonts w:hint="eastAsia" w:ascii="仿宋_GB2312" w:hAnsi="仿宋_GB2312" w:eastAsia="仿宋_GB2312" w:cs="仿宋_GB2312"/>
          <w:sz w:val="30"/>
          <w:szCs w:val="30"/>
        </w:rPr>
        <w:t>4</w:t>
      </w:r>
      <w:r>
        <w:rPr>
          <w:rFonts w:ascii="仿宋_GB2312" w:hAnsi="仿宋_GB2312" w:eastAsia="仿宋_GB2312" w:cs="仿宋_GB2312"/>
          <w:sz w:val="30"/>
          <w:szCs w:val="30"/>
        </w:rPr>
        <w:t>50042；</w:t>
      </w:r>
      <w:r>
        <w:rPr>
          <w:rFonts w:hint="eastAsia" w:ascii="仿宋_GB2312" w:hAnsi="仿宋_GB2312" w:eastAsia="仿宋_GB2312" w:cs="仿宋_GB2312"/>
          <w:sz w:val="30"/>
          <w:szCs w:val="30"/>
        </w:rPr>
        <w:t>联系人：王春杰；联系电话：15188376007。</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5</w:t>
      </w:r>
      <w:r>
        <w:rPr>
          <w:rFonts w:hint="eastAsia" w:ascii="仿宋_GB2312" w:hAnsi="仿宋_GB2312" w:eastAsia="仿宋_GB2312" w:cs="仿宋_GB2312"/>
          <w:sz w:val="30"/>
          <w:szCs w:val="30"/>
        </w:rPr>
        <w:t>.承办学校收到纸质报名材料，按国赛的要求认真审核参赛选手和指导教师资格，审核通过报名成功。</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6.参赛选手和指导教师报名获得确认后不得随意更换。</w:t>
      </w:r>
      <w:r>
        <w:rPr>
          <w:rFonts w:hint="eastAsia" w:ascii="仿宋_GB2312" w:hAnsi="仿宋_GB2312" w:eastAsia="仿宋_GB2312" w:cs="仿宋_GB2312"/>
          <w:sz w:val="30"/>
          <w:szCs w:val="30"/>
        </w:rPr>
        <w:t>若备赛过程中，参赛选手和指导教师因故无法参赛，需由参赛院校于开赛前五个工作日内出具书面说明，经大赛组委会审核同意后方可更换。报到时须携带学生证、身份证原件。</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楷体_GB2312" w:hAnsi="仿宋_GB2312" w:eastAsia="楷体_GB2312" w:cs="仿宋_GB2312"/>
          <w:sz w:val="30"/>
          <w:szCs w:val="30"/>
        </w:rPr>
      </w:pPr>
      <w:r>
        <w:rPr>
          <w:rFonts w:hint="eastAsia" w:ascii="楷体_GB2312" w:hAnsi="仿宋_GB2312" w:eastAsia="楷体_GB2312" w:cs="仿宋_GB2312"/>
          <w:sz w:val="30"/>
          <w:szCs w:val="30"/>
        </w:rPr>
        <w:t>（二）熟悉场地规则</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rPr>
        <w:t>赛项执委会安排抽取抽签顺序号后，各参赛队统一有序地熟悉场地，熟悉场地时限定在指定区域，不允许进入比赛区。</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2.</w:t>
      </w:r>
      <w:r>
        <w:rPr>
          <w:rFonts w:hint="eastAsia" w:ascii="仿宋_GB2312" w:hAnsi="仿宋_GB2312" w:eastAsia="仿宋_GB2312" w:cs="仿宋_GB2312"/>
          <w:sz w:val="30"/>
          <w:szCs w:val="30"/>
        </w:rPr>
        <w:t>熟悉场地时严禁与现场工作人员进行交流，不发表没有根据以及有损大赛整体形象的言论。</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3.</w:t>
      </w:r>
      <w:r>
        <w:rPr>
          <w:rFonts w:hint="eastAsia" w:ascii="仿宋_GB2312" w:hAnsi="仿宋_GB2312" w:eastAsia="仿宋_GB2312" w:cs="仿宋_GB2312"/>
          <w:sz w:val="30"/>
          <w:szCs w:val="30"/>
        </w:rPr>
        <w:t>熟悉场地严格遵守大赛各种制度，严禁拥挤、喧哗，以免发生意外事故。</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楷体_GB2312" w:hAnsi="仿宋_GB2312" w:eastAsia="楷体_GB2312" w:cs="仿宋_GB2312"/>
          <w:sz w:val="30"/>
          <w:szCs w:val="30"/>
        </w:rPr>
      </w:pPr>
      <w:r>
        <w:rPr>
          <w:rFonts w:hint="eastAsia" w:ascii="楷体_GB2312" w:hAnsi="仿宋_GB2312" w:eastAsia="楷体_GB2312" w:cs="仿宋_GB2312"/>
          <w:sz w:val="30"/>
          <w:szCs w:val="30"/>
        </w:rPr>
        <w:t>（三）竞赛入场规则</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rPr>
        <w:t>参赛选手按赛区规定的时间准时到达赛场集合，按抽取的抽签顺序号抽取赛位号。抽得赛位号的选手，在指定区域等待；所有选手抽取赛位号后，统一时间进入赛场，按抽取的赛位号入座。</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2.</w:t>
      </w:r>
      <w:r>
        <w:rPr>
          <w:rFonts w:hint="eastAsia" w:ascii="仿宋_GB2312" w:hAnsi="仿宋_GB2312" w:eastAsia="仿宋_GB2312" w:cs="仿宋_GB2312"/>
          <w:sz w:val="30"/>
          <w:szCs w:val="30"/>
        </w:rPr>
        <w:t>检录裁判将对各参赛选手的身份进行核对。参赛选手提供参赛证、身份证，指导老师提供指导老师证和身份证。身份证上的姓名、年龄、相貌特征应与参赛证一致。</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3.</w:t>
      </w:r>
      <w:r>
        <w:rPr>
          <w:rFonts w:hint="eastAsia" w:ascii="仿宋_GB2312" w:hAnsi="仿宋_GB2312" w:eastAsia="仿宋_GB2312" w:cs="仿宋_GB2312"/>
          <w:sz w:val="30"/>
          <w:szCs w:val="30"/>
        </w:rPr>
        <w:t>在比赛开始</w:t>
      </w:r>
      <w:r>
        <w:rPr>
          <w:rFonts w:ascii="仿宋_GB2312" w:hAnsi="仿宋_GB2312" w:eastAsia="仿宋_GB2312" w:cs="仿宋_GB2312"/>
          <w:sz w:val="30"/>
          <w:szCs w:val="30"/>
        </w:rPr>
        <w:t xml:space="preserve">30 </w:t>
      </w:r>
      <w:r>
        <w:rPr>
          <w:rFonts w:hint="eastAsia" w:ascii="仿宋_GB2312" w:hAnsi="仿宋_GB2312" w:eastAsia="仿宋_GB2312" w:cs="仿宋_GB2312"/>
          <w:sz w:val="30"/>
          <w:szCs w:val="30"/>
        </w:rPr>
        <w:t>分钟后不得入场，迟到的选手必须在赛场记录表相关栏目中说明到场时间、迟到原因并签赛位号确认。</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4.</w:t>
      </w:r>
      <w:r>
        <w:rPr>
          <w:rFonts w:hint="eastAsia" w:ascii="仿宋_GB2312" w:hAnsi="仿宋_GB2312" w:eastAsia="仿宋_GB2312" w:cs="仿宋_GB2312"/>
          <w:sz w:val="30"/>
          <w:szCs w:val="30"/>
        </w:rPr>
        <w:t>除裁判检验过的工具、量具及书写物品外，参赛选手不允许携带任何通讯及存储设备、纸质材料等物品进入赛场。</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楷体_GB2312" w:hAnsi="仿宋_GB2312" w:eastAsia="楷体_GB2312" w:cs="仿宋_GB2312"/>
          <w:sz w:val="30"/>
          <w:szCs w:val="30"/>
        </w:rPr>
      </w:pPr>
      <w:r>
        <w:rPr>
          <w:rFonts w:hint="eastAsia" w:ascii="楷体_GB2312" w:eastAsia="楷体_GB2312" w:cs="仿宋"/>
          <w:kern w:val="0"/>
          <w:sz w:val="30"/>
          <w:szCs w:val="30"/>
        </w:rPr>
        <w:t>（</w:t>
      </w:r>
      <w:r>
        <w:rPr>
          <w:rFonts w:hint="eastAsia" w:ascii="楷体_GB2312" w:hAnsi="仿宋_GB2312" w:eastAsia="楷体_GB2312" w:cs="仿宋_GB2312"/>
          <w:sz w:val="30"/>
          <w:szCs w:val="30"/>
        </w:rPr>
        <w:t>四）竞赛现场规则</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1.选手进入赛场后，必须听从现场裁判的统一布置和指挥，不得以任何方式公开参赛队及个人信息。</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2.选手竞赛时须按《专业规范》要求着装，严格遵守安全操作规程，确保人身和设备安全，并接受现场裁判和技术人员的监督和警示。</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3.分发比赛任务书后的，选手可查阅理解比赛任务，摆放、检查自己所带工具，清洗有关玻璃器皿等，不可使用工具进行比赛任务的操作。</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4.项目裁判长宣布比赛开始，参赛选手才能进行动手完成竞赛比赛任务的操作。</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5.竞赛过程中，除裁判长和现场裁判外任何人员不得主动接近选手及其工作区域，选手有问题只能向现场裁判和项目裁判长反映。</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比赛过程中选手不得随意离开赛位，不得与其他参赛选手和人员交流。因故终止比赛或提前完成比赛任务需要离场，应报告现场裁判，在赛场记录表的相应栏目填写离场时间、离场原因并由现场裁判签名和选手签赛位号确认。</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7</w:t>
      </w:r>
      <w:r>
        <w:rPr>
          <w:rFonts w:hint="eastAsia" w:ascii="仿宋_GB2312" w:hAnsi="仿宋_GB2312" w:eastAsia="仿宋_GB2312" w:cs="仿宋_GB2312"/>
          <w:sz w:val="30"/>
          <w:szCs w:val="30"/>
        </w:rPr>
        <w:t>.竞赛过程中，选手休息、饮食或如厕时间均计算在竞赛时间内。</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在竞赛过程中如发现问题（如设备故障等），选手应立即向现场裁判反映。得到现场裁判、项目裁判长同意后，选手退出到工作区外等候，等待故障处理完后方可继续比赛。如属于设备故障，补时时间为从选手示意到故障处理结束这段时间，否则不予补时。</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9.比赛过程中，严重违反赛场纪律者，违反操作规程不听劝告者，越界影响他人比赛者，有意损坏赛场设备或设施者，一经发现，由现场裁判提出警告，并报告项目裁判长。由项目裁判长依情节轻重扣减10 分～20 分，直至取消竞赛资格。</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楷体_GB2312" w:hAnsi="仿宋_GB2312" w:eastAsia="楷体_GB2312" w:cs="仿宋_GB2312"/>
          <w:sz w:val="30"/>
          <w:szCs w:val="30"/>
        </w:rPr>
      </w:pPr>
      <w:r>
        <w:rPr>
          <w:rFonts w:hint="eastAsia" w:ascii="楷体_GB2312" w:hAnsi="仿宋_GB2312" w:eastAsia="楷体_GB2312" w:cs="仿宋_GB2312"/>
          <w:sz w:val="30"/>
          <w:szCs w:val="30"/>
        </w:rPr>
        <w:t>（五）离开赛场规则</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rPr>
        <w:t>在比赛结束前</w:t>
      </w:r>
      <w:r>
        <w:rPr>
          <w:rFonts w:ascii="仿宋_GB2312" w:hAnsi="仿宋_GB2312" w:eastAsia="仿宋_GB2312" w:cs="仿宋_GB2312"/>
          <w:sz w:val="30"/>
          <w:szCs w:val="30"/>
        </w:rPr>
        <w:t xml:space="preserve">15 </w:t>
      </w:r>
      <w:r>
        <w:rPr>
          <w:rFonts w:hint="eastAsia" w:ascii="仿宋_GB2312" w:hAnsi="仿宋_GB2312" w:eastAsia="仿宋_GB2312" w:cs="仿宋_GB2312"/>
          <w:sz w:val="30"/>
          <w:szCs w:val="30"/>
        </w:rPr>
        <w:t>分钟，项目裁判长提示一次比赛剩余时间。</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2.</w:t>
      </w:r>
      <w:r>
        <w:rPr>
          <w:rFonts w:hint="eastAsia" w:ascii="仿宋_GB2312" w:hAnsi="仿宋_GB2312" w:eastAsia="仿宋_GB2312" w:cs="仿宋_GB2312"/>
          <w:sz w:val="30"/>
          <w:szCs w:val="30"/>
        </w:rPr>
        <w:t>比赛结束信号给出，由项目裁判长宣布终止比赛。</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3.</w:t>
      </w:r>
      <w:r>
        <w:rPr>
          <w:rFonts w:hint="eastAsia" w:ascii="仿宋_GB2312" w:hAnsi="仿宋_GB2312" w:eastAsia="仿宋_GB2312" w:cs="仿宋_GB2312"/>
          <w:sz w:val="30"/>
          <w:szCs w:val="30"/>
        </w:rPr>
        <w:t>宣布终止比赛时，选手应立即停止工作（补时选手可以继续操作直至补时时间用完），并将比赛试题、评分表等放在工作台上，离开自己的考位。</w:t>
      </w:r>
    </w:p>
    <w:p>
      <w:pPr>
        <w:keepNext w:val="0"/>
        <w:keepLines w:val="0"/>
        <w:pageBreakBefore w:val="0"/>
        <w:widowControl w:val="0"/>
        <w:kinsoku/>
        <w:wordWrap/>
        <w:overflowPunct/>
        <w:topLinePunct w:val="0"/>
        <w:bidi w:val="0"/>
        <w:snapToGrid/>
        <w:spacing w:line="560" w:lineRule="exact"/>
        <w:ind w:firstLine="600" w:firstLineChars="2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4.</w:t>
      </w:r>
      <w:r>
        <w:rPr>
          <w:rFonts w:hint="eastAsia" w:ascii="仿宋_GB2312" w:hAnsi="仿宋_GB2312" w:eastAsia="仿宋_GB2312" w:cs="仿宋_GB2312"/>
          <w:sz w:val="30"/>
          <w:szCs w:val="30"/>
        </w:rPr>
        <w:t>选手完成竞赛内容并上交相应的资料后方可离开竞赛现场，不得带出任何竞赛实验室提供的设备、试剂及竞赛资料。</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outlineLvl w:val="9"/>
        <w:rPr>
          <w:rFonts w:ascii="黑体" w:hAnsi="黑体" w:eastAsia="黑体" w:cs="黑体"/>
          <w:sz w:val="30"/>
          <w:szCs w:val="30"/>
        </w:rPr>
      </w:pPr>
      <w:r>
        <w:rPr>
          <w:rFonts w:hint="eastAsia" w:ascii="黑体" w:hAnsi="黑体" w:eastAsia="黑体" w:cs="黑体"/>
          <w:sz w:val="30"/>
          <w:szCs w:val="30"/>
        </w:rPr>
        <w:t>十、竞赛赛程安排</w:t>
      </w:r>
    </w:p>
    <w:p>
      <w:pPr>
        <w:pStyle w:val="12"/>
        <w:keepNext w:val="0"/>
        <w:keepLines w:val="0"/>
        <w:pageBreakBefore w:val="0"/>
        <w:widowControl w:val="0"/>
        <w:kinsoku/>
        <w:wordWrap/>
        <w:overflowPunct/>
        <w:topLinePunct w:val="0"/>
        <w:bidi w:val="0"/>
        <w:snapToGrid/>
        <w:spacing w:line="560" w:lineRule="exact"/>
        <w:ind w:firstLine="600"/>
        <w:textAlignment w:val="auto"/>
        <w:outlineLvl w:val="9"/>
        <w:rPr>
          <w:rFonts w:ascii="楷体_GB2312" w:hAnsi="仿宋_GB2312" w:eastAsia="楷体_GB2312" w:cs="仿宋_GB2312"/>
          <w:color w:val="auto"/>
          <w:sz w:val="30"/>
          <w:szCs w:val="30"/>
        </w:rPr>
      </w:pPr>
      <w:r>
        <w:rPr>
          <w:rFonts w:hint="eastAsia" w:ascii="楷体_GB2312" w:hAnsi="仿宋_GB2312" w:eastAsia="楷体_GB2312" w:cs="仿宋_GB2312"/>
          <w:color w:val="auto"/>
          <w:sz w:val="30"/>
          <w:szCs w:val="30"/>
        </w:rPr>
        <w:t>（一）竞赛时间</w:t>
      </w:r>
    </w:p>
    <w:p>
      <w:pPr>
        <w:pStyle w:val="12"/>
        <w:keepNext w:val="0"/>
        <w:keepLines w:val="0"/>
        <w:pageBreakBefore w:val="0"/>
        <w:widowControl w:val="0"/>
        <w:kinsoku/>
        <w:wordWrap/>
        <w:overflowPunct/>
        <w:topLinePunct w:val="0"/>
        <w:bidi w:val="0"/>
        <w:snapToGrid/>
        <w:spacing w:line="560" w:lineRule="exact"/>
        <w:ind w:firstLine="600"/>
        <w:textAlignment w:val="auto"/>
        <w:outlineLvl w:val="9"/>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202</w:t>
      </w:r>
      <w:r>
        <w:rPr>
          <w:rFonts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rPr>
        <w:t>年11月1</w:t>
      </w:r>
      <w:r>
        <w:rPr>
          <w:rFonts w:ascii="仿宋_GB2312" w:hAnsi="仿宋_GB2312" w:eastAsia="仿宋_GB2312" w:cs="仿宋_GB2312"/>
          <w:color w:val="auto"/>
          <w:sz w:val="30"/>
          <w:szCs w:val="30"/>
        </w:rPr>
        <w:t>2</w:t>
      </w:r>
      <w:r>
        <w:rPr>
          <w:rFonts w:hint="eastAsia" w:ascii="仿宋_GB2312" w:hAnsi="仿宋_GB2312" w:eastAsia="仿宋_GB2312" w:cs="仿宋_GB2312"/>
          <w:color w:val="auto"/>
          <w:sz w:val="30"/>
          <w:szCs w:val="30"/>
        </w:rPr>
        <w:t>日下午报到。</w:t>
      </w:r>
      <w:r>
        <w:rPr>
          <w:rFonts w:ascii="仿宋_GB2312" w:hAnsi="仿宋_GB2312" w:eastAsia="仿宋_GB2312" w:cs="仿宋_GB2312"/>
          <w:color w:val="auto"/>
          <w:sz w:val="30"/>
          <w:szCs w:val="30"/>
        </w:rPr>
        <w:t>20</w:t>
      </w:r>
      <w:r>
        <w:rPr>
          <w:rFonts w:hint="eastAsia" w:ascii="仿宋_GB2312" w:hAnsi="仿宋_GB2312" w:eastAsia="仿宋_GB2312" w:cs="仿宋_GB2312"/>
          <w:color w:val="auto"/>
          <w:sz w:val="30"/>
          <w:szCs w:val="30"/>
        </w:rPr>
        <w:t>2</w:t>
      </w:r>
      <w:r>
        <w:rPr>
          <w:rFonts w:ascii="仿宋_GB2312" w:hAnsi="仿宋_GB2312" w:eastAsia="仿宋_GB2312" w:cs="仿宋_GB2312"/>
          <w:color w:val="auto"/>
          <w:sz w:val="30"/>
          <w:szCs w:val="30"/>
        </w:rPr>
        <w:t>1年</w:t>
      </w:r>
      <w:r>
        <w:rPr>
          <w:rFonts w:hint="eastAsia" w:ascii="仿宋_GB2312" w:hAnsi="仿宋_GB2312" w:eastAsia="仿宋_GB2312" w:cs="仿宋_GB2312"/>
          <w:color w:val="auto"/>
          <w:sz w:val="30"/>
          <w:szCs w:val="30"/>
        </w:rPr>
        <w:t>11</w:t>
      </w:r>
      <w:r>
        <w:rPr>
          <w:rFonts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rPr>
        <w:t>1</w:t>
      </w:r>
      <w:r>
        <w:rPr>
          <w:rFonts w:ascii="仿宋_GB2312" w:hAnsi="仿宋_GB2312" w:eastAsia="仿宋_GB2312" w:cs="仿宋_GB2312"/>
          <w:color w:val="auto"/>
          <w:sz w:val="30"/>
          <w:szCs w:val="30"/>
        </w:rPr>
        <w:t>2日</w:t>
      </w:r>
      <w:r>
        <w:rPr>
          <w:rFonts w:hint="eastAsia" w:ascii="仿宋_GB2312" w:hAnsi="仿宋_GB2312" w:eastAsia="仿宋_GB2312" w:cs="仿宋_GB2312"/>
          <w:color w:val="auto"/>
          <w:sz w:val="30"/>
          <w:szCs w:val="30"/>
        </w:rPr>
        <w:t>晚</w:t>
      </w:r>
      <w:r>
        <w:rPr>
          <w:rFonts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rPr>
        <w:t>13日</w:t>
      </w:r>
      <w:r>
        <w:rPr>
          <w:rFonts w:ascii="仿宋_GB2312" w:hAnsi="仿宋_GB2312" w:eastAsia="仿宋_GB2312" w:cs="仿宋_GB2312"/>
          <w:color w:val="auto"/>
          <w:sz w:val="30"/>
          <w:szCs w:val="30"/>
        </w:rPr>
        <w:t>、14日为</w:t>
      </w:r>
      <w:r>
        <w:rPr>
          <w:rFonts w:hint="eastAsia" w:ascii="仿宋_GB2312" w:hAnsi="仿宋_GB2312" w:eastAsia="仿宋_GB2312" w:cs="仿宋_GB2312"/>
          <w:color w:val="auto"/>
          <w:sz w:val="30"/>
          <w:szCs w:val="30"/>
        </w:rPr>
        <w:t>竞赛时间</w:t>
      </w:r>
      <w:r>
        <w:rPr>
          <w:rFonts w:ascii="仿宋_GB2312" w:hAnsi="仿宋_GB2312" w:eastAsia="仿宋_GB2312" w:cs="仿宋_GB2312"/>
          <w:color w:val="auto"/>
          <w:sz w:val="30"/>
          <w:szCs w:val="30"/>
        </w:rPr>
        <w:t>。</w:t>
      </w:r>
    </w:p>
    <w:p>
      <w:pPr>
        <w:pStyle w:val="12"/>
        <w:keepNext w:val="0"/>
        <w:keepLines w:val="0"/>
        <w:pageBreakBefore w:val="0"/>
        <w:widowControl w:val="0"/>
        <w:kinsoku/>
        <w:wordWrap/>
        <w:overflowPunct/>
        <w:topLinePunct w:val="0"/>
        <w:bidi w:val="0"/>
        <w:snapToGrid/>
        <w:spacing w:line="560" w:lineRule="exact"/>
        <w:ind w:firstLine="600"/>
        <w:textAlignment w:val="auto"/>
        <w:outlineLvl w:val="9"/>
        <w:rPr>
          <w:rFonts w:ascii="楷体_GB2312" w:hAnsi="仿宋_GB2312" w:eastAsia="楷体_GB2312" w:cs="仿宋_GB2312"/>
          <w:color w:val="auto"/>
          <w:sz w:val="30"/>
          <w:szCs w:val="30"/>
        </w:rPr>
      </w:pPr>
      <w:r>
        <w:rPr>
          <w:rFonts w:hint="eastAsia" w:ascii="楷体_GB2312" w:hAnsi="仿宋_GB2312" w:eastAsia="楷体_GB2312" w:cs="仿宋_GB2312"/>
          <w:color w:val="auto"/>
          <w:sz w:val="30"/>
          <w:szCs w:val="30"/>
        </w:rPr>
        <w:t>（二）竞赛日程</w:t>
      </w:r>
    </w:p>
    <w:p>
      <w:pPr>
        <w:pStyle w:val="12"/>
        <w:keepNext w:val="0"/>
        <w:keepLines w:val="0"/>
        <w:pageBreakBefore w:val="0"/>
        <w:widowControl w:val="0"/>
        <w:kinsoku/>
        <w:wordWrap/>
        <w:overflowPunct/>
        <w:topLinePunct w:val="0"/>
        <w:bidi w:val="0"/>
        <w:snapToGrid/>
        <w:spacing w:line="560" w:lineRule="exact"/>
        <w:ind w:firstLine="600"/>
        <w:textAlignment w:val="auto"/>
        <w:outlineLvl w:val="9"/>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见附件3。</w:t>
      </w:r>
    </w:p>
    <w:p>
      <w:pPr>
        <w:pStyle w:val="12"/>
        <w:keepNext w:val="0"/>
        <w:keepLines w:val="0"/>
        <w:pageBreakBefore w:val="0"/>
        <w:widowControl w:val="0"/>
        <w:kinsoku/>
        <w:wordWrap/>
        <w:overflowPunct/>
        <w:topLinePunct w:val="0"/>
        <w:bidi w:val="0"/>
        <w:snapToGrid/>
        <w:spacing w:line="560" w:lineRule="exact"/>
        <w:ind w:firstLine="600"/>
        <w:textAlignment w:val="auto"/>
        <w:outlineLvl w:val="9"/>
        <w:rPr>
          <w:rFonts w:ascii="楷体_GB2312" w:hAnsi="仿宋_GB2312" w:eastAsia="楷体_GB2312" w:cs="仿宋_GB2312"/>
          <w:color w:val="auto"/>
          <w:sz w:val="30"/>
          <w:szCs w:val="30"/>
        </w:rPr>
      </w:pPr>
      <w:r>
        <w:rPr>
          <w:rFonts w:hint="eastAsia" w:ascii="楷体_GB2312" w:hAnsi="楷体_GB2312" w:eastAsia="楷体_GB2312" w:cs="楷体_GB2312"/>
          <w:sz w:val="30"/>
          <w:szCs w:val="30"/>
          <w:lang w:val="zh-TW" w:eastAsia="zh-TW"/>
        </w:rPr>
        <w:t>（</w:t>
      </w:r>
      <w:r>
        <w:rPr>
          <w:rFonts w:hint="eastAsia" w:ascii="楷体_GB2312" w:hAnsi="楷体_GB2312" w:eastAsia="楷体_GB2312" w:cs="楷体_GB2312"/>
          <w:sz w:val="30"/>
          <w:szCs w:val="30"/>
          <w:lang w:val="zh-TW"/>
        </w:rPr>
        <w:t>三</w:t>
      </w:r>
      <w:r>
        <w:rPr>
          <w:rFonts w:hint="eastAsia" w:ascii="楷体_GB2312" w:hAnsi="楷体_GB2312" w:eastAsia="楷体_GB2312" w:cs="楷体_GB2312"/>
          <w:sz w:val="30"/>
          <w:szCs w:val="30"/>
          <w:lang w:val="zh-TW" w:eastAsia="zh-TW"/>
        </w:rPr>
        <w:t>）</w:t>
      </w:r>
      <w:r>
        <w:rPr>
          <w:rFonts w:hint="eastAsia" w:ascii="楷体_GB2312" w:hAnsi="仿宋_GB2312" w:eastAsia="楷体_GB2312" w:cs="仿宋_GB2312"/>
          <w:color w:val="auto"/>
          <w:sz w:val="30"/>
          <w:szCs w:val="30"/>
        </w:rPr>
        <w:t>竞赛流程图</w:t>
      </w:r>
    </w:p>
    <w:p>
      <w:pPr>
        <w:pStyle w:val="12"/>
        <w:spacing w:line="360" w:lineRule="auto"/>
        <w:jc w:val="center"/>
        <w:rPr>
          <w:rFonts w:ascii="楷体_GB2312" w:hAnsi="楷体_GB2312" w:eastAsia="楷体_GB2312" w:cs="楷体_GB2312"/>
          <w:sz w:val="30"/>
          <w:szCs w:val="30"/>
          <w:lang w:val="zh-TW"/>
        </w:rPr>
      </w:pPr>
      <w:r>
        <w:rPr>
          <w:rFonts w:hint="eastAsia" w:ascii="楷体_GB2312" w:hAnsi="楷体_GB2312" w:eastAsia="楷体_GB2312" w:cs="楷体_GB2312"/>
          <w:sz w:val="30"/>
          <w:szCs w:val="30"/>
        </w:rPr>
        <w:drawing>
          <wp:inline distT="0" distB="0" distL="0" distR="0">
            <wp:extent cx="2546985" cy="2443480"/>
            <wp:effectExtent l="0" t="0" r="571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extLst>
                        <a:ext uri="{28A0092B-C50C-407E-A947-70E740481C1C}">
                          <a14:useLocalDpi xmlns:a14="http://schemas.microsoft.com/office/drawing/2010/main" val="0"/>
                        </a:ext>
                      </a:extLst>
                    </a:blip>
                    <a:srcRect l="22499" t="6318" r="35084" b="10599"/>
                    <a:stretch>
                      <a:fillRect/>
                    </a:stretch>
                  </pic:blipFill>
                  <pic:spPr>
                    <a:xfrm>
                      <a:off x="0" y="0"/>
                      <a:ext cx="2546985" cy="2443480"/>
                    </a:xfrm>
                    <a:prstGeom prst="rect">
                      <a:avLst/>
                    </a:prstGeom>
                    <a:ln>
                      <a:noFill/>
                    </a:ln>
                  </pic:spPr>
                </pic:pic>
              </a:graphicData>
            </a:graphic>
          </wp:inline>
        </w:drawing>
      </w:r>
    </w:p>
    <w:p>
      <w:pPr>
        <w:widowControl/>
        <w:adjustRightInd w:val="0"/>
        <w:snapToGrid w:val="0"/>
        <w:spacing w:before="156" w:beforeLines="50" w:line="360" w:lineRule="auto"/>
        <w:jc w:val="left"/>
        <w:rPr>
          <w:rFonts w:ascii="楷体_GB2312" w:hAnsi="楷体_GB2312" w:eastAsia="楷体_GB2312" w:cs="楷体_GB2312"/>
          <w:sz w:val="24"/>
          <w:szCs w:val="24"/>
        </w:rPr>
      </w:pPr>
      <w:r>
        <w:rPr>
          <w:rFonts w:hint="eastAsia" w:ascii="仿宋_GB2312" w:hAnsi="宋体" w:eastAsia="仿宋_GB2312" w:cs="宋体"/>
          <w:kern w:val="0"/>
          <w:sz w:val="24"/>
          <w:szCs w:val="24"/>
        </w:rPr>
        <w:t>注：参赛选手必须提前30分钟凭参赛证和身份证到指定地点参加检录和抽签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黑体" w:hAnsi="黑体" w:eastAsia="黑体" w:cs="黑体"/>
          <w:sz w:val="30"/>
          <w:szCs w:val="30"/>
          <w:lang w:val="zh-TW"/>
        </w:rPr>
      </w:pPr>
      <w:r>
        <w:rPr>
          <w:rFonts w:hint="eastAsia" w:ascii="黑体" w:hAnsi="黑体" w:eastAsia="黑体" w:cs="黑体"/>
          <w:sz w:val="30"/>
          <w:szCs w:val="30"/>
          <w:lang w:val="zh-TW"/>
        </w:rPr>
        <w:t>十一、竞赛环境</w:t>
      </w:r>
    </w:p>
    <w:p>
      <w:pPr>
        <w:pStyle w:val="12"/>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楷体_GB2312" w:hAnsi="仿宋_GB2312" w:eastAsia="楷体_GB2312" w:cs="仿宋_GB2312"/>
          <w:color w:val="auto"/>
          <w:sz w:val="30"/>
          <w:szCs w:val="30"/>
        </w:rPr>
      </w:pPr>
      <w:r>
        <w:rPr>
          <w:rFonts w:hint="eastAsia" w:ascii="楷体_GB2312" w:hAnsi="仿宋_GB2312" w:eastAsia="楷体_GB2312" w:cs="仿宋_GB2312"/>
          <w:color w:val="auto"/>
          <w:sz w:val="30"/>
          <w:szCs w:val="30"/>
        </w:rPr>
        <w:t>（一）竞赛场地及其环境设施要求</w:t>
      </w:r>
    </w:p>
    <w:p>
      <w:pPr>
        <w:pStyle w:val="12"/>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rPr>
        <w:t>比赛场地：满足每个选手有单独的实验工位，每个选手具有独立的实验装置、设备及试剂，每个工位具有独立的水、电、通风设备。各项准备工作应符合疫情防控要求，比赛过程采取全程实时监控。</w:t>
      </w:r>
    </w:p>
    <w:p>
      <w:pPr>
        <w:pStyle w:val="12"/>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2.</w:t>
      </w:r>
      <w:r>
        <w:rPr>
          <w:rFonts w:hint="eastAsia" w:ascii="仿宋_GB2312" w:hAnsi="仿宋_GB2312" w:eastAsia="仿宋_GB2312" w:cs="仿宋_GB2312"/>
          <w:color w:val="auto"/>
          <w:sz w:val="30"/>
          <w:szCs w:val="30"/>
        </w:rPr>
        <w:t>辅助场所：竞赛须设置检录隔离区、独立阅卷室等辅助场所。</w:t>
      </w:r>
    </w:p>
    <w:p>
      <w:pPr>
        <w:pStyle w:val="12"/>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3.</w:t>
      </w:r>
      <w:r>
        <w:rPr>
          <w:rFonts w:hint="eastAsia" w:ascii="仿宋_GB2312" w:hAnsi="仿宋_GB2312" w:eastAsia="仿宋_GB2312" w:cs="仿宋_GB2312"/>
          <w:color w:val="auto"/>
          <w:sz w:val="30"/>
          <w:szCs w:val="30"/>
        </w:rPr>
        <w:t>医疗保障：赛场设医疗服务站，比赛时安排救护人员现场服务。</w:t>
      </w:r>
    </w:p>
    <w:p>
      <w:pPr>
        <w:pStyle w:val="12"/>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4.</w:t>
      </w:r>
      <w:r>
        <w:rPr>
          <w:rFonts w:hint="eastAsia" w:ascii="仿宋_GB2312" w:hAnsi="仿宋_GB2312" w:eastAsia="仿宋_GB2312" w:cs="仿宋_GB2312"/>
          <w:color w:val="auto"/>
          <w:sz w:val="30"/>
          <w:szCs w:val="30"/>
        </w:rPr>
        <w:t>安全防护：赛位配有安全警示标语、安全操作规程、安全提示、护目镜、口罩等安全保护用品；赛场设有实训室安全管理规定、应急处理规定、化学药品使用规定，洗眼器、消防沙、消防毯、医护用品等消防和个人防护用品；校园内实训楼设有紧急疏散指示、安排专职疏散人员。</w:t>
      </w:r>
    </w:p>
    <w:p>
      <w:pPr>
        <w:pStyle w:val="12"/>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楷体_GB2312" w:hAnsi="仿宋_GB2312" w:eastAsia="楷体_GB2312" w:cs="仿宋_GB2312"/>
          <w:sz w:val="30"/>
          <w:szCs w:val="30"/>
        </w:rPr>
      </w:pPr>
      <w:r>
        <w:rPr>
          <w:rFonts w:hint="eastAsia" w:ascii="楷体_GB2312" w:hAnsi="仿宋_GB2312" w:eastAsia="楷体_GB2312" w:cs="仿宋_GB2312"/>
          <w:sz w:val="30"/>
          <w:szCs w:val="30"/>
        </w:rPr>
        <w:t>（二）仪器设备及实验设施要求</w:t>
      </w:r>
    </w:p>
    <w:p>
      <w:pPr>
        <w:pStyle w:val="12"/>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根据化学实验技术核心技能的要求以及命题的需要，比赛设备应包括实验室常规使用玻璃器皿与工具、反应与蒸馏装置、常规检测仪器与设备等内容。</w:t>
      </w:r>
    </w:p>
    <w:p>
      <w:pPr>
        <w:pStyle w:val="12"/>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rPr>
        <w:t>实验中所需常规防护用品（口罩、护目镜、头帽、手套）、计量器具（滴定管、移液管、吸量管、容量瓶、比色皿）和</w:t>
      </w:r>
      <w:r>
        <w:rPr>
          <w:rFonts w:ascii="仿宋_GB2312" w:hAnsi="仿宋_GB2312" w:eastAsia="仿宋_GB2312" w:cs="仿宋_GB2312"/>
          <w:sz w:val="30"/>
          <w:szCs w:val="30"/>
        </w:rPr>
        <w:t>产品合成所用的</w:t>
      </w:r>
      <w:r>
        <w:rPr>
          <w:rFonts w:hint="eastAsia" w:ascii="仿宋_GB2312" w:hAnsi="仿宋_GB2312" w:eastAsia="仿宋_GB2312" w:cs="仿宋_GB2312"/>
          <w:sz w:val="30"/>
          <w:szCs w:val="30"/>
        </w:rPr>
        <w:t>玻璃器皿、电热套、升降台由选手自带，不得携带移液枪；其它仪器、设备均由赛场提供。</w:t>
      </w:r>
    </w:p>
    <w:p>
      <w:pPr>
        <w:pStyle w:val="12"/>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w:t>
      </w:r>
      <w:r>
        <w:rPr>
          <w:rFonts w:hint="eastAsia" w:ascii="仿宋_GB2312" w:hAnsi="仿宋_GB2312" w:eastAsia="仿宋_GB2312" w:cs="仿宋_GB2312"/>
          <w:sz w:val="30"/>
          <w:szCs w:val="30"/>
        </w:rPr>
        <w:t>每个模块的仪器设备分已知设备和未知设备。已知设备的主要配置清单、分析测试仪器的规格要求详见“竞赛样题”。</w:t>
      </w:r>
    </w:p>
    <w:p>
      <w:pPr>
        <w:pStyle w:val="12"/>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仿宋_GB2312" w:hAnsi="仿宋_GB2312" w:eastAsia="仿宋_GB2312" w:cs="仿宋_GB2312"/>
          <w:sz w:val="30"/>
          <w:szCs w:val="30"/>
        </w:rPr>
      </w:pPr>
      <w:r>
        <w:rPr>
          <w:rFonts w:ascii="仿宋_GB2312" w:hAnsi="仿宋_GB2312" w:eastAsia="仿宋_GB2312" w:cs="仿宋_GB2312"/>
          <w:sz w:val="30"/>
          <w:szCs w:val="30"/>
        </w:rPr>
        <w:t>3.</w:t>
      </w:r>
      <w:r>
        <w:rPr>
          <w:rFonts w:hint="eastAsia" w:ascii="仿宋_GB2312" w:hAnsi="仿宋_GB2312" w:eastAsia="仿宋_GB2312" w:cs="仿宋_GB2312"/>
          <w:sz w:val="30"/>
          <w:szCs w:val="30"/>
        </w:rPr>
        <w:t>赛位主要设施</w:t>
      </w:r>
    </w:p>
    <w:p>
      <w:pPr>
        <w:pStyle w:val="12"/>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根据竞赛需要，每个比赛赛位应配置如下设施：比赛仪器设备</w:t>
      </w:r>
      <w:r>
        <w:rPr>
          <w:rFonts w:ascii="仿宋_GB2312" w:hAnsi="仿宋_GB2312" w:eastAsia="仿宋_GB2312" w:cs="仿宋_GB2312"/>
          <w:sz w:val="30"/>
          <w:szCs w:val="30"/>
        </w:rPr>
        <w:t xml:space="preserve">1 </w:t>
      </w:r>
      <w:r>
        <w:rPr>
          <w:rFonts w:hint="eastAsia" w:ascii="仿宋_GB2312" w:hAnsi="仿宋_GB2312" w:eastAsia="仿宋_GB2312" w:cs="仿宋_GB2312"/>
          <w:sz w:val="30"/>
          <w:szCs w:val="30"/>
        </w:rPr>
        <w:t>套、实验台</w:t>
      </w:r>
      <w:r>
        <w:rPr>
          <w:rFonts w:ascii="仿宋_GB2312" w:hAnsi="仿宋_GB2312" w:eastAsia="仿宋_GB2312" w:cs="仿宋_GB2312"/>
          <w:sz w:val="30"/>
          <w:szCs w:val="30"/>
        </w:rPr>
        <w:t xml:space="preserve">1 </w:t>
      </w:r>
      <w:r>
        <w:rPr>
          <w:rFonts w:hint="eastAsia" w:ascii="仿宋_GB2312" w:hAnsi="仿宋_GB2312" w:eastAsia="仿宋_GB2312" w:cs="仿宋_GB2312"/>
          <w:sz w:val="30"/>
          <w:szCs w:val="30"/>
        </w:rPr>
        <w:t>张、座椅</w:t>
      </w:r>
      <w:r>
        <w:rPr>
          <w:rFonts w:ascii="仿宋_GB2312" w:hAnsi="仿宋_GB2312" w:eastAsia="仿宋_GB2312" w:cs="仿宋_GB2312"/>
          <w:sz w:val="30"/>
          <w:szCs w:val="30"/>
        </w:rPr>
        <w:t xml:space="preserve">1 </w:t>
      </w:r>
      <w:r>
        <w:rPr>
          <w:rFonts w:hint="eastAsia" w:ascii="仿宋_GB2312" w:hAnsi="仿宋_GB2312" w:eastAsia="仿宋_GB2312" w:cs="仿宋_GB2312"/>
          <w:sz w:val="30"/>
          <w:szCs w:val="30"/>
        </w:rPr>
        <w:t>把、废液杯</w:t>
      </w:r>
      <w:r>
        <w:rPr>
          <w:rFonts w:ascii="仿宋_GB2312" w:hAnsi="仿宋_GB2312" w:eastAsia="仿宋_GB2312" w:cs="仿宋_GB2312"/>
          <w:sz w:val="30"/>
          <w:szCs w:val="30"/>
        </w:rPr>
        <w:t xml:space="preserve">1 </w:t>
      </w:r>
      <w:r>
        <w:rPr>
          <w:rFonts w:hint="eastAsia" w:ascii="仿宋_GB2312" w:hAnsi="仿宋_GB2312" w:eastAsia="仿宋_GB2312" w:cs="仿宋_GB2312"/>
          <w:sz w:val="30"/>
          <w:szCs w:val="30"/>
        </w:rPr>
        <w:t>只、垃圾桶</w:t>
      </w:r>
      <w:r>
        <w:rPr>
          <w:rFonts w:ascii="仿宋_GB2312" w:hAnsi="仿宋_GB2312" w:eastAsia="仿宋_GB2312" w:cs="仿宋_GB2312"/>
          <w:sz w:val="30"/>
          <w:szCs w:val="30"/>
        </w:rPr>
        <w:t xml:space="preserve">1 </w:t>
      </w:r>
      <w:r>
        <w:rPr>
          <w:rFonts w:hint="eastAsia" w:ascii="仿宋_GB2312" w:hAnsi="仿宋_GB2312" w:eastAsia="仿宋_GB2312" w:cs="仿宋_GB2312"/>
          <w:sz w:val="30"/>
          <w:szCs w:val="30"/>
        </w:rPr>
        <w:t>个、计算器</w:t>
      </w:r>
      <w:r>
        <w:rPr>
          <w:rFonts w:ascii="仿宋_GB2312" w:hAnsi="仿宋_GB2312" w:eastAsia="仿宋_GB2312" w:cs="仿宋_GB2312"/>
          <w:sz w:val="30"/>
          <w:szCs w:val="30"/>
        </w:rPr>
        <w:t xml:space="preserve">1 </w:t>
      </w:r>
      <w:r>
        <w:rPr>
          <w:rFonts w:hint="eastAsia" w:ascii="仿宋_GB2312" w:hAnsi="仿宋_GB2312" w:eastAsia="仿宋_GB2312" w:cs="仿宋_GB2312"/>
          <w:sz w:val="30"/>
          <w:szCs w:val="30"/>
        </w:rPr>
        <w:t>台、记号笔</w:t>
      </w:r>
      <w:r>
        <w:rPr>
          <w:rFonts w:ascii="仿宋_GB2312" w:hAnsi="仿宋_GB2312" w:eastAsia="仿宋_GB2312" w:cs="仿宋_GB2312"/>
          <w:sz w:val="30"/>
          <w:szCs w:val="30"/>
        </w:rPr>
        <w:t xml:space="preserve">1 </w:t>
      </w:r>
      <w:r>
        <w:rPr>
          <w:rFonts w:hint="eastAsia" w:ascii="仿宋_GB2312" w:hAnsi="仿宋_GB2312" w:eastAsia="仿宋_GB2312" w:cs="仿宋_GB2312"/>
          <w:sz w:val="30"/>
          <w:szCs w:val="30"/>
        </w:rPr>
        <w:t>支、剪刀</w:t>
      </w:r>
      <w:r>
        <w:rPr>
          <w:rFonts w:ascii="仿宋_GB2312" w:hAnsi="仿宋_GB2312" w:eastAsia="仿宋_GB2312" w:cs="仿宋_GB2312"/>
          <w:sz w:val="30"/>
          <w:szCs w:val="30"/>
        </w:rPr>
        <w:t xml:space="preserve">1 </w:t>
      </w:r>
      <w:r>
        <w:rPr>
          <w:rFonts w:hint="eastAsia" w:ascii="仿宋_GB2312" w:hAnsi="仿宋_GB2312" w:eastAsia="仿宋_GB2312" w:cs="仿宋_GB2312"/>
          <w:sz w:val="30"/>
          <w:szCs w:val="30"/>
        </w:rPr>
        <w:t>把、实验服</w:t>
      </w:r>
      <w:r>
        <w:rPr>
          <w:rFonts w:ascii="仿宋_GB2312" w:hAnsi="仿宋_GB2312" w:eastAsia="仿宋_GB2312" w:cs="仿宋_GB2312"/>
          <w:sz w:val="30"/>
          <w:szCs w:val="30"/>
        </w:rPr>
        <w:t xml:space="preserve">1 </w:t>
      </w:r>
      <w:r>
        <w:rPr>
          <w:rFonts w:hint="eastAsia" w:ascii="仿宋_GB2312" w:hAnsi="仿宋_GB2312" w:eastAsia="仿宋_GB2312" w:cs="仿宋_GB2312"/>
          <w:sz w:val="30"/>
          <w:szCs w:val="30"/>
        </w:rPr>
        <w:t>件、标签纸</w:t>
      </w:r>
      <w:r>
        <w:rPr>
          <w:rFonts w:ascii="仿宋_GB2312" w:hAnsi="仿宋_GB2312" w:eastAsia="仿宋_GB2312" w:cs="仿宋_GB2312"/>
          <w:sz w:val="30"/>
          <w:szCs w:val="30"/>
        </w:rPr>
        <w:t xml:space="preserve">1 </w:t>
      </w:r>
      <w:r>
        <w:rPr>
          <w:rFonts w:hint="eastAsia" w:ascii="仿宋_GB2312" w:hAnsi="仿宋_GB2312" w:eastAsia="仿宋_GB2312" w:cs="仿宋_GB2312"/>
          <w:sz w:val="30"/>
          <w:szCs w:val="30"/>
        </w:rPr>
        <w:t>张、实验服</w:t>
      </w:r>
      <w:r>
        <w:rPr>
          <w:rFonts w:ascii="仿宋_GB2312" w:hAnsi="仿宋_GB2312" w:eastAsia="仿宋_GB2312" w:cs="仿宋_GB2312"/>
          <w:sz w:val="30"/>
          <w:szCs w:val="30"/>
        </w:rPr>
        <w:t xml:space="preserve">1 </w:t>
      </w:r>
      <w:r>
        <w:rPr>
          <w:rFonts w:hint="eastAsia" w:ascii="仿宋_GB2312" w:hAnsi="仿宋_GB2312" w:eastAsia="仿宋_GB2312" w:cs="仿宋_GB2312"/>
          <w:sz w:val="30"/>
          <w:szCs w:val="30"/>
        </w:rPr>
        <w:t>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黑体" w:hAnsi="黑体" w:eastAsia="黑体" w:cs="黑体"/>
          <w:sz w:val="30"/>
          <w:szCs w:val="30"/>
          <w:lang w:val="zh-TW"/>
        </w:rPr>
      </w:pPr>
      <w:r>
        <w:rPr>
          <w:rFonts w:hint="eastAsia" w:ascii="黑体" w:hAnsi="黑体" w:eastAsia="黑体" w:cs="黑体"/>
          <w:sz w:val="30"/>
          <w:szCs w:val="30"/>
          <w:lang w:val="zh-TW"/>
        </w:rPr>
        <w:t>十二、技术规范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000000"/>
          <w:sz w:val="30"/>
          <w:szCs w:val="30"/>
          <w:u w:color="000000"/>
        </w:rPr>
      </w:pPr>
      <w:r>
        <w:rPr>
          <w:rFonts w:hint="eastAsia" w:ascii="仿宋_GB2312" w:hAnsi="仿宋_GB2312" w:eastAsia="仿宋_GB2312" w:cs="仿宋_GB2312"/>
          <w:color w:val="000000"/>
          <w:sz w:val="30"/>
          <w:szCs w:val="30"/>
          <w:u w:color="000000"/>
        </w:rPr>
        <w:t>竞赛项目依据下列行业、职业技术标准：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000000"/>
          <w:sz w:val="30"/>
          <w:szCs w:val="30"/>
          <w:u w:color="000000"/>
        </w:rPr>
      </w:pPr>
      <w:r>
        <w:rPr>
          <w:rFonts w:hint="eastAsia" w:ascii="仿宋_GB2312" w:hAnsi="仿宋_GB2312" w:eastAsia="仿宋_GB2312" w:cs="仿宋_GB2312"/>
          <w:color w:val="000000"/>
          <w:sz w:val="30"/>
          <w:szCs w:val="30"/>
          <w:u w:color="000000"/>
        </w:rPr>
        <w:t>• GB/T 601-2016 化学试剂标准滴定溶液的制备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000000"/>
          <w:sz w:val="30"/>
          <w:szCs w:val="30"/>
          <w:u w:color="000000"/>
        </w:rPr>
      </w:pPr>
      <w:r>
        <w:rPr>
          <w:rFonts w:hint="eastAsia" w:ascii="仿宋_GB2312" w:hAnsi="仿宋_GB2312" w:eastAsia="仿宋_GB2312" w:cs="仿宋_GB2312"/>
          <w:color w:val="000000"/>
          <w:sz w:val="30"/>
          <w:szCs w:val="30"/>
          <w:u w:color="000000"/>
        </w:rPr>
        <w:t>• JJG 196-2006 常用玻璃量器检定规程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000000"/>
          <w:sz w:val="30"/>
          <w:szCs w:val="30"/>
          <w:u w:color="000000"/>
        </w:rPr>
      </w:pPr>
      <w:r>
        <w:rPr>
          <w:rFonts w:hint="eastAsia" w:ascii="仿宋_GB2312" w:hAnsi="仿宋_GB2312" w:eastAsia="仿宋_GB2312" w:cs="仿宋_GB2312"/>
          <w:color w:val="000000"/>
          <w:sz w:val="30"/>
          <w:szCs w:val="30"/>
          <w:u w:color="000000"/>
        </w:rPr>
        <w:t>• GB/T 603-2002 试验方法中所用制剂及制品的制备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000000"/>
          <w:sz w:val="30"/>
          <w:szCs w:val="30"/>
          <w:u w:color="000000"/>
        </w:rPr>
      </w:pPr>
      <w:r>
        <w:rPr>
          <w:rFonts w:hint="eastAsia" w:ascii="仿宋_GB2312" w:hAnsi="仿宋_GB2312" w:eastAsia="仿宋_GB2312" w:cs="仿宋_GB2312"/>
          <w:color w:val="000000"/>
          <w:sz w:val="30"/>
          <w:szCs w:val="30"/>
          <w:u w:color="000000"/>
        </w:rPr>
        <w:t>• HG/T 2631-2005 化学试剂七水合硫酸钴（硫酸钴）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000000"/>
          <w:sz w:val="30"/>
          <w:szCs w:val="30"/>
          <w:u w:color="000000"/>
        </w:rPr>
      </w:pPr>
      <w:r>
        <w:rPr>
          <w:rFonts w:hint="eastAsia" w:ascii="仿宋_GB2312" w:hAnsi="仿宋_GB2312" w:eastAsia="仿宋_GB2312" w:cs="仿宋_GB2312"/>
          <w:color w:val="000000"/>
          <w:sz w:val="30"/>
          <w:szCs w:val="30"/>
          <w:u w:color="000000"/>
        </w:rPr>
        <w:t>• HG/T 4020-2020 化学试剂六水合硫酸镍（硫酸镍）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000000"/>
          <w:sz w:val="30"/>
          <w:szCs w:val="30"/>
          <w:u w:color="000000"/>
        </w:rPr>
      </w:pPr>
      <w:r>
        <w:rPr>
          <w:rFonts w:hint="eastAsia" w:ascii="仿宋_GB2312" w:hAnsi="仿宋_GB2312" w:eastAsia="仿宋_GB2312" w:cs="仿宋_GB2312"/>
          <w:color w:val="000000"/>
          <w:sz w:val="30"/>
          <w:szCs w:val="30"/>
          <w:u w:color="000000"/>
        </w:rPr>
        <w:t>• GB/T 3049-2006 工业用化工产品铁含量测定的通用方法1,10-菲啰啉分光光度法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000000"/>
          <w:sz w:val="30"/>
          <w:szCs w:val="30"/>
          <w:u w:color="000000"/>
        </w:rPr>
      </w:pPr>
      <w:r>
        <w:rPr>
          <w:rFonts w:hint="eastAsia" w:ascii="仿宋_GB2312" w:hAnsi="仿宋_GB2312" w:eastAsia="仿宋_GB2312" w:cs="仿宋_GB2312"/>
          <w:color w:val="000000"/>
          <w:sz w:val="30"/>
          <w:szCs w:val="30"/>
          <w:u w:color="000000"/>
        </w:rPr>
        <w:t>• GB/T 6150.16-2009 钨精矿化学分析方法铁量的测定磺基水杨酸分光光度法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000000"/>
          <w:sz w:val="30"/>
          <w:szCs w:val="30"/>
          <w:u w:color="000000"/>
        </w:rPr>
      </w:pPr>
      <w:r>
        <w:rPr>
          <w:rFonts w:hint="eastAsia" w:ascii="仿宋_GB2312" w:hAnsi="仿宋_GB2312" w:eastAsia="仿宋_GB2312" w:cs="仿宋_GB2312"/>
          <w:color w:val="000000"/>
          <w:sz w:val="30"/>
          <w:szCs w:val="30"/>
          <w:u w:color="000000"/>
        </w:rPr>
        <w:t>• YS/T 281.1-2011 钴化学分析方法第1部分：铁量的测定磺基水杨酸分光光度法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000000"/>
          <w:sz w:val="30"/>
          <w:szCs w:val="30"/>
          <w:u w:color="000000"/>
        </w:rPr>
      </w:pPr>
      <w:r>
        <w:rPr>
          <w:rFonts w:hint="eastAsia" w:ascii="仿宋_GB2312" w:hAnsi="仿宋_GB2312" w:eastAsia="仿宋_GB2312" w:cs="仿宋_GB2312"/>
          <w:color w:val="000000"/>
          <w:sz w:val="30"/>
          <w:szCs w:val="30"/>
          <w:u w:color="000000"/>
        </w:rPr>
        <w:t>• GB/T 12717-2007 工业用乙酸酯类试验方法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黑体" w:hAnsi="黑体" w:eastAsia="黑体" w:cs="黑体"/>
          <w:sz w:val="30"/>
          <w:szCs w:val="30"/>
          <w:lang w:val="zh-TW"/>
        </w:rPr>
      </w:pPr>
      <w:r>
        <w:rPr>
          <w:rFonts w:hint="eastAsia" w:ascii="黑体" w:hAnsi="黑体" w:eastAsia="黑体" w:cs="黑体"/>
          <w:sz w:val="30"/>
          <w:szCs w:val="30"/>
          <w:lang w:val="zh-TW"/>
        </w:rPr>
        <w:t>十三、技术平台</w:t>
      </w:r>
    </w:p>
    <w:p>
      <w:pPr>
        <w:keepNext w:val="0"/>
        <w:keepLines w:val="0"/>
        <w:pageBreakBefore w:val="0"/>
        <w:widowControl w:val="0"/>
        <w:tabs>
          <w:tab w:val="left" w:pos="6120"/>
        </w:tabs>
        <w:kinsoku/>
        <w:wordWrap/>
        <w:overflowPunct/>
        <w:topLinePunct w:val="0"/>
        <w:autoSpaceDE/>
        <w:autoSpaceDN/>
        <w:bidi w:val="0"/>
        <w:adjustRightInd/>
        <w:snapToGrid/>
        <w:spacing w:line="560" w:lineRule="exact"/>
        <w:ind w:firstLine="600" w:firstLineChars="200"/>
        <w:textAlignment w:val="auto"/>
        <w:outlineLvl w:val="1"/>
        <w:rPr>
          <w:rFonts w:hint="eastAsia" w:ascii="仿宋_GB2312" w:hAnsi="仿宋_GB2312" w:eastAsia="仿宋_GB2312" w:cs="仿宋_GB2312"/>
          <w:color w:val="000000"/>
          <w:sz w:val="30"/>
          <w:szCs w:val="30"/>
          <w:u w:color="000000"/>
          <w:lang w:eastAsia="zh-TW"/>
        </w:rPr>
      </w:pPr>
      <w:r>
        <w:rPr>
          <w:rFonts w:hint="eastAsia" w:ascii="仿宋_GB2312" w:hAnsi="仿宋_GB2312" w:eastAsia="仿宋_GB2312" w:cs="仿宋_GB2312"/>
          <w:color w:val="000000"/>
          <w:sz w:val="30"/>
          <w:szCs w:val="30"/>
          <w:u w:color="000000"/>
        </w:rPr>
        <w:t>（一）本赛项的技术平台主要指竞赛所用的玻璃器皿和分析设备。</w:t>
      </w:r>
      <w:r>
        <w:rPr>
          <w:rFonts w:hint="eastAsia" w:ascii="仿宋_GB2312" w:hAnsi="仿宋_GB2312" w:eastAsia="仿宋_GB2312" w:cs="仿宋_GB2312"/>
          <w:color w:val="000000"/>
          <w:sz w:val="30"/>
          <w:szCs w:val="30"/>
          <w:u w:color="000000"/>
          <w:lang w:val="zh-TW"/>
        </w:rPr>
        <w:t>具体参见“竞赛样题”内容。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000000"/>
          <w:sz w:val="30"/>
          <w:szCs w:val="30"/>
          <w:u w:color="000000"/>
        </w:rPr>
      </w:pPr>
      <w:r>
        <w:rPr>
          <w:rFonts w:hint="eastAsia" w:ascii="仿宋_GB2312" w:hAnsi="仿宋_GB2312" w:eastAsia="仿宋_GB2312" w:cs="仿宋_GB2312"/>
          <w:color w:val="000000"/>
          <w:sz w:val="30"/>
          <w:szCs w:val="30"/>
          <w:u w:color="000000"/>
        </w:rPr>
        <w:t>（二）玻璃量器按照国家规范和行业标准进行采购，玻璃器皿符合JJG196-2006 常用玻璃量器检定规程。设备符合国家质量监督局相关仪器检测标准，各项指标均符合或高于国家标准。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000000"/>
          <w:sz w:val="30"/>
          <w:szCs w:val="30"/>
          <w:u w:color="000000"/>
        </w:rPr>
      </w:pPr>
      <w:r>
        <w:rPr>
          <w:rFonts w:hint="eastAsia" w:ascii="仿宋_GB2312" w:hAnsi="仿宋_GB2312" w:eastAsia="仿宋_GB2312" w:cs="仿宋_GB2312"/>
          <w:color w:val="000000"/>
          <w:sz w:val="30"/>
          <w:szCs w:val="30"/>
          <w:u w:color="000000"/>
        </w:rPr>
        <w:t>（三）分析设备最低台套数和规格要求（台套数按28 支参赛队进行测算）</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000000"/>
          <w:sz w:val="30"/>
          <w:szCs w:val="30"/>
          <w:u w:color="000000"/>
        </w:rPr>
      </w:pPr>
      <w:r>
        <w:rPr>
          <w:rFonts w:hint="eastAsia" w:ascii="仿宋_GB2312" w:hAnsi="仿宋_GB2312" w:eastAsia="仿宋_GB2312" w:cs="仿宋_GB2312"/>
          <w:color w:val="000000"/>
          <w:sz w:val="30"/>
          <w:szCs w:val="30"/>
          <w:u w:color="000000"/>
        </w:rPr>
        <w:t>• 分析天平，精度0.0001g，16台（含2台备用）；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000000"/>
          <w:sz w:val="30"/>
          <w:szCs w:val="30"/>
          <w:u w:color="000000"/>
        </w:rPr>
      </w:pPr>
      <w:r>
        <w:rPr>
          <w:rFonts w:hint="eastAsia" w:ascii="仿宋_GB2312" w:hAnsi="仿宋_GB2312" w:eastAsia="仿宋_GB2312" w:cs="仿宋_GB2312"/>
          <w:color w:val="000000"/>
          <w:sz w:val="30"/>
          <w:szCs w:val="30"/>
          <w:u w:color="000000"/>
        </w:rPr>
        <w:t>• 可联机操作的紫外-可见分光光度计，14套（含2套备用）；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000000"/>
          <w:sz w:val="30"/>
          <w:szCs w:val="30"/>
          <w:u w:color="000000"/>
        </w:rPr>
      </w:pPr>
      <w:r>
        <w:rPr>
          <w:rFonts w:hint="eastAsia" w:ascii="仿宋_GB2312" w:hAnsi="仿宋_GB2312" w:eastAsia="仿宋_GB2312" w:cs="仿宋_GB2312"/>
          <w:color w:val="000000"/>
          <w:sz w:val="30"/>
          <w:szCs w:val="30"/>
          <w:u w:color="000000"/>
        </w:rPr>
        <w:t>• 气相色谱仪，配石英毛细管色谱柱，4套。</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000000"/>
          <w:sz w:val="30"/>
          <w:szCs w:val="30"/>
          <w:u w:color="000000"/>
        </w:rPr>
      </w:pPr>
      <w:r>
        <w:rPr>
          <w:rFonts w:hint="eastAsia" w:ascii="仿宋_GB2312" w:hAnsi="仿宋_GB2312" w:eastAsia="仿宋_GB2312" w:cs="仿宋_GB2312"/>
          <w:color w:val="000000"/>
          <w:sz w:val="30"/>
          <w:szCs w:val="30"/>
          <w:u w:color="000000"/>
        </w:rPr>
        <w:t xml:space="preserve">（四）气相色谱虚拟实验室（仿真考核平台）：该平台由北京东方仿真公司设计开发，按照国家对行业的规范和标准设计，在技术上“先进成熟、稳定高效、安全可靠”。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黑体" w:hAnsi="黑体" w:eastAsia="黑体" w:cs="黑体"/>
          <w:sz w:val="30"/>
          <w:szCs w:val="30"/>
          <w:lang w:val="zh-TW"/>
        </w:rPr>
      </w:pPr>
      <w:r>
        <w:rPr>
          <w:rFonts w:hint="eastAsia" w:ascii="黑体" w:hAnsi="黑体" w:eastAsia="黑体" w:cs="黑体"/>
          <w:sz w:val="30"/>
          <w:szCs w:val="30"/>
          <w:lang w:val="zh-TW"/>
        </w:rPr>
        <w:t>十四、成绩评定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楷体_GB2312" w:hAnsi="仿宋_GB2312" w:eastAsia="楷体_GB2312" w:cs="仿宋_GB2312"/>
          <w:color w:val="000000"/>
          <w:sz w:val="30"/>
          <w:szCs w:val="30"/>
          <w:u w:color="000000"/>
        </w:rPr>
      </w:pPr>
      <w:r>
        <w:rPr>
          <w:rFonts w:hint="eastAsia" w:ascii="楷体_GB2312" w:hAnsi="仿宋_GB2312" w:eastAsia="楷体_GB2312" w:cs="仿宋_GB2312"/>
          <w:color w:val="000000"/>
          <w:sz w:val="30"/>
          <w:szCs w:val="30"/>
          <w:u w:color="000000"/>
        </w:rPr>
        <w:t>（一）评分标准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_GB2312" w:eastAsia="仿宋_GB2312" w:cs="仿宋_GB2312"/>
          <w:color w:val="000000"/>
          <w:sz w:val="30"/>
          <w:szCs w:val="30"/>
          <w:u w:color="000000"/>
        </w:rPr>
      </w:pPr>
      <w:r>
        <w:rPr>
          <w:rFonts w:hint="eastAsia" w:ascii="仿宋_GB2312" w:hAnsi="仿宋_GB2312" w:eastAsia="仿宋_GB2312" w:cs="仿宋_GB2312"/>
          <w:color w:val="000000"/>
          <w:sz w:val="30"/>
          <w:szCs w:val="30"/>
          <w:u w:color="000000"/>
        </w:rPr>
        <w:t>本赛项各模块按实验准备、实施操作、结果报告三个部分和项目考核内容设置评分项，并结合选手能力标准规范的</w:t>
      </w:r>
      <w:r>
        <w:rPr>
          <w:rFonts w:ascii="仿宋_GB2312" w:hAnsi="仿宋_GB2312" w:eastAsia="仿宋_GB2312" w:cs="仿宋_GB2312"/>
          <w:color w:val="000000"/>
          <w:sz w:val="30"/>
          <w:szCs w:val="30"/>
          <w:u w:color="000000"/>
        </w:rPr>
        <w:t xml:space="preserve">7 </w:t>
      </w:r>
      <w:r>
        <w:rPr>
          <w:rFonts w:hint="eastAsia" w:ascii="仿宋_GB2312" w:hAnsi="仿宋_GB2312" w:eastAsia="仿宋_GB2312" w:cs="仿宋_GB2312"/>
          <w:color w:val="000000"/>
          <w:sz w:val="30"/>
          <w:szCs w:val="30"/>
          <w:u w:color="000000"/>
        </w:rPr>
        <w:t>部分权重，给出待评分的各项和分数分配。。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_GB2312" w:eastAsia="仿宋_GB2312" w:cs="仿宋_GB2312"/>
          <w:color w:val="000000"/>
          <w:sz w:val="30"/>
          <w:szCs w:val="30"/>
          <w:u w:color="000000"/>
        </w:rPr>
      </w:pPr>
      <w:r>
        <w:rPr>
          <w:rFonts w:hint="eastAsia" w:ascii="仿宋_GB2312" w:hAnsi="仿宋_GB2312" w:eastAsia="仿宋_GB2312" w:cs="仿宋_GB2312"/>
          <w:color w:val="000000"/>
          <w:sz w:val="30"/>
          <w:szCs w:val="30"/>
          <w:u w:color="000000"/>
        </w:rPr>
        <w:t>评判采用客观评判（测量</w:t>
      </w:r>
      <w:r>
        <w:rPr>
          <w:rFonts w:ascii="仿宋_GB2312" w:hAnsi="仿宋_GB2312" w:eastAsia="仿宋_GB2312" w:cs="仿宋_GB2312"/>
          <w:color w:val="000000"/>
          <w:sz w:val="30"/>
          <w:szCs w:val="30"/>
          <w:u w:color="000000"/>
        </w:rPr>
        <w:t>M</w:t>
      </w:r>
      <w:r>
        <w:rPr>
          <w:rFonts w:hint="eastAsia" w:ascii="仿宋_GB2312" w:hAnsi="仿宋_GB2312" w:eastAsia="仿宋_GB2312" w:cs="仿宋_GB2312"/>
          <w:color w:val="000000"/>
          <w:sz w:val="30"/>
          <w:szCs w:val="30"/>
          <w:u w:color="000000"/>
        </w:rPr>
        <w:t>）和主观评判（</w:t>
      </w:r>
      <w:r>
        <w:rPr>
          <w:rFonts w:ascii="仿宋_GB2312" w:hAnsi="仿宋_GB2312" w:eastAsia="仿宋_GB2312" w:cs="仿宋_GB2312"/>
          <w:color w:val="000000"/>
          <w:sz w:val="30"/>
          <w:szCs w:val="30"/>
          <w:u w:color="000000"/>
        </w:rPr>
        <w:t>J</w:t>
      </w:r>
      <w:r>
        <w:rPr>
          <w:rFonts w:hint="eastAsia" w:ascii="仿宋_GB2312" w:hAnsi="仿宋_GB2312" w:eastAsia="仿宋_GB2312" w:cs="仿宋_GB2312"/>
          <w:color w:val="000000"/>
          <w:sz w:val="30"/>
          <w:szCs w:val="30"/>
          <w:u w:color="000000"/>
        </w:rPr>
        <w:t>）相结合的方式进行。主观评判采用以下方法进行</w:t>
      </w:r>
      <w:r>
        <w:rPr>
          <w:rFonts w:ascii="仿宋_GB2312" w:hAnsi="仿宋_GB2312" w:eastAsia="仿宋_GB2312" w:cs="仿宋_GB2312"/>
          <w:color w:val="000000"/>
          <w:sz w:val="30"/>
          <w:szCs w:val="30"/>
          <w:u w:color="000000"/>
        </w:rPr>
        <w:t>,</w:t>
      </w:r>
      <w:r>
        <w:rPr>
          <w:rFonts w:hint="eastAsia" w:ascii="仿宋_GB2312" w:hAnsi="仿宋_GB2312" w:eastAsia="仿宋_GB2312" w:cs="仿宋_GB2312"/>
          <w:color w:val="000000"/>
          <w:sz w:val="30"/>
          <w:szCs w:val="30"/>
          <w:u w:color="000000"/>
        </w:rPr>
        <w:t>分值范围以</w:t>
      </w:r>
      <w:r>
        <w:rPr>
          <w:rFonts w:ascii="仿宋_GB2312" w:hAnsi="仿宋_GB2312" w:eastAsia="仿宋_GB2312" w:cs="仿宋_GB2312"/>
          <w:color w:val="000000"/>
          <w:sz w:val="30"/>
          <w:szCs w:val="30"/>
          <w:u w:color="000000"/>
        </w:rPr>
        <w:t>0</w:t>
      </w:r>
      <w:r>
        <w:rPr>
          <w:rFonts w:hint="eastAsia" w:ascii="仿宋_GB2312" w:hAnsi="仿宋_GB2312" w:eastAsia="仿宋_GB2312" w:cs="仿宋_GB2312"/>
          <w:color w:val="000000"/>
          <w:sz w:val="30"/>
          <w:szCs w:val="30"/>
          <w:u w:color="000000"/>
        </w:rPr>
        <w:t>～</w:t>
      </w:r>
      <w:r>
        <w:rPr>
          <w:rFonts w:ascii="仿宋_GB2312" w:hAnsi="仿宋_GB2312" w:eastAsia="仿宋_GB2312" w:cs="仿宋_GB2312"/>
          <w:color w:val="000000"/>
          <w:sz w:val="30"/>
          <w:szCs w:val="30"/>
          <w:u w:color="000000"/>
        </w:rPr>
        <w:t xml:space="preserve">3 </w:t>
      </w:r>
      <w:r>
        <w:rPr>
          <w:rFonts w:hint="eastAsia" w:ascii="仿宋_GB2312" w:hAnsi="仿宋_GB2312" w:eastAsia="仿宋_GB2312" w:cs="仿宋_GB2312"/>
          <w:color w:val="000000"/>
          <w:sz w:val="30"/>
          <w:szCs w:val="30"/>
          <w:u w:color="000000"/>
        </w:rPr>
        <w:t>档表示：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_GB2312" w:eastAsia="仿宋_GB2312" w:cs="仿宋_GB2312"/>
          <w:color w:val="000000"/>
          <w:sz w:val="30"/>
          <w:szCs w:val="30"/>
          <w:u w:color="000000"/>
        </w:rPr>
      </w:pPr>
      <w:r>
        <w:rPr>
          <w:rFonts w:ascii="仿宋_GB2312" w:hAnsi="仿宋_GB2312" w:eastAsia="仿宋_GB2312" w:cs="仿宋_GB2312"/>
          <w:color w:val="000000"/>
          <w:sz w:val="30"/>
          <w:szCs w:val="30"/>
          <w:u w:color="000000"/>
        </w:rPr>
        <w:t>0</w:t>
      </w:r>
      <w:r>
        <w:rPr>
          <w:rFonts w:hint="eastAsia" w:ascii="仿宋_GB2312" w:hAnsi="仿宋_GB2312" w:eastAsia="仿宋_GB2312" w:cs="仿宋_GB2312"/>
          <w:color w:val="000000"/>
          <w:sz w:val="30"/>
          <w:szCs w:val="30"/>
          <w:u w:color="000000"/>
        </w:rPr>
        <w:t>：表现低于能力标准；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_GB2312" w:eastAsia="仿宋_GB2312" w:cs="仿宋_GB2312"/>
          <w:color w:val="000000"/>
          <w:sz w:val="30"/>
          <w:szCs w:val="30"/>
          <w:u w:color="000000"/>
        </w:rPr>
      </w:pPr>
      <w:r>
        <w:rPr>
          <w:rFonts w:ascii="仿宋_GB2312" w:hAnsi="仿宋_GB2312" w:eastAsia="仿宋_GB2312" w:cs="仿宋_GB2312"/>
          <w:color w:val="000000"/>
          <w:sz w:val="30"/>
          <w:szCs w:val="30"/>
          <w:u w:color="000000"/>
        </w:rPr>
        <w:t>1</w:t>
      </w:r>
      <w:r>
        <w:rPr>
          <w:rFonts w:hint="eastAsia" w:ascii="仿宋_GB2312" w:hAnsi="仿宋_GB2312" w:eastAsia="仿宋_GB2312" w:cs="仿宋_GB2312"/>
          <w:color w:val="000000"/>
          <w:sz w:val="30"/>
          <w:szCs w:val="30"/>
          <w:u w:color="000000"/>
        </w:rPr>
        <w:t>：表现符合能力标准；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_GB2312" w:eastAsia="仿宋_GB2312" w:cs="仿宋_GB2312"/>
          <w:color w:val="000000"/>
          <w:sz w:val="30"/>
          <w:szCs w:val="30"/>
          <w:u w:color="000000"/>
        </w:rPr>
      </w:pPr>
      <w:r>
        <w:rPr>
          <w:rFonts w:ascii="仿宋_GB2312" w:hAnsi="仿宋_GB2312" w:eastAsia="仿宋_GB2312" w:cs="仿宋_GB2312"/>
          <w:color w:val="000000"/>
          <w:sz w:val="30"/>
          <w:szCs w:val="30"/>
          <w:u w:color="000000"/>
        </w:rPr>
        <w:t>2</w:t>
      </w:r>
      <w:r>
        <w:rPr>
          <w:rFonts w:hint="eastAsia" w:ascii="仿宋_GB2312" w:hAnsi="仿宋_GB2312" w:eastAsia="仿宋_GB2312" w:cs="仿宋_GB2312"/>
          <w:color w:val="000000"/>
          <w:sz w:val="30"/>
          <w:szCs w:val="30"/>
          <w:u w:color="000000"/>
        </w:rPr>
        <w:t>：表现达到并且在特定方面超过能力标准；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_GB2312" w:eastAsia="仿宋_GB2312" w:cs="仿宋_GB2312"/>
          <w:color w:val="000000"/>
          <w:sz w:val="30"/>
          <w:szCs w:val="30"/>
          <w:u w:color="000000"/>
        </w:rPr>
      </w:pPr>
      <w:r>
        <w:rPr>
          <w:rFonts w:ascii="仿宋_GB2312" w:hAnsi="仿宋_GB2312" w:eastAsia="仿宋_GB2312" w:cs="仿宋_GB2312"/>
          <w:color w:val="000000"/>
          <w:sz w:val="30"/>
          <w:szCs w:val="30"/>
          <w:u w:color="000000"/>
        </w:rPr>
        <w:t>3</w:t>
      </w:r>
      <w:r>
        <w:rPr>
          <w:rFonts w:hint="eastAsia" w:ascii="仿宋_GB2312" w:hAnsi="仿宋_GB2312" w:eastAsia="仿宋_GB2312" w:cs="仿宋_GB2312"/>
          <w:color w:val="000000"/>
          <w:sz w:val="30"/>
          <w:szCs w:val="30"/>
          <w:u w:color="000000"/>
        </w:rPr>
        <w:t>：表现完全超过能力标准，并表现优秀。</w:t>
      </w:r>
    </w:p>
    <w:p>
      <w:pPr>
        <w:spacing w:line="600" w:lineRule="exact"/>
        <w:ind w:firstLine="480" w:firstLineChars="200"/>
        <w:jc w:val="center"/>
        <w:rPr>
          <w:rFonts w:ascii="黑体" w:hAnsi="黑体" w:eastAsia="黑体" w:cs="仿宋_GB2312"/>
          <w:sz w:val="24"/>
          <w:szCs w:val="24"/>
        </w:rPr>
      </w:pPr>
      <w:r>
        <w:rPr>
          <w:rFonts w:hint="eastAsia" w:ascii="黑体" w:hAnsi="黑体" w:eastAsia="黑体" w:cs="仿宋_GB2312"/>
          <w:sz w:val="24"/>
          <w:szCs w:val="24"/>
        </w:rPr>
        <w:t>表</w:t>
      </w:r>
      <w:r>
        <w:rPr>
          <w:rFonts w:ascii="黑体" w:hAnsi="黑体" w:eastAsia="黑体" w:cs="仿宋_GB2312"/>
          <w:sz w:val="24"/>
          <w:szCs w:val="24"/>
        </w:rPr>
        <w:t xml:space="preserve">2  </w:t>
      </w:r>
      <w:r>
        <w:rPr>
          <w:rFonts w:hint="eastAsia" w:ascii="黑体" w:hAnsi="黑体" w:eastAsia="黑体" w:cs="仿宋_GB2312"/>
          <w:sz w:val="24"/>
          <w:szCs w:val="24"/>
        </w:rPr>
        <w:t>各项目的评分项与分数分配</w:t>
      </w:r>
    </w:p>
    <w:tbl>
      <w:tblPr>
        <w:tblStyle w:val="8"/>
        <w:tblpPr w:leftFromText="180" w:rightFromText="180" w:vertAnchor="text" w:tblpXSpec="center" w:tblpY="1"/>
        <w:tblOverlap w:val="never"/>
        <w:tblW w:w="89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
      <w:tblGrid>
        <w:gridCol w:w="1280"/>
        <w:gridCol w:w="2456"/>
        <w:gridCol w:w="1759"/>
        <w:gridCol w:w="2131"/>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567" w:hRule="atLeast"/>
          <w:tblHeader/>
          <w:jc w:val="center"/>
        </w:trPr>
        <w:tc>
          <w:tcPr>
            <w:tcW w:w="1280" w:type="dxa"/>
            <w:shd w:val="clear" w:color="auto" w:fill="auto"/>
            <w:vAlign w:val="center"/>
          </w:tcPr>
          <w:p>
            <w:pPr>
              <w:pStyle w:val="11"/>
              <w:adjustRightInd/>
              <w:jc w:val="center"/>
              <w:rPr>
                <w:rFonts w:hint="eastAsia" w:ascii="黑体" w:hAnsi="黑体" w:eastAsia="黑体" w:cs="黑体"/>
                <w:b w:val="0"/>
                <w:bCs w:val="0"/>
                <w:color w:val="auto"/>
                <w:sz w:val="22"/>
                <w:szCs w:val="22"/>
              </w:rPr>
            </w:pPr>
            <w:r>
              <w:rPr>
                <w:rFonts w:hint="eastAsia" w:ascii="黑体" w:hAnsi="黑体" w:eastAsia="黑体" w:cs="黑体"/>
                <w:b w:val="0"/>
                <w:bCs w:val="0"/>
                <w:color w:val="auto"/>
                <w:sz w:val="22"/>
                <w:szCs w:val="22"/>
              </w:rPr>
              <w:t>模块编号</w:t>
            </w:r>
          </w:p>
        </w:tc>
        <w:tc>
          <w:tcPr>
            <w:tcW w:w="2456" w:type="dxa"/>
            <w:shd w:val="clear" w:color="auto" w:fill="auto"/>
            <w:vAlign w:val="center"/>
          </w:tcPr>
          <w:p>
            <w:pPr>
              <w:pStyle w:val="11"/>
              <w:adjustRightInd/>
              <w:jc w:val="center"/>
              <w:rPr>
                <w:rFonts w:hint="eastAsia" w:ascii="黑体" w:hAnsi="黑体" w:eastAsia="黑体" w:cs="黑体"/>
                <w:b w:val="0"/>
                <w:bCs w:val="0"/>
                <w:color w:val="auto"/>
                <w:sz w:val="22"/>
                <w:szCs w:val="22"/>
              </w:rPr>
            </w:pPr>
            <w:r>
              <w:rPr>
                <w:rFonts w:hint="eastAsia" w:ascii="黑体" w:hAnsi="黑体" w:eastAsia="黑体" w:cs="黑体"/>
                <w:b w:val="0"/>
                <w:bCs w:val="0"/>
                <w:color w:val="auto"/>
                <w:sz w:val="22"/>
                <w:szCs w:val="22"/>
              </w:rPr>
              <w:t>项目名称</w:t>
            </w:r>
          </w:p>
        </w:tc>
        <w:tc>
          <w:tcPr>
            <w:tcW w:w="1759" w:type="dxa"/>
            <w:vAlign w:val="center"/>
          </w:tcPr>
          <w:p>
            <w:pPr>
              <w:pStyle w:val="11"/>
              <w:adjustRightInd/>
              <w:jc w:val="center"/>
              <w:rPr>
                <w:rFonts w:hint="eastAsia" w:ascii="黑体" w:hAnsi="黑体" w:eastAsia="黑体" w:cs="黑体"/>
                <w:b w:val="0"/>
                <w:bCs w:val="0"/>
                <w:color w:val="auto"/>
                <w:sz w:val="22"/>
                <w:szCs w:val="22"/>
              </w:rPr>
            </w:pPr>
            <w:r>
              <w:rPr>
                <w:rFonts w:hint="eastAsia" w:ascii="黑体" w:hAnsi="黑体" w:eastAsia="黑体" w:cs="黑体"/>
                <w:b w:val="0"/>
                <w:bCs w:val="0"/>
                <w:color w:val="auto"/>
                <w:sz w:val="22"/>
                <w:szCs w:val="22"/>
              </w:rPr>
              <w:t>评分内容</w:t>
            </w:r>
          </w:p>
        </w:tc>
        <w:tc>
          <w:tcPr>
            <w:tcW w:w="2131" w:type="dxa"/>
            <w:shd w:val="clear" w:color="auto" w:fill="auto"/>
            <w:vAlign w:val="center"/>
          </w:tcPr>
          <w:p>
            <w:pPr>
              <w:pStyle w:val="11"/>
              <w:adjustRightInd/>
              <w:jc w:val="center"/>
              <w:rPr>
                <w:rFonts w:hint="eastAsia" w:ascii="黑体" w:hAnsi="黑体" w:eastAsia="黑体" w:cs="黑体"/>
                <w:b w:val="0"/>
                <w:bCs w:val="0"/>
                <w:color w:val="auto"/>
                <w:sz w:val="22"/>
                <w:szCs w:val="22"/>
              </w:rPr>
            </w:pPr>
            <w:r>
              <w:rPr>
                <w:rFonts w:hint="eastAsia" w:ascii="黑体" w:hAnsi="黑体" w:eastAsia="黑体" w:cs="黑体"/>
                <w:b w:val="0"/>
                <w:bCs w:val="0"/>
                <w:color w:val="auto"/>
                <w:sz w:val="22"/>
                <w:szCs w:val="22"/>
              </w:rPr>
              <w:t>评分项</w:t>
            </w:r>
          </w:p>
        </w:tc>
        <w:tc>
          <w:tcPr>
            <w:tcW w:w="1350" w:type="dxa"/>
            <w:shd w:val="clear" w:color="auto" w:fill="auto"/>
            <w:vAlign w:val="center"/>
          </w:tcPr>
          <w:p>
            <w:pPr>
              <w:pStyle w:val="11"/>
              <w:adjustRightInd/>
              <w:jc w:val="center"/>
              <w:rPr>
                <w:rFonts w:hint="eastAsia" w:ascii="黑体" w:hAnsi="黑体" w:eastAsia="黑体" w:cs="黑体"/>
                <w:b w:val="0"/>
                <w:bCs w:val="0"/>
                <w:color w:val="auto"/>
                <w:sz w:val="22"/>
                <w:szCs w:val="22"/>
              </w:rPr>
            </w:pPr>
            <w:r>
              <w:rPr>
                <w:rFonts w:hint="eastAsia" w:ascii="黑体" w:hAnsi="黑体" w:eastAsia="黑体" w:cs="黑体"/>
                <w:b w:val="0"/>
                <w:bCs w:val="0"/>
                <w:color w:val="auto"/>
                <w:sz w:val="22"/>
                <w:szCs w:val="22"/>
              </w:rPr>
              <w:t>分数分配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567" w:hRule="atLeast"/>
          <w:jc w:val="center"/>
        </w:trPr>
        <w:tc>
          <w:tcPr>
            <w:tcW w:w="1280" w:type="dxa"/>
            <w:vMerge w:val="restart"/>
            <w:shd w:val="clear" w:color="auto" w:fill="auto"/>
            <w:vAlign w:val="center"/>
          </w:tcPr>
          <w:p>
            <w:pPr>
              <w:pStyle w:val="11"/>
              <w:adjustRightInd/>
              <w:jc w:val="center"/>
              <w:rPr>
                <w:rFonts w:ascii="仿宋_GB2312" w:hAnsi="宋体" w:eastAsia="仿宋_GB2312" w:cs="仿宋_GB2312"/>
                <w:color w:val="auto"/>
                <w:sz w:val="22"/>
                <w:szCs w:val="22"/>
              </w:rPr>
            </w:pPr>
            <w:r>
              <w:rPr>
                <w:rFonts w:hint="eastAsia" w:ascii="仿宋_GB2312" w:hAnsi="宋体" w:eastAsia="仿宋_GB2312" w:cs="仿宋_GB2312"/>
                <w:color w:val="auto"/>
                <w:sz w:val="22"/>
                <w:szCs w:val="22"/>
              </w:rPr>
              <w:t>A</w:t>
            </w:r>
          </w:p>
        </w:tc>
        <w:tc>
          <w:tcPr>
            <w:tcW w:w="2456" w:type="dxa"/>
            <w:vMerge w:val="restart"/>
            <w:shd w:val="clear" w:color="auto" w:fill="auto"/>
            <w:vAlign w:val="center"/>
          </w:tcPr>
          <w:p>
            <w:pPr>
              <w:autoSpaceDE w:val="0"/>
              <w:autoSpaceDN w:val="0"/>
              <w:adjustRightInd w:val="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样品中金属组分（钴或镍）含量的测定</w:t>
            </w:r>
          </w:p>
          <w:p>
            <w:pPr>
              <w:pStyle w:val="11"/>
              <w:adjustRightInd/>
              <w:jc w:val="both"/>
              <w:rPr>
                <w:rFonts w:ascii="仿宋_GB2312" w:hAnsi="仿宋_GB2312" w:eastAsia="仿宋_GB2312" w:cs="仿宋_GB2312"/>
                <w:color w:val="auto"/>
              </w:rPr>
            </w:pPr>
          </w:p>
        </w:tc>
        <w:tc>
          <w:tcPr>
            <w:tcW w:w="1759" w:type="dxa"/>
            <w:vAlign w:val="center"/>
          </w:tcPr>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A1实验准备</w:t>
            </w:r>
          </w:p>
        </w:tc>
        <w:tc>
          <w:tcPr>
            <w:tcW w:w="2131" w:type="dxa"/>
            <w:shd w:val="clear" w:color="auto" w:fill="auto"/>
            <w:vAlign w:val="center"/>
          </w:tcPr>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个人健康安全</w:t>
            </w:r>
          </w:p>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药品称量</w:t>
            </w:r>
          </w:p>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溶液配制</w:t>
            </w:r>
          </w:p>
        </w:tc>
        <w:tc>
          <w:tcPr>
            <w:tcW w:w="1350" w:type="dxa"/>
            <w:shd w:val="clear" w:color="auto" w:fill="auto"/>
            <w:vAlign w:val="center"/>
          </w:tcPr>
          <w:p>
            <w:pPr>
              <w:pStyle w:val="11"/>
              <w:adjustRightInd/>
              <w:jc w:val="center"/>
              <w:rPr>
                <w:rFonts w:ascii="仿宋_GB2312" w:hAnsi="仿宋_GB2312" w:eastAsia="仿宋_GB2312" w:cs="仿宋_GB2312"/>
                <w:color w:val="auto"/>
              </w:rPr>
            </w:pPr>
            <w:r>
              <w:rPr>
                <w:rFonts w:hint="eastAsia" w:ascii="仿宋_GB2312" w:hAnsi="仿宋_GB2312" w:eastAsia="仿宋_GB2312" w:cs="仿宋_GB2312"/>
                <w:color w:val="auto"/>
              </w:rPr>
              <w:t>4</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567" w:hRule="atLeast"/>
          <w:jc w:val="center"/>
        </w:trPr>
        <w:tc>
          <w:tcPr>
            <w:tcW w:w="1280" w:type="dxa"/>
            <w:vMerge w:val="continue"/>
            <w:shd w:val="clear" w:color="auto" w:fill="auto"/>
            <w:vAlign w:val="center"/>
          </w:tcPr>
          <w:p>
            <w:pPr>
              <w:pStyle w:val="11"/>
              <w:adjustRightInd/>
              <w:jc w:val="center"/>
              <w:rPr>
                <w:rFonts w:ascii="仿宋_GB2312" w:hAnsi="宋体" w:eastAsia="仿宋_GB2312" w:cs="仿宋_GB2312"/>
                <w:color w:val="auto"/>
                <w:sz w:val="22"/>
                <w:szCs w:val="22"/>
              </w:rPr>
            </w:pPr>
          </w:p>
        </w:tc>
        <w:tc>
          <w:tcPr>
            <w:tcW w:w="2456" w:type="dxa"/>
            <w:vMerge w:val="continue"/>
            <w:shd w:val="clear" w:color="auto" w:fill="auto"/>
            <w:vAlign w:val="center"/>
          </w:tcPr>
          <w:p>
            <w:pPr>
              <w:pStyle w:val="11"/>
              <w:adjustRightInd/>
              <w:jc w:val="both"/>
              <w:rPr>
                <w:rFonts w:ascii="仿宋_GB2312" w:hAnsi="仿宋_GB2312" w:eastAsia="仿宋_GB2312" w:cs="仿宋_GB2312"/>
                <w:color w:val="auto"/>
              </w:rPr>
            </w:pPr>
          </w:p>
        </w:tc>
        <w:tc>
          <w:tcPr>
            <w:tcW w:w="1759" w:type="dxa"/>
            <w:vAlign w:val="center"/>
          </w:tcPr>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A2实验操作</w:t>
            </w:r>
          </w:p>
        </w:tc>
        <w:tc>
          <w:tcPr>
            <w:tcW w:w="2131" w:type="dxa"/>
            <w:shd w:val="clear" w:color="auto" w:fill="auto"/>
            <w:vAlign w:val="center"/>
          </w:tcPr>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标准溶液标定</w:t>
            </w:r>
          </w:p>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样品制备</w:t>
            </w:r>
          </w:p>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含量测定</w:t>
            </w:r>
          </w:p>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文明操作</w:t>
            </w:r>
          </w:p>
        </w:tc>
        <w:tc>
          <w:tcPr>
            <w:tcW w:w="1350" w:type="dxa"/>
            <w:shd w:val="clear" w:color="auto" w:fill="auto"/>
            <w:vAlign w:val="center"/>
          </w:tcPr>
          <w:p>
            <w:pPr>
              <w:pStyle w:val="11"/>
              <w:adjustRightInd/>
              <w:jc w:val="center"/>
              <w:rPr>
                <w:rFonts w:ascii="仿宋_GB2312" w:hAnsi="仿宋_GB2312" w:eastAsia="仿宋_GB2312" w:cs="仿宋_GB2312"/>
                <w:color w:val="auto"/>
              </w:rPr>
            </w:pPr>
            <w:r>
              <w:rPr>
                <w:rFonts w:hint="eastAsia" w:ascii="仿宋_GB2312" w:hAnsi="仿宋_GB2312" w:eastAsia="仿宋_GB2312" w:cs="仿宋_GB2312"/>
                <w:color w:val="auto"/>
              </w:rPr>
              <w:t>9</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567" w:hRule="atLeast"/>
          <w:jc w:val="center"/>
        </w:trPr>
        <w:tc>
          <w:tcPr>
            <w:tcW w:w="1280" w:type="dxa"/>
            <w:vMerge w:val="continue"/>
            <w:shd w:val="clear" w:color="auto" w:fill="auto"/>
            <w:vAlign w:val="center"/>
          </w:tcPr>
          <w:p>
            <w:pPr>
              <w:pStyle w:val="11"/>
              <w:adjustRightInd/>
              <w:jc w:val="center"/>
              <w:rPr>
                <w:rFonts w:ascii="仿宋_GB2312" w:hAnsi="宋体" w:eastAsia="仿宋_GB2312" w:cs="仿宋_GB2312"/>
                <w:color w:val="auto"/>
                <w:sz w:val="22"/>
                <w:szCs w:val="22"/>
              </w:rPr>
            </w:pPr>
          </w:p>
        </w:tc>
        <w:tc>
          <w:tcPr>
            <w:tcW w:w="2456" w:type="dxa"/>
            <w:vMerge w:val="continue"/>
            <w:shd w:val="clear" w:color="auto" w:fill="auto"/>
            <w:vAlign w:val="center"/>
          </w:tcPr>
          <w:p>
            <w:pPr>
              <w:pStyle w:val="11"/>
              <w:adjustRightInd/>
              <w:jc w:val="center"/>
              <w:rPr>
                <w:rFonts w:ascii="仿宋_GB2312" w:hAnsi="宋体" w:eastAsia="仿宋_GB2312" w:cs="仿宋_GB2312"/>
                <w:color w:val="auto"/>
                <w:sz w:val="22"/>
                <w:szCs w:val="22"/>
              </w:rPr>
            </w:pPr>
          </w:p>
        </w:tc>
        <w:tc>
          <w:tcPr>
            <w:tcW w:w="1759" w:type="dxa"/>
            <w:vAlign w:val="center"/>
          </w:tcPr>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A3结果报告</w:t>
            </w:r>
          </w:p>
        </w:tc>
        <w:tc>
          <w:tcPr>
            <w:tcW w:w="2131" w:type="dxa"/>
            <w:shd w:val="clear" w:color="auto" w:fill="auto"/>
            <w:vAlign w:val="center"/>
          </w:tcPr>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数据处理</w:t>
            </w:r>
          </w:p>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撰写报告</w:t>
            </w:r>
          </w:p>
        </w:tc>
        <w:tc>
          <w:tcPr>
            <w:tcW w:w="1350" w:type="dxa"/>
            <w:shd w:val="clear" w:color="auto" w:fill="auto"/>
            <w:vAlign w:val="center"/>
          </w:tcPr>
          <w:p>
            <w:pPr>
              <w:pStyle w:val="11"/>
              <w:adjustRightInd/>
              <w:jc w:val="center"/>
              <w:rPr>
                <w:rFonts w:ascii="仿宋_GB2312" w:hAnsi="宋体" w:eastAsia="仿宋_GB2312" w:cs="仿宋_GB2312"/>
                <w:color w:val="auto"/>
                <w:sz w:val="22"/>
                <w:szCs w:val="22"/>
              </w:rPr>
            </w:pPr>
            <w:r>
              <w:rPr>
                <w:rFonts w:hint="eastAsia" w:ascii="仿宋_GB2312" w:hAnsi="仿宋_GB2312" w:eastAsia="仿宋_GB2312" w:cs="仿宋_GB2312"/>
                <w:color w:val="auto"/>
              </w:rPr>
              <w:t>15</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567" w:hRule="atLeast"/>
          <w:jc w:val="center"/>
        </w:trPr>
        <w:tc>
          <w:tcPr>
            <w:tcW w:w="1280" w:type="dxa"/>
            <w:vMerge w:val="restart"/>
            <w:shd w:val="clear" w:color="auto" w:fill="auto"/>
            <w:vAlign w:val="center"/>
          </w:tcPr>
          <w:p>
            <w:pPr>
              <w:pStyle w:val="11"/>
              <w:adjustRightInd/>
              <w:jc w:val="center"/>
              <w:rPr>
                <w:rFonts w:ascii="仿宋_GB2312" w:hAnsi="宋体" w:eastAsia="仿宋_GB2312" w:cs="仿宋_GB2312"/>
                <w:color w:val="auto"/>
                <w:sz w:val="22"/>
                <w:szCs w:val="22"/>
              </w:rPr>
            </w:pPr>
            <w:r>
              <w:rPr>
                <w:rFonts w:hint="eastAsia" w:ascii="仿宋_GB2312" w:hAnsi="宋体" w:eastAsia="仿宋_GB2312" w:cs="仿宋_GB2312"/>
                <w:color w:val="auto"/>
                <w:sz w:val="22"/>
                <w:szCs w:val="22"/>
              </w:rPr>
              <w:t>B</w:t>
            </w:r>
          </w:p>
        </w:tc>
        <w:tc>
          <w:tcPr>
            <w:tcW w:w="2456" w:type="dxa"/>
            <w:vMerge w:val="restart"/>
            <w:shd w:val="clear" w:color="auto" w:fill="auto"/>
            <w:vAlign w:val="center"/>
          </w:tcPr>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样品中铁含量的测定</w:t>
            </w:r>
          </w:p>
        </w:tc>
        <w:tc>
          <w:tcPr>
            <w:tcW w:w="1759" w:type="dxa"/>
            <w:vAlign w:val="center"/>
          </w:tcPr>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B1实验准备</w:t>
            </w:r>
          </w:p>
        </w:tc>
        <w:tc>
          <w:tcPr>
            <w:tcW w:w="2131" w:type="dxa"/>
            <w:shd w:val="clear" w:color="auto" w:fill="auto"/>
            <w:vAlign w:val="center"/>
          </w:tcPr>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个人健康安全</w:t>
            </w:r>
          </w:p>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药品称量</w:t>
            </w:r>
          </w:p>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溶液配制</w:t>
            </w:r>
          </w:p>
        </w:tc>
        <w:tc>
          <w:tcPr>
            <w:tcW w:w="1350" w:type="dxa"/>
            <w:shd w:val="clear" w:color="auto" w:fill="auto"/>
            <w:vAlign w:val="center"/>
          </w:tcPr>
          <w:p>
            <w:pPr>
              <w:pStyle w:val="11"/>
              <w:adjustRightInd/>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4</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567" w:hRule="atLeast"/>
          <w:jc w:val="center"/>
        </w:trPr>
        <w:tc>
          <w:tcPr>
            <w:tcW w:w="1280" w:type="dxa"/>
            <w:vMerge w:val="continue"/>
            <w:shd w:val="clear" w:color="auto" w:fill="auto"/>
            <w:vAlign w:val="center"/>
          </w:tcPr>
          <w:p>
            <w:pPr>
              <w:pStyle w:val="11"/>
              <w:adjustRightInd/>
              <w:jc w:val="center"/>
              <w:rPr>
                <w:rFonts w:ascii="仿宋_GB2312" w:hAnsi="宋体" w:eastAsia="仿宋_GB2312" w:cs="仿宋_GB2312"/>
                <w:color w:val="auto"/>
                <w:sz w:val="22"/>
                <w:szCs w:val="22"/>
              </w:rPr>
            </w:pPr>
          </w:p>
        </w:tc>
        <w:tc>
          <w:tcPr>
            <w:tcW w:w="2456" w:type="dxa"/>
            <w:vMerge w:val="continue"/>
            <w:shd w:val="clear" w:color="auto" w:fill="auto"/>
            <w:vAlign w:val="center"/>
          </w:tcPr>
          <w:p>
            <w:pPr>
              <w:pStyle w:val="11"/>
              <w:adjustRightInd/>
              <w:jc w:val="both"/>
              <w:rPr>
                <w:rFonts w:ascii="仿宋_GB2312" w:hAnsi="仿宋_GB2312" w:eastAsia="仿宋_GB2312" w:cs="仿宋_GB2312"/>
                <w:color w:val="auto"/>
              </w:rPr>
            </w:pPr>
          </w:p>
        </w:tc>
        <w:tc>
          <w:tcPr>
            <w:tcW w:w="1759" w:type="dxa"/>
            <w:vAlign w:val="center"/>
          </w:tcPr>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B2实验操作</w:t>
            </w:r>
          </w:p>
        </w:tc>
        <w:tc>
          <w:tcPr>
            <w:tcW w:w="2131" w:type="dxa"/>
            <w:shd w:val="clear" w:color="auto" w:fill="auto"/>
            <w:vAlign w:val="center"/>
          </w:tcPr>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标准工作曲线制作</w:t>
            </w:r>
          </w:p>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样品制备</w:t>
            </w:r>
          </w:p>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含量测定</w:t>
            </w:r>
          </w:p>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文明操作</w:t>
            </w:r>
          </w:p>
        </w:tc>
        <w:tc>
          <w:tcPr>
            <w:tcW w:w="1350" w:type="dxa"/>
            <w:shd w:val="clear" w:color="auto" w:fill="auto"/>
            <w:vAlign w:val="center"/>
          </w:tcPr>
          <w:p>
            <w:pPr>
              <w:pStyle w:val="11"/>
              <w:adjustRightInd/>
              <w:jc w:val="center"/>
              <w:rPr>
                <w:rFonts w:ascii="仿宋_GB2312" w:hAnsi="仿宋_GB2312" w:eastAsia="仿宋_GB2312" w:cs="仿宋_GB2312"/>
                <w:color w:val="auto"/>
              </w:rPr>
            </w:pPr>
            <w:r>
              <w:rPr>
                <w:rFonts w:hint="eastAsia" w:ascii="仿宋_GB2312" w:hAnsi="仿宋_GB2312" w:eastAsia="仿宋_GB2312" w:cs="仿宋_GB2312"/>
                <w:color w:val="auto"/>
              </w:rPr>
              <w:t>9</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567" w:hRule="atLeast"/>
          <w:jc w:val="center"/>
        </w:trPr>
        <w:tc>
          <w:tcPr>
            <w:tcW w:w="1280" w:type="dxa"/>
            <w:vMerge w:val="continue"/>
            <w:shd w:val="clear" w:color="auto" w:fill="auto"/>
            <w:vAlign w:val="center"/>
          </w:tcPr>
          <w:p>
            <w:pPr>
              <w:pStyle w:val="11"/>
              <w:adjustRightInd/>
              <w:jc w:val="center"/>
              <w:rPr>
                <w:rFonts w:hAnsi="宋体" w:cs="仿宋_GB2312"/>
                <w:color w:val="auto"/>
                <w:sz w:val="22"/>
                <w:szCs w:val="22"/>
              </w:rPr>
            </w:pPr>
          </w:p>
        </w:tc>
        <w:tc>
          <w:tcPr>
            <w:tcW w:w="2456" w:type="dxa"/>
            <w:vMerge w:val="continue"/>
            <w:shd w:val="clear" w:color="auto" w:fill="auto"/>
            <w:vAlign w:val="center"/>
          </w:tcPr>
          <w:p>
            <w:pPr>
              <w:pStyle w:val="11"/>
              <w:adjustRightInd/>
              <w:jc w:val="both"/>
              <w:rPr>
                <w:rFonts w:ascii="仿宋_GB2312" w:hAnsi="仿宋_GB2312" w:eastAsia="仿宋_GB2312" w:cs="仿宋_GB2312"/>
                <w:color w:val="auto"/>
              </w:rPr>
            </w:pPr>
          </w:p>
        </w:tc>
        <w:tc>
          <w:tcPr>
            <w:tcW w:w="1759" w:type="dxa"/>
            <w:vAlign w:val="center"/>
          </w:tcPr>
          <w:p>
            <w:pPr>
              <w:pStyle w:val="11"/>
              <w:adjustRightInd/>
              <w:jc w:val="both"/>
              <w:rPr>
                <w:rFonts w:ascii="仿宋_GB2312" w:hAnsi="仿宋_GB2312" w:eastAsia="仿宋_GB2312" w:cs="仿宋_GB2312"/>
                <w:color w:val="auto"/>
              </w:rPr>
            </w:pPr>
            <w:r>
              <w:rPr>
                <w:rFonts w:ascii="仿宋_GB2312" w:hAnsi="仿宋_GB2312" w:eastAsia="仿宋_GB2312" w:cs="仿宋_GB2312"/>
                <w:color w:val="auto"/>
              </w:rPr>
              <w:t>B3结果报告</w:t>
            </w:r>
          </w:p>
        </w:tc>
        <w:tc>
          <w:tcPr>
            <w:tcW w:w="2131" w:type="dxa"/>
            <w:shd w:val="clear" w:color="auto" w:fill="auto"/>
            <w:vAlign w:val="center"/>
          </w:tcPr>
          <w:p>
            <w:pPr>
              <w:pStyle w:val="11"/>
              <w:adjustRightInd/>
              <w:jc w:val="both"/>
              <w:rPr>
                <w:rFonts w:ascii="仿宋_GB2312" w:hAnsi="仿宋_GB2312" w:eastAsia="仿宋_GB2312" w:cs="仿宋_GB2312"/>
                <w:color w:val="auto"/>
              </w:rPr>
            </w:pPr>
            <w:r>
              <w:rPr>
                <w:rFonts w:ascii="仿宋_GB2312" w:hAnsi="仿宋_GB2312" w:eastAsia="仿宋_GB2312" w:cs="仿宋_GB2312"/>
                <w:color w:val="auto"/>
              </w:rPr>
              <w:t>数据处理</w:t>
            </w:r>
          </w:p>
          <w:p>
            <w:pPr>
              <w:pStyle w:val="11"/>
              <w:adjustRightInd/>
              <w:jc w:val="both"/>
              <w:rPr>
                <w:rFonts w:ascii="仿宋_GB2312" w:hAnsi="仿宋_GB2312" w:eastAsia="仿宋_GB2312" w:cs="仿宋_GB2312"/>
                <w:color w:val="auto"/>
              </w:rPr>
            </w:pPr>
            <w:r>
              <w:rPr>
                <w:rFonts w:ascii="仿宋_GB2312" w:hAnsi="仿宋_GB2312" w:eastAsia="仿宋_GB2312" w:cs="仿宋_GB2312"/>
                <w:color w:val="auto"/>
              </w:rPr>
              <w:t>撰写报告</w:t>
            </w:r>
          </w:p>
        </w:tc>
        <w:tc>
          <w:tcPr>
            <w:tcW w:w="1350" w:type="dxa"/>
            <w:shd w:val="clear" w:color="auto" w:fill="auto"/>
            <w:vAlign w:val="center"/>
          </w:tcPr>
          <w:p>
            <w:pPr>
              <w:pStyle w:val="11"/>
              <w:adjustRightInd/>
              <w:jc w:val="center"/>
              <w:rPr>
                <w:rFonts w:ascii="仿宋_GB2312" w:hAnsi="仿宋_GB2312" w:eastAsia="仿宋_GB2312" w:cs="仿宋_GB2312"/>
                <w:color w:val="auto"/>
              </w:rPr>
            </w:pPr>
            <w:r>
              <w:rPr>
                <w:rFonts w:ascii="仿宋_GB2312" w:hAnsi="仿宋_GB2312" w:eastAsia="仿宋_GB2312" w:cs="仿宋_GB2312"/>
                <w:color w:val="auto"/>
              </w:rPr>
              <w:t>15</w:t>
            </w:r>
            <w:r>
              <w:rPr>
                <w:rFonts w:hint="eastAsia" w:ascii="仿宋_GB2312" w:hAnsi="仿宋_GB2312" w:eastAsia="仿宋_GB2312" w:cs="仿宋_GB2312"/>
                <w:color w:val="auto"/>
                <w:lang w:val="en-US" w:eastAsia="zh-CN"/>
              </w:rPr>
              <w:t>-</w:t>
            </w:r>
            <w:r>
              <w:rPr>
                <w:rFonts w:ascii="仿宋_GB2312" w:hAnsi="仿宋_GB2312" w:eastAsia="仿宋_GB2312" w:cs="仿宋_GB2312"/>
                <w:color w:val="auto"/>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567" w:hRule="atLeast"/>
          <w:tblHeader/>
          <w:jc w:val="center"/>
        </w:trPr>
        <w:tc>
          <w:tcPr>
            <w:tcW w:w="1280" w:type="dxa"/>
            <w:vMerge w:val="restart"/>
            <w:shd w:val="clear" w:color="auto" w:fill="auto"/>
            <w:vAlign w:val="center"/>
          </w:tcPr>
          <w:p>
            <w:pPr>
              <w:pStyle w:val="11"/>
              <w:adjustRightInd/>
              <w:jc w:val="center"/>
              <w:rPr>
                <w:rFonts w:ascii="仿宋_GB2312" w:hAnsi="宋体" w:eastAsia="仿宋_GB2312" w:cs="仿宋_GB2312"/>
                <w:b/>
                <w:bCs/>
                <w:color w:val="auto"/>
                <w:sz w:val="22"/>
                <w:szCs w:val="22"/>
              </w:rPr>
            </w:pPr>
            <w:r>
              <w:rPr>
                <w:rFonts w:hint="eastAsia" w:ascii="仿宋_GB2312" w:hAnsi="宋体" w:eastAsia="仿宋_GB2312" w:cs="仿宋_GB2312"/>
                <w:b/>
                <w:bCs/>
                <w:color w:val="auto"/>
                <w:sz w:val="22"/>
                <w:szCs w:val="22"/>
              </w:rPr>
              <w:t>C</w:t>
            </w:r>
          </w:p>
        </w:tc>
        <w:tc>
          <w:tcPr>
            <w:tcW w:w="2456" w:type="dxa"/>
            <w:vMerge w:val="restart"/>
            <w:shd w:val="clear" w:color="auto" w:fill="auto"/>
            <w:vAlign w:val="center"/>
          </w:tcPr>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乙酸乙酯的合成及质量评价</w:t>
            </w:r>
          </w:p>
        </w:tc>
        <w:tc>
          <w:tcPr>
            <w:tcW w:w="1759" w:type="dxa"/>
            <w:vAlign w:val="center"/>
          </w:tcPr>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C1实验准备</w:t>
            </w:r>
          </w:p>
        </w:tc>
        <w:tc>
          <w:tcPr>
            <w:tcW w:w="2131" w:type="dxa"/>
            <w:shd w:val="clear" w:color="auto" w:fill="auto"/>
            <w:vAlign w:val="center"/>
          </w:tcPr>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个人健康安全</w:t>
            </w:r>
          </w:p>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实验装置搭建</w:t>
            </w:r>
          </w:p>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反应物用量计算</w:t>
            </w:r>
          </w:p>
        </w:tc>
        <w:tc>
          <w:tcPr>
            <w:tcW w:w="1350" w:type="dxa"/>
            <w:shd w:val="clear" w:color="auto" w:fill="auto"/>
            <w:vAlign w:val="center"/>
          </w:tcPr>
          <w:p>
            <w:pPr>
              <w:pStyle w:val="11"/>
              <w:adjustRightInd/>
              <w:jc w:val="center"/>
              <w:rPr>
                <w:rFonts w:ascii="仿宋_GB2312" w:hAnsi="仿宋_GB2312" w:eastAsia="仿宋_GB2312" w:cs="仿宋_GB2312"/>
                <w:color w:val="auto"/>
              </w:rPr>
            </w:pPr>
            <w:r>
              <w:rPr>
                <w:rFonts w:hint="eastAsia" w:ascii="仿宋_GB2312" w:hAnsi="仿宋_GB2312" w:eastAsia="仿宋_GB2312" w:cs="仿宋_GB2312"/>
                <w:color w:val="auto"/>
              </w:rPr>
              <w:t>4</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567" w:hRule="atLeast"/>
          <w:tblHeader/>
          <w:jc w:val="center"/>
        </w:trPr>
        <w:tc>
          <w:tcPr>
            <w:tcW w:w="1280" w:type="dxa"/>
            <w:vMerge w:val="continue"/>
            <w:shd w:val="clear" w:color="auto" w:fill="auto"/>
            <w:vAlign w:val="center"/>
          </w:tcPr>
          <w:p>
            <w:pPr>
              <w:pStyle w:val="11"/>
              <w:adjustRightInd/>
              <w:jc w:val="center"/>
              <w:rPr>
                <w:rFonts w:ascii="仿宋_GB2312" w:hAnsi="宋体" w:eastAsia="仿宋_GB2312" w:cs="仿宋_GB2312"/>
                <w:b/>
                <w:bCs/>
                <w:color w:val="auto"/>
                <w:sz w:val="22"/>
                <w:szCs w:val="22"/>
              </w:rPr>
            </w:pPr>
          </w:p>
        </w:tc>
        <w:tc>
          <w:tcPr>
            <w:tcW w:w="2456" w:type="dxa"/>
            <w:vMerge w:val="continue"/>
            <w:shd w:val="clear" w:color="auto" w:fill="auto"/>
            <w:vAlign w:val="center"/>
          </w:tcPr>
          <w:p>
            <w:pPr>
              <w:pStyle w:val="11"/>
              <w:adjustRightInd/>
              <w:jc w:val="both"/>
              <w:rPr>
                <w:rFonts w:ascii="仿宋_GB2312" w:hAnsi="仿宋_GB2312" w:eastAsia="仿宋_GB2312" w:cs="仿宋_GB2312"/>
                <w:color w:val="auto"/>
              </w:rPr>
            </w:pPr>
          </w:p>
        </w:tc>
        <w:tc>
          <w:tcPr>
            <w:tcW w:w="1759" w:type="dxa"/>
            <w:vAlign w:val="center"/>
          </w:tcPr>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C2实验操作</w:t>
            </w:r>
          </w:p>
        </w:tc>
        <w:tc>
          <w:tcPr>
            <w:tcW w:w="2131" w:type="dxa"/>
            <w:shd w:val="clear" w:color="auto" w:fill="auto"/>
            <w:vAlign w:val="center"/>
          </w:tcPr>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有机物合成</w:t>
            </w:r>
          </w:p>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产品分离提纯</w:t>
            </w:r>
          </w:p>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含量分析</w:t>
            </w:r>
          </w:p>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文明操作</w:t>
            </w:r>
          </w:p>
        </w:tc>
        <w:tc>
          <w:tcPr>
            <w:tcW w:w="1350" w:type="dxa"/>
            <w:shd w:val="clear" w:color="auto" w:fill="auto"/>
            <w:vAlign w:val="center"/>
          </w:tcPr>
          <w:p>
            <w:pPr>
              <w:pStyle w:val="11"/>
              <w:adjustRightInd/>
              <w:jc w:val="center"/>
              <w:rPr>
                <w:rFonts w:ascii="仿宋_GB2312" w:hAnsi="仿宋_GB2312" w:eastAsia="仿宋_GB2312" w:cs="仿宋_GB2312"/>
                <w:color w:val="auto"/>
              </w:rPr>
            </w:pPr>
            <w:r>
              <w:rPr>
                <w:rFonts w:hint="eastAsia" w:ascii="仿宋_GB2312" w:hAnsi="仿宋_GB2312" w:eastAsia="仿宋_GB2312" w:cs="仿宋_GB2312"/>
                <w:color w:val="auto"/>
              </w:rPr>
              <w:t>10</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Ex>
        <w:trPr>
          <w:trHeight w:val="567" w:hRule="atLeast"/>
          <w:tblHeader/>
          <w:jc w:val="center"/>
        </w:trPr>
        <w:tc>
          <w:tcPr>
            <w:tcW w:w="1280" w:type="dxa"/>
            <w:vMerge w:val="continue"/>
            <w:shd w:val="clear" w:color="auto" w:fill="auto"/>
            <w:vAlign w:val="center"/>
          </w:tcPr>
          <w:p>
            <w:pPr>
              <w:pStyle w:val="11"/>
              <w:adjustRightInd/>
              <w:jc w:val="center"/>
              <w:rPr>
                <w:rFonts w:ascii="仿宋_GB2312" w:hAnsi="宋体" w:eastAsia="仿宋_GB2312" w:cs="仿宋_GB2312"/>
                <w:b/>
                <w:bCs/>
                <w:color w:val="auto"/>
                <w:sz w:val="22"/>
                <w:szCs w:val="22"/>
              </w:rPr>
            </w:pPr>
          </w:p>
        </w:tc>
        <w:tc>
          <w:tcPr>
            <w:tcW w:w="2456" w:type="dxa"/>
            <w:vMerge w:val="continue"/>
            <w:shd w:val="clear" w:color="auto" w:fill="auto"/>
            <w:vAlign w:val="center"/>
          </w:tcPr>
          <w:p>
            <w:pPr>
              <w:pStyle w:val="11"/>
              <w:adjustRightInd/>
              <w:jc w:val="both"/>
              <w:rPr>
                <w:rFonts w:ascii="仿宋_GB2312" w:hAnsi="仿宋_GB2312" w:eastAsia="仿宋_GB2312" w:cs="仿宋_GB2312"/>
                <w:color w:val="auto"/>
              </w:rPr>
            </w:pPr>
          </w:p>
        </w:tc>
        <w:tc>
          <w:tcPr>
            <w:tcW w:w="1759" w:type="dxa"/>
            <w:vAlign w:val="center"/>
          </w:tcPr>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C3结果报告</w:t>
            </w:r>
          </w:p>
        </w:tc>
        <w:tc>
          <w:tcPr>
            <w:tcW w:w="2131" w:type="dxa"/>
            <w:shd w:val="clear" w:color="auto" w:fill="auto"/>
            <w:vAlign w:val="center"/>
          </w:tcPr>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产率计算</w:t>
            </w:r>
          </w:p>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质量评价</w:t>
            </w:r>
          </w:p>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撰写报告</w:t>
            </w:r>
          </w:p>
        </w:tc>
        <w:tc>
          <w:tcPr>
            <w:tcW w:w="1350" w:type="dxa"/>
            <w:shd w:val="clear" w:color="auto" w:fill="auto"/>
            <w:vAlign w:val="center"/>
          </w:tcPr>
          <w:p>
            <w:pPr>
              <w:pStyle w:val="11"/>
              <w:adjustRightInd/>
              <w:jc w:val="center"/>
              <w:rPr>
                <w:rFonts w:ascii="仿宋_GB2312" w:hAnsi="仿宋_GB2312" w:eastAsia="仿宋_GB2312" w:cs="仿宋_GB2312"/>
                <w:color w:val="auto"/>
              </w:rPr>
            </w:pPr>
            <w:r>
              <w:rPr>
                <w:rFonts w:hint="eastAsia" w:ascii="仿宋_GB2312" w:hAnsi="仿宋_GB2312" w:eastAsia="仿宋_GB2312" w:cs="仿宋_GB2312"/>
                <w:color w:val="auto"/>
              </w:rPr>
              <w:t>18</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rPr>
              <w:t>20</w:t>
            </w:r>
          </w:p>
        </w:tc>
      </w:tr>
    </w:tbl>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楷体_GB2312" w:hAnsi="仿宋_GB2312" w:eastAsia="楷体_GB2312" w:cs="仿宋_GB2312"/>
          <w:color w:val="000000"/>
          <w:sz w:val="30"/>
          <w:szCs w:val="30"/>
          <w:u w:color="000000"/>
        </w:rPr>
      </w:pPr>
      <w:r>
        <w:rPr>
          <w:rFonts w:hint="eastAsia" w:ascii="楷体_GB2312" w:hAnsi="仿宋_GB2312" w:eastAsia="楷体_GB2312" w:cs="仿宋_GB2312"/>
          <w:color w:val="000000"/>
          <w:sz w:val="30"/>
          <w:szCs w:val="30"/>
          <w:u w:color="000000"/>
        </w:rPr>
        <w:t>（二）评分阅卷</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仿宋_GB2312" w:hAnsi="仿宋_GB2312" w:eastAsia="仿宋_GB2312" w:cs="仿宋_GB2312"/>
          <w:color w:val="000000"/>
          <w:sz w:val="30"/>
          <w:szCs w:val="30"/>
          <w:u w:color="000000"/>
        </w:rPr>
      </w:pPr>
      <w:r>
        <w:rPr>
          <w:rFonts w:hint="eastAsia" w:ascii="仿宋_GB2312" w:hAnsi="仿宋_GB2312" w:eastAsia="仿宋_GB2312" w:cs="仿宋_GB2312"/>
          <w:color w:val="000000"/>
          <w:sz w:val="30"/>
          <w:szCs w:val="30"/>
          <w:u w:color="000000"/>
        </w:rPr>
        <w:t>本赛项各模块的评分由过程性评分和结果评分组成。</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仿宋_GB2312" w:hAnsi="仿宋_GB2312" w:eastAsia="仿宋_GB2312" w:cs="仿宋_GB2312"/>
          <w:color w:val="000000"/>
          <w:sz w:val="30"/>
          <w:szCs w:val="30"/>
          <w:u w:color="000000"/>
        </w:rPr>
      </w:pPr>
      <w:r>
        <w:rPr>
          <w:rFonts w:hint="eastAsia" w:ascii="仿宋_GB2312" w:hAnsi="仿宋_GB2312" w:eastAsia="仿宋_GB2312" w:cs="仿宋_GB2312"/>
          <w:color w:val="000000"/>
          <w:sz w:val="30"/>
          <w:szCs w:val="30"/>
          <w:u w:color="000000"/>
        </w:rPr>
        <w:t>过程评分：由现场裁判根据选手现场实际操作表现，依据评分表进行主观评判（</w:t>
      </w:r>
      <w:r>
        <w:rPr>
          <w:rFonts w:ascii="仿宋_GB2312" w:hAnsi="仿宋_GB2312" w:eastAsia="仿宋_GB2312" w:cs="仿宋_GB2312"/>
          <w:color w:val="000000"/>
          <w:sz w:val="30"/>
          <w:szCs w:val="30"/>
          <w:u w:color="000000"/>
        </w:rPr>
        <w:t>J</w:t>
      </w:r>
      <w:r>
        <w:rPr>
          <w:rFonts w:hint="eastAsia" w:ascii="仿宋_GB2312" w:hAnsi="仿宋_GB2312" w:eastAsia="仿宋_GB2312" w:cs="仿宋_GB2312"/>
          <w:color w:val="000000"/>
          <w:sz w:val="30"/>
          <w:szCs w:val="30"/>
          <w:u w:color="000000"/>
        </w:rPr>
        <w:t>）和客观评价（</w:t>
      </w:r>
      <w:r>
        <w:rPr>
          <w:rFonts w:ascii="仿宋_GB2312" w:hAnsi="仿宋_GB2312" w:eastAsia="仿宋_GB2312" w:cs="仿宋_GB2312"/>
          <w:color w:val="000000"/>
          <w:sz w:val="30"/>
          <w:szCs w:val="30"/>
          <w:u w:color="000000"/>
        </w:rPr>
        <w:t>M</w:t>
      </w:r>
      <w:r>
        <w:rPr>
          <w:rFonts w:hint="eastAsia" w:ascii="仿宋_GB2312" w:hAnsi="仿宋_GB2312" w:eastAsia="仿宋_GB2312" w:cs="仿宋_GB2312"/>
          <w:color w:val="000000"/>
          <w:sz w:val="30"/>
          <w:szCs w:val="30"/>
          <w:u w:color="000000"/>
        </w:rPr>
        <w:t xml:space="preserve">）。由 </w:t>
      </w:r>
      <w:r>
        <w:rPr>
          <w:rFonts w:ascii="仿宋_GB2312" w:hAnsi="仿宋_GB2312" w:eastAsia="仿宋_GB2312" w:cs="仿宋_GB2312"/>
          <w:color w:val="000000"/>
          <w:sz w:val="30"/>
          <w:szCs w:val="30"/>
          <w:u w:color="000000"/>
        </w:rPr>
        <w:t xml:space="preserve">1 </w:t>
      </w:r>
      <w:r>
        <w:rPr>
          <w:rFonts w:hint="eastAsia" w:ascii="仿宋_GB2312" w:hAnsi="仿宋_GB2312" w:eastAsia="仿宋_GB2312" w:cs="仿宋_GB2312"/>
          <w:color w:val="000000"/>
          <w:sz w:val="30"/>
          <w:szCs w:val="30"/>
          <w:u w:color="000000"/>
        </w:rPr>
        <w:t xml:space="preserve">名现场裁判评判 </w:t>
      </w:r>
      <w:r>
        <w:rPr>
          <w:rFonts w:ascii="仿宋_GB2312" w:hAnsi="仿宋_GB2312" w:eastAsia="仿宋_GB2312" w:cs="仿宋_GB2312"/>
          <w:color w:val="000000"/>
          <w:sz w:val="30"/>
          <w:szCs w:val="30"/>
          <w:u w:color="000000"/>
        </w:rPr>
        <w:t xml:space="preserve">1 </w:t>
      </w:r>
      <w:r>
        <w:rPr>
          <w:rFonts w:hint="eastAsia" w:ascii="仿宋_GB2312" w:hAnsi="仿宋_GB2312" w:eastAsia="仿宋_GB2312" w:cs="仿宋_GB2312"/>
          <w:color w:val="000000"/>
          <w:sz w:val="30"/>
          <w:szCs w:val="30"/>
          <w:u w:color="000000"/>
        </w:rPr>
        <w:t>名选手。对每个考核项目客观评分项的得分点，现场裁判只能给出一个分值，即最高分或者零分，否则必须另有说明。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仿宋_GB2312" w:hAnsi="仿宋_GB2312" w:eastAsia="仿宋_GB2312" w:cs="仿宋_GB2312"/>
          <w:color w:val="000000"/>
          <w:sz w:val="30"/>
          <w:szCs w:val="30"/>
          <w:u w:color="000000"/>
        </w:rPr>
      </w:pPr>
      <w:r>
        <w:rPr>
          <w:rFonts w:hint="eastAsia" w:ascii="仿宋_GB2312" w:hAnsi="仿宋_GB2312" w:eastAsia="仿宋_GB2312" w:cs="仿宋_GB2312"/>
          <w:color w:val="000000"/>
          <w:sz w:val="30"/>
          <w:szCs w:val="30"/>
          <w:u w:color="000000"/>
        </w:rPr>
        <w:t xml:space="preserve">结果评分：现场考核结束后，密封试卷。每位选手的试卷由 </w:t>
      </w:r>
      <w:r>
        <w:rPr>
          <w:rFonts w:ascii="仿宋_GB2312" w:hAnsi="仿宋_GB2312" w:eastAsia="仿宋_GB2312" w:cs="仿宋_GB2312"/>
          <w:color w:val="000000"/>
          <w:sz w:val="30"/>
          <w:szCs w:val="30"/>
          <w:u w:color="000000"/>
        </w:rPr>
        <w:t xml:space="preserve">2 </w:t>
      </w:r>
      <w:r>
        <w:rPr>
          <w:rFonts w:hint="eastAsia" w:ascii="仿宋_GB2312" w:hAnsi="仿宋_GB2312" w:eastAsia="仿宋_GB2312" w:cs="仿宋_GB2312"/>
          <w:color w:val="000000"/>
          <w:sz w:val="30"/>
          <w:szCs w:val="30"/>
          <w:u w:color="000000"/>
        </w:rPr>
        <w:t>名现场裁判依据真值对选手现场测定的结果进行精密度和准确度的评定，并经项目裁判长、赛项裁判长的复核签字确定。上述所有行为须在监督仲裁人员监督下完成。</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楷体_GB2312" w:hAnsi="仿宋_GB2312" w:eastAsia="楷体_GB2312" w:cs="仿宋_GB2312"/>
          <w:color w:val="000000"/>
          <w:sz w:val="30"/>
          <w:szCs w:val="30"/>
          <w:u w:color="000000"/>
        </w:rPr>
      </w:pPr>
      <w:r>
        <w:rPr>
          <w:rFonts w:hint="eastAsia" w:ascii="楷体_GB2312" w:hAnsi="仿宋_GB2312" w:eastAsia="楷体_GB2312" w:cs="仿宋_GB2312"/>
          <w:color w:val="000000"/>
          <w:sz w:val="30"/>
          <w:szCs w:val="30"/>
          <w:u w:color="000000"/>
        </w:rPr>
        <w:t>（三）成绩计算</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仿宋_GB2312" w:hAnsi="仿宋_GB2312" w:eastAsia="仿宋_GB2312" w:cs="仿宋_GB2312"/>
          <w:color w:val="000000"/>
          <w:sz w:val="30"/>
          <w:szCs w:val="30"/>
          <w:u w:color="000000"/>
        </w:rPr>
      </w:pPr>
      <w:r>
        <w:rPr>
          <w:rFonts w:hint="eastAsia" w:ascii="仿宋_GB2312" w:hAnsi="仿宋_GB2312" w:eastAsia="仿宋_GB2312" w:cs="仿宋_GB2312"/>
          <w:color w:val="000000"/>
          <w:sz w:val="30"/>
          <w:szCs w:val="30"/>
          <w:u w:color="000000"/>
        </w:rPr>
        <w:t>在监督仲裁人员的现场监督下，由加密裁判汇总选手各模块项目评分，并计算出参赛选手的总成绩，复核无误后，经裁判长、监督仲裁人员签字确认后提交监督仲裁组组长再次复核。</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楷体_GB2312" w:hAnsi="仿宋_GB2312" w:eastAsia="楷体_GB2312" w:cs="仿宋_GB2312"/>
          <w:color w:val="000000"/>
          <w:sz w:val="30"/>
          <w:szCs w:val="30"/>
          <w:u w:color="000000"/>
        </w:rPr>
      </w:pPr>
      <w:r>
        <w:rPr>
          <w:rFonts w:hint="eastAsia" w:ascii="楷体_GB2312" w:hAnsi="仿宋_GB2312" w:eastAsia="楷体_GB2312" w:cs="仿宋_GB2312"/>
          <w:color w:val="000000"/>
          <w:sz w:val="30"/>
          <w:szCs w:val="30"/>
          <w:u w:color="000000"/>
        </w:rPr>
        <w:t>（四）成绩复核</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仿宋_GB2312" w:hAnsi="仿宋_GB2312" w:eastAsia="仿宋_GB2312" w:cs="仿宋_GB2312"/>
          <w:color w:val="000000"/>
          <w:sz w:val="30"/>
          <w:szCs w:val="30"/>
          <w:u w:color="000000"/>
        </w:rPr>
      </w:pPr>
      <w:r>
        <w:rPr>
          <w:rFonts w:hint="eastAsia" w:ascii="仿宋_GB2312" w:hAnsi="仿宋_GB2312" w:eastAsia="仿宋_GB2312" w:cs="仿宋_GB2312"/>
          <w:color w:val="000000"/>
          <w:sz w:val="30"/>
          <w:szCs w:val="30"/>
          <w:u w:color="000000"/>
        </w:rPr>
        <w:t>监督仲裁组对总成绩排名前</w:t>
      </w:r>
      <w:r>
        <w:rPr>
          <w:rFonts w:ascii="仿宋_GB2312" w:hAnsi="仿宋_GB2312" w:eastAsia="仿宋_GB2312" w:cs="仿宋_GB2312"/>
          <w:color w:val="000000"/>
          <w:sz w:val="30"/>
          <w:szCs w:val="30"/>
          <w:u w:color="000000"/>
        </w:rPr>
        <w:t>30%</w:t>
      </w:r>
      <w:r>
        <w:rPr>
          <w:rFonts w:hint="eastAsia" w:ascii="仿宋_GB2312" w:hAnsi="仿宋_GB2312" w:eastAsia="仿宋_GB2312" w:cs="仿宋_GB2312"/>
          <w:color w:val="000000"/>
          <w:sz w:val="30"/>
          <w:szCs w:val="30"/>
          <w:u w:color="000000"/>
        </w:rPr>
        <w:t>的参赛选手成绩进行再次复核；对其余选手成绩进行抽检复核，抽检覆盖率不得低于</w:t>
      </w:r>
      <w:r>
        <w:rPr>
          <w:rFonts w:ascii="仿宋_GB2312" w:hAnsi="仿宋_GB2312" w:eastAsia="仿宋_GB2312" w:cs="仿宋_GB2312"/>
          <w:color w:val="000000"/>
          <w:sz w:val="30"/>
          <w:szCs w:val="30"/>
          <w:u w:color="000000"/>
        </w:rPr>
        <w:t>15%</w:t>
      </w:r>
      <w:r>
        <w:rPr>
          <w:rFonts w:hint="eastAsia" w:ascii="仿宋_GB2312" w:hAnsi="仿宋_GB2312" w:eastAsia="仿宋_GB2312" w:cs="仿宋_GB2312"/>
          <w:color w:val="000000"/>
          <w:sz w:val="30"/>
          <w:szCs w:val="30"/>
          <w:u w:color="000000"/>
        </w:rPr>
        <w:t>。如发现成绩错误以书面方式及时告知赛项裁判长，由赛项裁判长更正成绩并签字确认。复核、抽检错误率超过</w:t>
      </w:r>
      <w:r>
        <w:rPr>
          <w:rFonts w:ascii="仿宋_GB2312" w:hAnsi="仿宋_GB2312" w:eastAsia="仿宋_GB2312" w:cs="仿宋_GB2312"/>
          <w:color w:val="000000"/>
          <w:sz w:val="30"/>
          <w:szCs w:val="30"/>
          <w:u w:color="000000"/>
        </w:rPr>
        <w:t>5%</w:t>
      </w:r>
      <w:r>
        <w:rPr>
          <w:rFonts w:hint="eastAsia" w:ascii="仿宋_GB2312" w:hAnsi="仿宋_GB2312" w:eastAsia="仿宋_GB2312" w:cs="仿宋_GB2312"/>
          <w:color w:val="000000"/>
          <w:sz w:val="30"/>
          <w:szCs w:val="30"/>
          <w:u w:color="000000"/>
        </w:rPr>
        <w:t>的，则对所有选手成绩进行复核。</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楷体_GB2312" w:hAnsi="仿宋_GB2312" w:eastAsia="楷体_GB2312" w:cs="仿宋_GB2312"/>
          <w:color w:val="000000"/>
          <w:sz w:val="30"/>
          <w:szCs w:val="30"/>
          <w:u w:color="000000"/>
        </w:rPr>
      </w:pPr>
      <w:r>
        <w:rPr>
          <w:rFonts w:hint="eastAsia" w:ascii="楷体_GB2312" w:hAnsi="仿宋_GB2312" w:eastAsia="楷体_GB2312" w:cs="仿宋_GB2312"/>
          <w:color w:val="000000"/>
          <w:sz w:val="30"/>
          <w:szCs w:val="30"/>
          <w:u w:color="000000"/>
        </w:rPr>
        <w:t>（五）成绩公布</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仿宋_GB2312" w:hAnsi="仿宋_GB2312" w:eastAsia="仿宋_GB2312" w:cs="仿宋_GB2312"/>
          <w:color w:val="000000"/>
          <w:sz w:val="30"/>
          <w:szCs w:val="30"/>
          <w:u w:color="000000"/>
        </w:rPr>
      </w:pPr>
      <w:r>
        <w:rPr>
          <w:rFonts w:hint="eastAsia" w:ascii="仿宋_GB2312" w:hAnsi="仿宋_GB2312" w:eastAsia="仿宋_GB2312" w:cs="仿宋_GB2312"/>
          <w:color w:val="000000"/>
          <w:sz w:val="30"/>
          <w:szCs w:val="30"/>
          <w:u w:color="000000"/>
        </w:rPr>
        <w:t>记分员将解密后的各参赛选手成绩汇总制表，经赛项裁判长、监督仲裁组组长签字后在指定地点进行公布，</w:t>
      </w:r>
      <w:r>
        <w:rPr>
          <w:rFonts w:ascii="仿宋_GB2312" w:hAnsi="仿宋_GB2312" w:eastAsia="仿宋_GB2312" w:cs="仿宋_GB2312"/>
          <w:color w:val="000000"/>
          <w:sz w:val="30"/>
          <w:szCs w:val="30"/>
          <w:u w:color="000000"/>
        </w:rPr>
        <w:t xml:space="preserve">2 </w:t>
      </w:r>
      <w:r>
        <w:rPr>
          <w:rFonts w:hint="eastAsia" w:ascii="仿宋_GB2312" w:hAnsi="仿宋_GB2312" w:eastAsia="仿宋_GB2312" w:cs="仿宋_GB2312"/>
          <w:color w:val="000000"/>
          <w:sz w:val="30"/>
          <w:szCs w:val="30"/>
          <w:u w:color="000000"/>
        </w:rPr>
        <w:t>小时后无异议，将选手成绩录入赛务管理系统，经赛项裁判长、监督仲裁组组长在成绩单上审核签字后公布并</w:t>
      </w:r>
      <w:r>
        <w:rPr>
          <w:rFonts w:ascii="仿宋_GB2312" w:hAnsi="仿宋_GB2312" w:eastAsia="仿宋_GB2312" w:cs="仿宋_GB2312"/>
          <w:color w:val="000000"/>
          <w:sz w:val="30"/>
          <w:szCs w:val="30"/>
          <w:u w:color="000000"/>
        </w:rPr>
        <w:t>上报</w:t>
      </w:r>
      <w:r>
        <w:rPr>
          <w:rFonts w:hint="eastAsia" w:ascii="仿宋_GB2312" w:hAnsi="仿宋_GB2312" w:eastAsia="仿宋_GB2312" w:cs="仿宋_GB2312"/>
          <w:color w:val="000000"/>
          <w:sz w:val="30"/>
          <w:szCs w:val="30"/>
          <w:u w:color="000000"/>
        </w:rPr>
        <w:t>河南省高等职业教育技能大赛组委会。</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黑体" w:hAnsi="黑体" w:eastAsia="黑体" w:cs="黑体"/>
          <w:sz w:val="30"/>
          <w:szCs w:val="30"/>
          <w:lang w:val="zh-TW"/>
        </w:rPr>
      </w:pPr>
      <w:r>
        <w:rPr>
          <w:rFonts w:hint="eastAsia" w:ascii="黑体" w:hAnsi="黑体" w:eastAsia="黑体" w:cs="黑体"/>
          <w:sz w:val="30"/>
          <w:szCs w:val="30"/>
          <w:lang w:val="zh-TW"/>
        </w:rPr>
        <w:t>十五、奖项设定</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_GB2312" w:eastAsia="仿宋_GB2312" w:cs="仿宋_GB2312"/>
          <w:color w:val="000000"/>
          <w:sz w:val="30"/>
          <w:szCs w:val="30"/>
          <w:u w:color="000000"/>
        </w:rPr>
      </w:pPr>
      <w:r>
        <w:rPr>
          <w:rFonts w:hint="eastAsia" w:ascii="仿宋_GB2312" w:hAnsi="仿宋_GB2312" w:eastAsia="仿宋_GB2312" w:cs="仿宋_GB2312"/>
          <w:color w:val="000000"/>
          <w:sz w:val="30"/>
          <w:szCs w:val="30"/>
          <w:u w:color="000000"/>
        </w:rPr>
        <w:t>按照2021年河南省高等职业教育技能大赛文件执行。</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黑体" w:hAnsi="黑体" w:eastAsia="黑体" w:cs="黑体"/>
          <w:sz w:val="30"/>
          <w:szCs w:val="30"/>
        </w:rPr>
      </w:pPr>
      <w:bookmarkStart w:id="0" w:name="_Toc511831131"/>
      <w:bookmarkStart w:id="1" w:name="_Toc491272214"/>
      <w:bookmarkStart w:id="2" w:name="_Toc511829445"/>
      <w:r>
        <w:rPr>
          <w:rFonts w:hint="eastAsia" w:ascii="黑体" w:hAnsi="黑体" w:eastAsia="黑体" w:cs="黑体"/>
          <w:sz w:val="30"/>
          <w:szCs w:val="30"/>
          <w:lang w:val="zh-TW"/>
        </w:rPr>
        <w:t>十六、</w:t>
      </w:r>
      <w:bookmarkStart w:id="3" w:name="_Toc15945_WPSOffice_Level1"/>
      <w:r>
        <w:rPr>
          <w:rFonts w:hint="eastAsia" w:ascii="黑体" w:hAnsi="黑体" w:eastAsia="黑体" w:cs="黑体"/>
          <w:sz w:val="30"/>
          <w:szCs w:val="30"/>
        </w:rPr>
        <w:t>竞赛须知</w:t>
      </w:r>
      <w:bookmarkEnd w:id="3"/>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楷体_GB2312" w:hAnsi="仿宋_GB2312" w:eastAsia="楷体_GB2312" w:cs="仿宋_GB2312"/>
          <w:color w:val="000000"/>
          <w:sz w:val="30"/>
          <w:szCs w:val="30"/>
          <w:u w:color="000000"/>
        </w:rPr>
      </w:pPr>
      <w:r>
        <w:rPr>
          <w:rFonts w:hint="eastAsia" w:ascii="楷体_GB2312" w:hAnsi="仿宋_GB2312" w:eastAsia="楷体_GB2312" w:cs="仿宋_GB2312"/>
          <w:color w:val="000000"/>
          <w:sz w:val="30"/>
          <w:szCs w:val="30"/>
          <w:u w:color="000000"/>
        </w:rPr>
        <w:t>（一）赛场须知</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_GB2312" w:eastAsia="仿宋_GB2312" w:cs="仿宋_GB2312"/>
          <w:color w:val="000000"/>
          <w:sz w:val="30"/>
          <w:szCs w:val="30"/>
          <w:u w:color="000000"/>
        </w:rPr>
      </w:pPr>
      <w:r>
        <w:rPr>
          <w:rFonts w:ascii="仿宋_GB2312" w:hAnsi="仿宋_GB2312" w:eastAsia="仿宋_GB2312" w:cs="仿宋_GB2312"/>
          <w:color w:val="000000"/>
          <w:sz w:val="30"/>
          <w:szCs w:val="30"/>
          <w:u w:color="000000"/>
        </w:rPr>
        <w:t>1.赛场各类工作人员必须统一佩戴由竞赛组委会印制的相应证件，着装整齐，进入工作岗位。</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_GB2312" w:eastAsia="仿宋_GB2312" w:cs="仿宋_GB2312"/>
          <w:color w:val="000000"/>
          <w:sz w:val="30"/>
          <w:szCs w:val="30"/>
          <w:u w:color="000000"/>
        </w:rPr>
      </w:pPr>
      <w:r>
        <w:rPr>
          <w:rFonts w:ascii="仿宋_GB2312" w:hAnsi="仿宋_GB2312" w:eastAsia="仿宋_GB2312" w:cs="仿宋_GB2312"/>
          <w:color w:val="000000"/>
          <w:sz w:val="30"/>
          <w:szCs w:val="30"/>
          <w:u w:color="000000"/>
        </w:rPr>
        <w:t>2.各赛场除竞赛组委会成员、专家组成员、现场裁判、赛场配备的工作人员外，其他人员未经竞赛组委会允许不得进入赛场。</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_GB2312" w:eastAsia="仿宋_GB2312" w:cs="仿宋_GB2312"/>
          <w:color w:val="000000"/>
          <w:sz w:val="30"/>
          <w:szCs w:val="30"/>
          <w:u w:color="000000"/>
        </w:rPr>
      </w:pPr>
      <w:r>
        <w:rPr>
          <w:rFonts w:ascii="仿宋_GB2312" w:hAnsi="仿宋_GB2312" w:eastAsia="仿宋_GB2312" w:cs="仿宋_GB2312"/>
          <w:color w:val="000000"/>
          <w:sz w:val="30"/>
          <w:szCs w:val="30"/>
          <w:u w:color="000000"/>
        </w:rPr>
        <w:t>3.新闻媒体等进入赛场必须经过竞赛组委会允许，并且听从现场工作人员的安排和指挥，不得影响竞赛正常进行。</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_GB2312" w:eastAsia="仿宋_GB2312" w:cs="仿宋_GB2312"/>
          <w:color w:val="000000"/>
          <w:sz w:val="30"/>
          <w:szCs w:val="30"/>
          <w:u w:color="000000"/>
        </w:rPr>
      </w:pPr>
      <w:r>
        <w:rPr>
          <w:rFonts w:ascii="仿宋_GB2312" w:hAnsi="仿宋_GB2312" w:eastAsia="仿宋_GB2312" w:cs="仿宋_GB2312"/>
          <w:color w:val="000000"/>
          <w:sz w:val="30"/>
          <w:szCs w:val="30"/>
          <w:u w:color="000000"/>
        </w:rPr>
        <w:t>4.各参赛队的领队、指导教师以及随行人员谢绝进入赛场。</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楷体_GB2312" w:hAnsi="仿宋_GB2312" w:eastAsia="楷体_GB2312" w:cs="仿宋_GB2312"/>
          <w:color w:val="000000"/>
          <w:sz w:val="30"/>
          <w:szCs w:val="30"/>
          <w:u w:color="000000"/>
        </w:rPr>
      </w:pPr>
      <w:r>
        <w:rPr>
          <w:rFonts w:hint="eastAsia" w:ascii="楷体_GB2312" w:hAnsi="仿宋_GB2312" w:eastAsia="楷体_GB2312" w:cs="仿宋_GB2312"/>
          <w:color w:val="000000"/>
          <w:sz w:val="30"/>
          <w:szCs w:val="30"/>
          <w:u w:color="000000"/>
        </w:rPr>
        <w:t>（二）参赛队须知</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_GB2312" w:eastAsia="仿宋_GB2312" w:cs="仿宋_GB2312"/>
          <w:color w:val="000000"/>
          <w:sz w:val="30"/>
          <w:szCs w:val="30"/>
          <w:u w:color="000000"/>
        </w:rPr>
      </w:pPr>
      <w:r>
        <w:rPr>
          <w:rFonts w:ascii="仿宋_GB2312" w:hAnsi="仿宋_GB2312" w:eastAsia="仿宋_GB2312" w:cs="仿宋_GB2312"/>
          <w:color w:val="000000"/>
          <w:sz w:val="30"/>
          <w:szCs w:val="30"/>
          <w:u w:color="000000"/>
        </w:rPr>
        <w:t>1.</w:t>
      </w:r>
      <w:r>
        <w:rPr>
          <w:rFonts w:hint="eastAsia" w:ascii="仿宋_GB2312" w:hAnsi="仿宋_GB2312" w:eastAsia="仿宋_GB2312" w:cs="仿宋_GB2312"/>
          <w:sz w:val="30"/>
          <w:szCs w:val="30"/>
        </w:rPr>
        <w:t>每个学校可派出不超过两支的参赛代表队，</w:t>
      </w:r>
      <w:r>
        <w:rPr>
          <w:rFonts w:ascii="仿宋_GB2312" w:hAnsi="仿宋_GB2312" w:eastAsia="仿宋_GB2312" w:cs="仿宋_GB2312"/>
          <w:color w:val="000000"/>
          <w:sz w:val="30"/>
          <w:szCs w:val="30"/>
          <w:u w:color="000000"/>
        </w:rPr>
        <w:t>每</w:t>
      </w:r>
      <w:r>
        <w:rPr>
          <w:rFonts w:hint="eastAsia" w:ascii="仿宋_GB2312" w:hAnsi="仿宋_GB2312" w:eastAsia="仿宋_GB2312" w:cs="仿宋_GB2312"/>
          <w:color w:val="000000"/>
          <w:sz w:val="30"/>
          <w:szCs w:val="30"/>
          <w:u w:color="000000"/>
        </w:rPr>
        <w:t>支</w:t>
      </w:r>
      <w:r>
        <w:rPr>
          <w:rFonts w:ascii="仿宋_GB2312" w:hAnsi="仿宋_GB2312" w:eastAsia="仿宋_GB2312" w:cs="仿宋_GB2312"/>
          <w:color w:val="000000"/>
          <w:sz w:val="30"/>
          <w:szCs w:val="30"/>
          <w:u w:color="000000"/>
        </w:rPr>
        <w:t>参赛代表队限报1名选手和1名指导教师，选手和指导教师必须是本校学生和本校教师。派出两支代表队的学校默认</w:t>
      </w:r>
      <w:r>
        <w:rPr>
          <w:rFonts w:hint="eastAsia" w:ascii="仿宋_GB2312" w:hAnsi="仿宋_GB2312" w:eastAsia="仿宋_GB2312" w:cs="仿宋_GB2312"/>
          <w:color w:val="000000"/>
          <w:sz w:val="30"/>
          <w:szCs w:val="30"/>
          <w:u w:color="000000"/>
        </w:rPr>
        <w:t>排名</w:t>
      </w:r>
      <w:r>
        <w:rPr>
          <w:rFonts w:ascii="仿宋_GB2312" w:hAnsi="仿宋_GB2312" w:eastAsia="仿宋_GB2312" w:cs="仿宋_GB2312"/>
          <w:color w:val="000000"/>
          <w:sz w:val="30"/>
          <w:szCs w:val="30"/>
          <w:u w:color="000000"/>
        </w:rPr>
        <w:t>在前的选手为单号，</w:t>
      </w:r>
      <w:r>
        <w:rPr>
          <w:rFonts w:hint="eastAsia" w:ascii="仿宋_GB2312" w:hAnsi="仿宋_GB2312" w:eastAsia="仿宋_GB2312" w:cs="仿宋_GB2312"/>
          <w:color w:val="000000"/>
          <w:sz w:val="30"/>
          <w:szCs w:val="30"/>
          <w:u w:color="000000"/>
        </w:rPr>
        <w:t>排名</w:t>
      </w:r>
      <w:r>
        <w:rPr>
          <w:rFonts w:ascii="仿宋_GB2312" w:hAnsi="仿宋_GB2312" w:eastAsia="仿宋_GB2312" w:cs="仿宋_GB2312"/>
          <w:color w:val="000000"/>
          <w:sz w:val="30"/>
          <w:szCs w:val="30"/>
          <w:u w:color="000000"/>
        </w:rPr>
        <w:t>在</w:t>
      </w:r>
      <w:r>
        <w:rPr>
          <w:rFonts w:hint="eastAsia" w:ascii="仿宋_GB2312" w:hAnsi="仿宋_GB2312" w:eastAsia="仿宋_GB2312" w:cs="仿宋_GB2312"/>
          <w:color w:val="000000"/>
          <w:sz w:val="30"/>
          <w:szCs w:val="30"/>
          <w:u w:color="000000"/>
        </w:rPr>
        <w:t>后</w:t>
      </w:r>
      <w:r>
        <w:rPr>
          <w:rFonts w:ascii="仿宋_GB2312" w:hAnsi="仿宋_GB2312" w:eastAsia="仿宋_GB2312" w:cs="仿宋_GB2312"/>
          <w:color w:val="000000"/>
          <w:sz w:val="30"/>
          <w:szCs w:val="30"/>
          <w:u w:color="000000"/>
        </w:rPr>
        <w:t>的选手为</w:t>
      </w:r>
      <w:r>
        <w:rPr>
          <w:rFonts w:hint="eastAsia" w:ascii="仿宋_GB2312" w:hAnsi="仿宋_GB2312" w:eastAsia="仿宋_GB2312" w:cs="仿宋_GB2312"/>
          <w:color w:val="000000"/>
          <w:sz w:val="30"/>
          <w:szCs w:val="30"/>
          <w:u w:color="000000"/>
        </w:rPr>
        <w:t>双号。</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_GB2312" w:eastAsia="仿宋_GB2312" w:cs="仿宋_GB2312"/>
          <w:color w:val="000000"/>
          <w:sz w:val="30"/>
          <w:szCs w:val="30"/>
          <w:u w:color="000000"/>
        </w:rPr>
      </w:pPr>
      <w:r>
        <w:rPr>
          <w:rFonts w:ascii="仿宋_GB2312" w:hAnsi="仿宋_GB2312" w:eastAsia="仿宋_GB2312" w:cs="仿宋_GB2312"/>
          <w:color w:val="000000"/>
          <w:sz w:val="30"/>
          <w:szCs w:val="30"/>
          <w:u w:color="000000"/>
        </w:rPr>
        <w:t>2. 参赛选手须为高等职业学校全日制在籍学生；本科院校中高职类全日制在籍学生；五年制高职四、五年级学生可报名参加高职组比赛。高职组参赛选手年龄须不超过25周岁（当年），即1996年11月1日后出生。参赛选手须提供个人真实身份证明。参赛选手在报名获得确认后，原则上不再更换。</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_GB2312" w:eastAsia="仿宋_GB2312" w:cs="仿宋_GB2312"/>
          <w:color w:val="000000"/>
          <w:sz w:val="30"/>
          <w:szCs w:val="30"/>
          <w:u w:color="000000"/>
        </w:rPr>
      </w:pPr>
      <w:r>
        <w:rPr>
          <w:rFonts w:ascii="仿宋_GB2312" w:hAnsi="仿宋_GB2312" w:eastAsia="仿宋_GB2312" w:cs="仿宋_GB2312"/>
          <w:color w:val="000000"/>
          <w:sz w:val="30"/>
          <w:szCs w:val="30"/>
          <w:u w:color="000000"/>
        </w:rPr>
        <w:t>3.参赛队按照赛程安排和具体时间前往指定地点，各参赛选手凭参赛证和有效身份证件参加比赛及相关活动。</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_GB2312" w:eastAsia="仿宋_GB2312" w:cs="仿宋_GB2312"/>
          <w:color w:val="000000"/>
          <w:sz w:val="30"/>
          <w:szCs w:val="30"/>
          <w:u w:color="000000"/>
        </w:rPr>
      </w:pPr>
      <w:r>
        <w:rPr>
          <w:rFonts w:hint="eastAsia" w:ascii="仿宋_GB2312" w:hAnsi="仿宋_GB2312" w:eastAsia="仿宋_GB2312" w:cs="仿宋_GB2312"/>
          <w:color w:val="000000"/>
          <w:sz w:val="30"/>
          <w:szCs w:val="30"/>
          <w:u w:color="000000"/>
        </w:rPr>
        <w:t>4.</w:t>
      </w:r>
      <w:r>
        <w:rPr>
          <w:rFonts w:ascii="仿宋_GB2312" w:hAnsi="仿宋_GB2312" w:eastAsia="仿宋_GB2312" w:cs="仿宋_GB2312"/>
          <w:color w:val="000000"/>
          <w:sz w:val="30"/>
          <w:szCs w:val="30"/>
          <w:u w:color="000000"/>
        </w:rPr>
        <w:t xml:space="preserve"> 参赛选手证件齐全，选手本人的参赛证、有效身份证</w:t>
      </w:r>
      <w:r>
        <w:rPr>
          <w:rFonts w:hint="eastAsia" w:ascii="仿宋_GB2312" w:hAnsi="仿宋_GB2312" w:eastAsia="仿宋_GB2312" w:cs="仿宋_GB2312"/>
          <w:color w:val="000000"/>
          <w:sz w:val="30"/>
          <w:szCs w:val="30"/>
          <w:u w:color="000000"/>
        </w:rPr>
        <w:t>、</w:t>
      </w:r>
      <w:r>
        <w:rPr>
          <w:rFonts w:ascii="仿宋_GB2312" w:hAnsi="仿宋_GB2312" w:eastAsia="仿宋_GB2312" w:cs="仿宋_GB2312"/>
          <w:color w:val="000000"/>
          <w:sz w:val="30"/>
          <w:szCs w:val="30"/>
          <w:u w:color="000000"/>
        </w:rPr>
        <w:t>检录后赛位号严格一致，自行变更参赛选手、参赛赛位的参赛队按作弊处理，取消该参赛队参赛资格。</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_GB2312" w:eastAsia="仿宋_GB2312" w:cs="仿宋_GB2312"/>
          <w:color w:val="000000"/>
          <w:sz w:val="30"/>
          <w:szCs w:val="30"/>
          <w:u w:color="000000"/>
        </w:rPr>
      </w:pPr>
      <w:r>
        <w:rPr>
          <w:rFonts w:ascii="仿宋_GB2312" w:hAnsi="仿宋_GB2312" w:eastAsia="仿宋_GB2312" w:cs="仿宋_GB2312"/>
          <w:color w:val="000000"/>
          <w:sz w:val="30"/>
          <w:szCs w:val="30"/>
          <w:u w:color="000000"/>
        </w:rPr>
        <w:t>5.竞赛期间严格遵守竞赛规则，如有意见由领队在竞赛当天向竞赛组委会仲裁组反映。如发现弄虚作假者，取消参赛资格，名次无效。</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楷体_GB2312" w:hAnsi="仿宋_GB2312" w:eastAsia="楷体_GB2312" w:cs="仿宋_GB2312"/>
          <w:color w:val="000000"/>
          <w:sz w:val="30"/>
          <w:szCs w:val="30"/>
          <w:u w:color="000000"/>
        </w:rPr>
      </w:pPr>
      <w:r>
        <w:rPr>
          <w:rFonts w:hint="eastAsia" w:ascii="楷体_GB2312" w:hAnsi="仿宋_GB2312" w:eastAsia="楷体_GB2312" w:cs="仿宋_GB2312"/>
          <w:color w:val="000000"/>
          <w:sz w:val="30"/>
          <w:szCs w:val="30"/>
          <w:u w:color="000000"/>
        </w:rPr>
        <w:t>（三）领队、指导教师须知</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_GB2312" w:eastAsia="仿宋_GB2312" w:cs="仿宋_GB2312"/>
          <w:color w:val="000000"/>
          <w:sz w:val="30"/>
          <w:szCs w:val="30"/>
          <w:u w:color="000000"/>
        </w:rPr>
      </w:pPr>
      <w:r>
        <w:rPr>
          <w:rFonts w:ascii="仿宋_GB2312" w:hAnsi="仿宋_GB2312" w:eastAsia="仿宋_GB2312" w:cs="仿宋_GB2312"/>
          <w:color w:val="000000"/>
          <w:sz w:val="30"/>
          <w:szCs w:val="30"/>
          <w:u w:color="000000"/>
        </w:rPr>
        <w:t>1.领队按竞赛组委会要求准时参加领队会议，认真传达会议精神。领队应按竞赛组委会要求按时参加预备会，并认真落实会议精神。对比赛中的问题和意见由领队负责向竞赛组委会或仲裁组反映。</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_GB2312" w:eastAsia="仿宋_GB2312" w:cs="仿宋_GB2312"/>
          <w:color w:val="000000"/>
          <w:sz w:val="30"/>
          <w:szCs w:val="30"/>
          <w:u w:color="000000"/>
        </w:rPr>
      </w:pPr>
      <w:r>
        <w:rPr>
          <w:rFonts w:ascii="仿宋_GB2312" w:hAnsi="仿宋_GB2312" w:eastAsia="仿宋_GB2312" w:cs="仿宋_GB2312"/>
          <w:color w:val="000000"/>
          <w:sz w:val="30"/>
          <w:szCs w:val="30"/>
          <w:u w:color="000000"/>
        </w:rPr>
        <w:t>2.领队及指导教师遵守并贯彻执行竞赛组委会的各项规定，妥善管理好本队人员的日常生活及安全，加强对参赛选手的管理，做好赛前准备工作，确保参赛选手准时参加各项比赛。</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_GB2312" w:eastAsia="仿宋_GB2312" w:cs="仿宋_GB2312"/>
          <w:color w:val="000000"/>
          <w:sz w:val="30"/>
          <w:szCs w:val="30"/>
          <w:u w:color="000000"/>
        </w:rPr>
      </w:pPr>
      <w:r>
        <w:rPr>
          <w:rFonts w:ascii="仿宋_GB2312" w:hAnsi="仿宋_GB2312" w:eastAsia="仿宋_GB2312" w:cs="仿宋_GB2312"/>
          <w:color w:val="000000"/>
          <w:sz w:val="30"/>
          <w:szCs w:val="30"/>
          <w:u w:color="000000"/>
        </w:rPr>
        <w:t>3.领队及指导教师做好本单位比赛选手的业务辅导、心理疏导和思想引导工作，对参赛选手及比赛过程报以平和、包容的心态，共同维护竞赛秩序。</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_GB2312" w:eastAsia="仿宋_GB2312" w:cs="仿宋_GB2312"/>
          <w:color w:val="000000"/>
          <w:sz w:val="30"/>
          <w:szCs w:val="30"/>
          <w:u w:color="000000"/>
        </w:rPr>
      </w:pPr>
      <w:r>
        <w:rPr>
          <w:rFonts w:ascii="仿宋_GB2312" w:hAnsi="仿宋_GB2312" w:eastAsia="仿宋_GB2312" w:cs="仿宋_GB2312"/>
          <w:color w:val="000000"/>
          <w:sz w:val="30"/>
          <w:szCs w:val="30"/>
          <w:u w:color="000000"/>
        </w:rPr>
        <w:t>4</w:t>
      </w:r>
      <w:r>
        <w:rPr>
          <w:rFonts w:hint="eastAsia" w:ascii="仿宋_GB2312" w:hAnsi="仿宋_GB2312" w:eastAsia="仿宋_GB2312" w:cs="仿宋_GB2312"/>
          <w:color w:val="000000"/>
          <w:sz w:val="30"/>
          <w:szCs w:val="30"/>
          <w:u w:color="000000"/>
        </w:rPr>
        <w:t>.</w:t>
      </w:r>
      <w:r>
        <w:rPr>
          <w:rFonts w:ascii="仿宋_GB2312" w:hAnsi="仿宋_GB2312" w:eastAsia="仿宋_GB2312" w:cs="仿宋_GB2312"/>
          <w:color w:val="000000"/>
          <w:sz w:val="30"/>
          <w:szCs w:val="30"/>
          <w:u w:color="000000"/>
        </w:rPr>
        <w:t>领队和指导教师要坚决执行竞赛的各项规定，比赛期间严格遵守比赛规则，教育选手树立良好赛风，听从指挥，服从评委，不弄虚作假，确保竞赛顺利进行。</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楷体_GB2312" w:hAnsi="仿宋_GB2312" w:eastAsia="楷体_GB2312" w:cs="仿宋_GB2312"/>
          <w:color w:val="000000"/>
          <w:sz w:val="30"/>
          <w:szCs w:val="30"/>
          <w:u w:color="000000"/>
        </w:rPr>
      </w:pPr>
      <w:r>
        <w:rPr>
          <w:rFonts w:hint="eastAsia" w:ascii="楷体_GB2312" w:hAnsi="仿宋_GB2312" w:eastAsia="楷体_GB2312" w:cs="仿宋_GB2312"/>
          <w:color w:val="000000"/>
          <w:sz w:val="30"/>
          <w:szCs w:val="30"/>
          <w:u w:color="000000"/>
        </w:rPr>
        <w:t>（四）参赛选手须知</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_GB2312" w:eastAsia="仿宋_GB2312" w:cs="仿宋_GB2312"/>
          <w:color w:val="000000"/>
          <w:sz w:val="30"/>
          <w:szCs w:val="30"/>
          <w:u w:color="000000"/>
        </w:rPr>
      </w:pPr>
      <w:r>
        <w:rPr>
          <w:rFonts w:ascii="仿宋_GB2312" w:hAnsi="仿宋_GB2312" w:eastAsia="仿宋_GB2312" w:cs="仿宋_GB2312"/>
          <w:color w:val="000000"/>
          <w:sz w:val="30"/>
          <w:szCs w:val="30"/>
          <w:u w:color="000000"/>
        </w:rPr>
        <w:t>1.参赛选手在竞赛前一天由竞赛组委会统一组织到竞赛场地了解竞赛用物、赛室及有关须知事项。</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_GB2312" w:eastAsia="仿宋_GB2312" w:cs="仿宋_GB2312"/>
          <w:color w:val="000000"/>
          <w:sz w:val="30"/>
          <w:szCs w:val="30"/>
          <w:u w:color="000000"/>
        </w:rPr>
      </w:pPr>
      <w:r>
        <w:rPr>
          <w:rFonts w:ascii="仿宋_GB2312" w:hAnsi="仿宋_GB2312" w:eastAsia="仿宋_GB2312" w:cs="仿宋_GB2312"/>
          <w:color w:val="000000"/>
          <w:sz w:val="30"/>
          <w:szCs w:val="30"/>
          <w:u w:color="000000"/>
        </w:rPr>
        <w:t>2.参赛选手持本人身份证、学生证、选手证，提前30分钟进入检录地点进行资格审查，并抽取赛位号码。</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_GB2312" w:eastAsia="仿宋_GB2312" w:cs="仿宋_GB2312"/>
          <w:color w:val="000000"/>
          <w:sz w:val="30"/>
          <w:szCs w:val="30"/>
          <w:u w:color="000000"/>
        </w:rPr>
      </w:pPr>
      <w:r>
        <w:rPr>
          <w:rFonts w:ascii="仿宋_GB2312" w:hAnsi="仿宋_GB2312" w:eastAsia="仿宋_GB2312" w:cs="仿宋_GB2312"/>
          <w:color w:val="000000"/>
          <w:sz w:val="30"/>
          <w:szCs w:val="30"/>
          <w:u w:color="000000"/>
        </w:rPr>
        <w:t>3. 参赛选手全程必须按规定穿戴好劳动防护服装。选手不得在参赛服饰上作任何标识，违规者取消比赛成绩。</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_GB2312" w:eastAsia="仿宋_GB2312" w:cs="仿宋_GB2312"/>
          <w:color w:val="000000"/>
          <w:sz w:val="30"/>
          <w:szCs w:val="30"/>
          <w:u w:color="000000"/>
        </w:rPr>
      </w:pPr>
      <w:r>
        <w:rPr>
          <w:rFonts w:ascii="仿宋_GB2312" w:hAnsi="仿宋_GB2312" w:eastAsia="仿宋_GB2312" w:cs="仿宋_GB2312"/>
          <w:color w:val="000000"/>
          <w:sz w:val="30"/>
          <w:szCs w:val="30"/>
          <w:u w:color="000000"/>
        </w:rPr>
        <w:t>4.参赛选手竞赛时只能佩戴参赛号码进行报告，不得报告具体学校名称和本人姓名，违规者取消参赛资格。</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_GB2312" w:eastAsia="仿宋_GB2312" w:cs="仿宋_GB2312"/>
          <w:color w:val="000000"/>
          <w:sz w:val="30"/>
          <w:szCs w:val="30"/>
          <w:u w:color="000000"/>
        </w:rPr>
      </w:pPr>
      <w:r>
        <w:rPr>
          <w:rFonts w:hint="eastAsia" w:ascii="仿宋_GB2312" w:hAnsi="仿宋_GB2312" w:eastAsia="仿宋_GB2312" w:cs="仿宋_GB2312"/>
          <w:color w:val="000000"/>
          <w:sz w:val="30"/>
          <w:szCs w:val="30"/>
          <w:u w:color="000000"/>
        </w:rPr>
        <w:t>5.</w:t>
      </w:r>
      <w:r>
        <w:rPr>
          <w:rFonts w:ascii="仿宋_GB2312" w:hAnsi="仿宋_GB2312" w:eastAsia="仿宋_GB2312" w:cs="仿宋_GB2312"/>
          <w:color w:val="000000"/>
          <w:sz w:val="30"/>
          <w:szCs w:val="30"/>
          <w:u w:color="000000"/>
        </w:rPr>
        <w:t>竞赛开始、终止时由选手举手示意，比赛超时由裁判示意选手终止操作。选手提前结束竞赛后不得再进行任何操作。选手在竞赛过程中不得擅自离开赛场，如遇特殊情况，需经裁判同意后作特殊处理。</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_GB2312" w:eastAsia="仿宋_GB2312" w:cs="仿宋_GB2312"/>
          <w:color w:val="000000"/>
          <w:sz w:val="30"/>
          <w:szCs w:val="30"/>
          <w:u w:color="000000"/>
        </w:rPr>
      </w:pPr>
      <w:r>
        <w:rPr>
          <w:rFonts w:hint="eastAsia" w:ascii="仿宋_GB2312" w:hAnsi="仿宋_GB2312" w:eastAsia="仿宋_GB2312" w:cs="仿宋_GB2312"/>
          <w:color w:val="000000"/>
          <w:sz w:val="30"/>
          <w:szCs w:val="30"/>
          <w:u w:color="000000"/>
        </w:rPr>
        <w:t>6</w:t>
      </w:r>
      <w:r>
        <w:rPr>
          <w:rFonts w:ascii="仿宋_GB2312" w:hAnsi="仿宋_GB2312" w:eastAsia="仿宋_GB2312" w:cs="仿宋_GB2312"/>
          <w:color w:val="000000"/>
          <w:sz w:val="30"/>
          <w:szCs w:val="30"/>
          <w:u w:color="000000"/>
        </w:rPr>
        <w:t>.参赛选手应严格遵守赛场纪律，服从指挥，依据竞赛组委会指定路线进入和离开赛场。</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_GB2312" w:eastAsia="仿宋_GB2312" w:cs="仿宋_GB2312"/>
          <w:color w:val="000000"/>
          <w:sz w:val="30"/>
          <w:szCs w:val="30"/>
          <w:u w:color="000000"/>
        </w:rPr>
      </w:pPr>
      <w:r>
        <w:rPr>
          <w:rFonts w:hint="eastAsia" w:ascii="仿宋_GB2312" w:hAnsi="仿宋_GB2312" w:eastAsia="仿宋_GB2312" w:cs="仿宋_GB2312"/>
          <w:color w:val="000000"/>
          <w:sz w:val="30"/>
          <w:szCs w:val="30"/>
          <w:u w:color="000000"/>
        </w:rPr>
        <w:t>7</w:t>
      </w:r>
      <w:r>
        <w:rPr>
          <w:rFonts w:ascii="仿宋_GB2312" w:hAnsi="仿宋_GB2312" w:eastAsia="仿宋_GB2312" w:cs="仿宋_GB2312"/>
          <w:color w:val="000000"/>
          <w:sz w:val="30"/>
          <w:szCs w:val="30"/>
          <w:u w:color="000000"/>
        </w:rPr>
        <w:t>.参赛选手不得携带任何与竞赛相关的资料、课本、</w:t>
      </w:r>
      <w:r>
        <w:rPr>
          <w:rFonts w:hint="eastAsia" w:ascii="仿宋_GB2312" w:hAnsi="仿宋_GB2312" w:eastAsia="仿宋_GB2312" w:cs="仿宋_GB2312"/>
          <w:color w:val="000000"/>
          <w:sz w:val="30"/>
          <w:szCs w:val="30"/>
          <w:u w:color="000000"/>
        </w:rPr>
        <w:t>U盘、手机和其他</w:t>
      </w:r>
      <w:r>
        <w:rPr>
          <w:rFonts w:ascii="仿宋_GB2312" w:hAnsi="仿宋_GB2312" w:eastAsia="仿宋_GB2312" w:cs="仿宋_GB2312"/>
          <w:color w:val="000000"/>
          <w:sz w:val="30"/>
          <w:szCs w:val="30"/>
          <w:u w:color="000000"/>
        </w:rPr>
        <w:t>通讯工具等进入赛场。</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_GB2312" w:eastAsia="仿宋_GB2312" w:cs="仿宋_GB2312"/>
          <w:color w:val="000000"/>
          <w:sz w:val="30"/>
          <w:szCs w:val="30"/>
          <w:u w:color="000000"/>
        </w:rPr>
      </w:pPr>
      <w:r>
        <w:rPr>
          <w:rFonts w:hint="eastAsia" w:ascii="仿宋_GB2312" w:hAnsi="仿宋_GB2312" w:eastAsia="仿宋_GB2312" w:cs="仿宋_GB2312"/>
          <w:color w:val="000000"/>
          <w:sz w:val="30"/>
          <w:szCs w:val="30"/>
          <w:u w:color="000000"/>
        </w:rPr>
        <w:t>8</w:t>
      </w:r>
      <w:r>
        <w:rPr>
          <w:rFonts w:ascii="仿宋_GB2312" w:hAnsi="仿宋_GB2312" w:eastAsia="仿宋_GB2312" w:cs="仿宋_GB2312"/>
          <w:color w:val="000000"/>
          <w:sz w:val="30"/>
          <w:szCs w:val="30"/>
          <w:u w:color="000000"/>
        </w:rPr>
        <w:t>.裁判长发出竞赛开始信号后，选手才能操作。竞赛时选手必须遵守操作要求，规范操作，确保安全。竞赛中途不得离开赛场。</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_GB2312" w:eastAsia="仿宋_GB2312" w:cs="仿宋_GB2312"/>
          <w:color w:val="000000"/>
          <w:sz w:val="30"/>
          <w:szCs w:val="30"/>
          <w:u w:color="000000"/>
        </w:rPr>
      </w:pPr>
      <w:r>
        <w:rPr>
          <w:rFonts w:hint="eastAsia" w:ascii="仿宋_GB2312" w:hAnsi="仿宋_GB2312" w:eastAsia="仿宋_GB2312" w:cs="仿宋_GB2312"/>
          <w:color w:val="000000"/>
          <w:sz w:val="30"/>
          <w:szCs w:val="30"/>
          <w:u w:color="000000"/>
        </w:rPr>
        <w:t>9</w:t>
      </w:r>
      <w:r>
        <w:rPr>
          <w:rFonts w:ascii="仿宋_GB2312" w:hAnsi="仿宋_GB2312" w:eastAsia="仿宋_GB2312" w:cs="仿宋_GB2312"/>
          <w:color w:val="000000"/>
          <w:sz w:val="30"/>
          <w:szCs w:val="30"/>
          <w:u w:color="000000"/>
        </w:rPr>
        <w:t>.竞赛过程中，选手须严格遵守操作流程和规则，并自觉接受裁判的监督和警示。若因突发故障导致竞赛中断，应请示裁判确认其原因,并视具体情况做出裁决。竞赛过程中如遇问题，需举手报告，由评委记录并现场处理。</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_GB2312" w:eastAsia="仿宋_GB2312" w:cs="仿宋_GB2312"/>
          <w:color w:val="000000"/>
          <w:sz w:val="30"/>
          <w:szCs w:val="30"/>
          <w:u w:color="000000"/>
        </w:rPr>
      </w:pPr>
      <w:r>
        <w:rPr>
          <w:rFonts w:hint="eastAsia" w:ascii="仿宋_GB2312" w:hAnsi="仿宋_GB2312" w:eastAsia="仿宋_GB2312" w:cs="仿宋_GB2312"/>
          <w:color w:val="000000"/>
          <w:sz w:val="30"/>
          <w:szCs w:val="30"/>
          <w:u w:color="000000"/>
        </w:rPr>
        <w:t>10</w:t>
      </w:r>
      <w:r>
        <w:rPr>
          <w:rFonts w:ascii="仿宋_GB2312" w:hAnsi="仿宋_GB2312" w:eastAsia="仿宋_GB2312" w:cs="仿宋_GB2312"/>
          <w:color w:val="000000"/>
          <w:sz w:val="30"/>
          <w:szCs w:val="30"/>
          <w:u w:color="000000"/>
        </w:rPr>
        <w:t>.参赛选手要服从工作人员的管理，接受工作人员的监督和检查。赛场作弊或违反赛场纪律者，取消其参赛资格，成绩以零分计算。</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_GB2312" w:eastAsia="仿宋_GB2312" w:cs="仿宋_GB2312"/>
          <w:color w:val="000000"/>
          <w:sz w:val="30"/>
          <w:szCs w:val="30"/>
          <w:u w:color="000000"/>
        </w:rPr>
      </w:pPr>
      <w:r>
        <w:rPr>
          <w:rFonts w:hint="eastAsia" w:ascii="仿宋_GB2312" w:hAnsi="仿宋_GB2312" w:eastAsia="仿宋_GB2312" w:cs="仿宋_GB2312"/>
          <w:color w:val="000000"/>
          <w:sz w:val="30"/>
          <w:szCs w:val="30"/>
          <w:u w:color="000000"/>
        </w:rPr>
        <w:t>1</w:t>
      </w:r>
      <w:r>
        <w:rPr>
          <w:rFonts w:ascii="仿宋_GB2312" w:hAnsi="仿宋_GB2312" w:eastAsia="仿宋_GB2312" w:cs="仿宋_GB2312"/>
          <w:color w:val="000000"/>
          <w:sz w:val="30"/>
          <w:szCs w:val="30"/>
          <w:u w:color="000000"/>
        </w:rPr>
        <w:t>1.</w:t>
      </w:r>
      <w:r>
        <w:rPr>
          <w:rFonts w:hint="eastAsia" w:ascii="仿宋_GB2312" w:hAnsi="仿宋_GB2312" w:eastAsia="仿宋_GB2312" w:cs="仿宋_GB2312"/>
          <w:color w:val="000000"/>
          <w:sz w:val="30"/>
          <w:szCs w:val="30"/>
          <w:u w:color="000000"/>
        </w:rPr>
        <w:t>竞赛期间，竞赛选手应服从现场裁判及相关工作人员管理，若对现场裁判评分产生异议，不得与裁判争执、顶撞，但可于规定时限内由领队向竞赛仲裁委员会提出书面申诉，由竞赛仲裁委员会调查核实并处理。</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_GB2312" w:eastAsia="仿宋_GB2312" w:cs="仿宋_GB2312"/>
          <w:color w:val="000000"/>
          <w:sz w:val="30"/>
          <w:szCs w:val="30"/>
          <w:u w:color="000000"/>
        </w:rPr>
      </w:pPr>
      <w:r>
        <w:rPr>
          <w:rFonts w:ascii="仿宋_GB2312" w:hAnsi="仿宋_GB2312" w:eastAsia="仿宋_GB2312" w:cs="仿宋_GB2312"/>
          <w:color w:val="000000"/>
          <w:sz w:val="30"/>
          <w:szCs w:val="30"/>
          <w:u w:color="000000"/>
        </w:rPr>
        <w:t>12</w:t>
      </w:r>
      <w:r>
        <w:rPr>
          <w:rFonts w:hint="eastAsia" w:ascii="仿宋_GB2312" w:hAnsi="仿宋_GB2312" w:eastAsia="仿宋_GB2312" w:cs="仿宋_GB2312"/>
          <w:color w:val="000000"/>
          <w:sz w:val="30"/>
          <w:szCs w:val="30"/>
          <w:u w:color="000000"/>
        </w:rPr>
        <w:t>．参赛选手需按照竞赛要求提交竞赛结果，裁判长与参赛选手一起签字确认。</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_GB2312" w:eastAsia="仿宋_GB2312" w:cs="仿宋_GB2312"/>
          <w:color w:val="000000"/>
          <w:sz w:val="30"/>
          <w:szCs w:val="30"/>
          <w:u w:color="000000"/>
        </w:rPr>
      </w:pPr>
      <w:r>
        <w:rPr>
          <w:rFonts w:ascii="仿宋_GB2312" w:hAnsi="仿宋_GB2312" w:eastAsia="仿宋_GB2312" w:cs="仿宋_GB2312"/>
          <w:color w:val="000000"/>
          <w:sz w:val="30"/>
          <w:szCs w:val="30"/>
          <w:u w:color="000000"/>
        </w:rPr>
        <w:t>13.参赛选手结束竞赛，经裁判同意方可离开赛场，不得再次进入赛场。选手不得将竞赛所提供的竞赛用品带离场外。</w:t>
      </w:r>
    </w:p>
    <w:p>
      <w:pPr>
        <w:keepNext w:val="0"/>
        <w:keepLines w:val="0"/>
        <w:pageBreakBefore w:val="0"/>
        <w:widowControl w:val="0"/>
        <w:tabs>
          <w:tab w:val="left" w:pos="6120"/>
        </w:tabs>
        <w:kinsoku/>
        <w:wordWrap/>
        <w:overflowPunct/>
        <w:topLinePunct w:val="0"/>
        <w:bidi w:val="0"/>
        <w:snapToGrid/>
        <w:spacing w:line="560" w:lineRule="exact"/>
        <w:ind w:firstLine="600" w:firstLineChars="200"/>
        <w:textAlignment w:val="auto"/>
        <w:outlineLvl w:val="1"/>
        <w:rPr>
          <w:rFonts w:ascii="黑体" w:hAnsi="黑体" w:eastAsia="黑体" w:cs="黑体"/>
          <w:sz w:val="30"/>
          <w:szCs w:val="30"/>
          <w:lang w:val="zh-TW"/>
        </w:rPr>
      </w:pPr>
      <w:r>
        <w:rPr>
          <w:rFonts w:ascii="黑体" w:hAnsi="黑体" w:eastAsia="黑体" w:cs="黑体"/>
          <w:sz w:val="30"/>
          <w:szCs w:val="30"/>
          <w:lang w:val="zh-TW"/>
        </w:rPr>
        <w:t>十</w:t>
      </w:r>
      <w:r>
        <w:rPr>
          <w:rFonts w:hint="eastAsia" w:ascii="黑体" w:hAnsi="黑体" w:eastAsia="黑体" w:cs="黑体"/>
          <w:sz w:val="30"/>
          <w:szCs w:val="30"/>
          <w:lang w:val="zh-TW"/>
        </w:rPr>
        <w:t>七</w:t>
      </w:r>
      <w:r>
        <w:rPr>
          <w:rFonts w:ascii="黑体" w:hAnsi="黑体" w:eastAsia="黑体" w:cs="黑体"/>
          <w:sz w:val="30"/>
          <w:szCs w:val="30"/>
          <w:lang w:val="zh-TW"/>
        </w:rPr>
        <w:t>、赛场预案</w:t>
      </w:r>
    </w:p>
    <w:p>
      <w:pPr>
        <w:pStyle w:val="12"/>
        <w:keepNext w:val="0"/>
        <w:keepLines w:val="0"/>
        <w:pageBreakBefore w:val="0"/>
        <w:widowControl w:val="0"/>
        <w:kinsoku/>
        <w:wordWrap/>
        <w:overflowPunct/>
        <w:topLinePunct w:val="0"/>
        <w:bidi w:val="0"/>
        <w:snapToGrid/>
        <w:spacing w:line="560" w:lineRule="exact"/>
        <w:ind w:firstLine="600"/>
        <w:textAlignment w:val="auto"/>
        <w:rPr>
          <w:rFonts w:ascii="楷体_GB2312" w:hAnsi="仿宋" w:eastAsia="楷体_GB2312" w:cs="仿宋_GB2312"/>
          <w:sz w:val="30"/>
          <w:szCs w:val="30"/>
          <w:lang w:val="zh-TW"/>
        </w:rPr>
      </w:pPr>
      <w:r>
        <w:rPr>
          <w:rFonts w:hint="eastAsia" w:ascii="楷体_GB2312" w:hAnsi="仿宋" w:eastAsia="楷体_GB2312" w:cs="仿宋_GB2312"/>
          <w:sz w:val="30"/>
          <w:szCs w:val="30"/>
          <w:lang w:val="zh-TW"/>
        </w:rPr>
        <w:t>（一）指导思想</w:t>
      </w:r>
    </w:p>
    <w:p>
      <w:pPr>
        <w:keepNext w:val="0"/>
        <w:keepLines w:val="0"/>
        <w:pageBreakBefore w:val="0"/>
        <w:widowControl w:val="0"/>
        <w:tabs>
          <w:tab w:val="left" w:pos="6120"/>
        </w:tabs>
        <w:kinsoku/>
        <w:wordWrap/>
        <w:overflowPunct/>
        <w:topLinePunct w:val="0"/>
        <w:bidi w:val="0"/>
        <w:snapToGrid/>
        <w:spacing w:line="560" w:lineRule="exact"/>
        <w:ind w:firstLine="600" w:firstLineChars="200"/>
        <w:textAlignment w:val="auto"/>
        <w:outlineLvl w:val="1"/>
        <w:rPr>
          <w:rFonts w:hint="eastAsia" w:ascii="仿宋_GB2312" w:hAnsi="仿宋_GB2312" w:eastAsia="仿宋_GB2312" w:cs="仿宋_GB2312"/>
          <w:color w:val="000000"/>
          <w:sz w:val="30"/>
          <w:szCs w:val="30"/>
          <w:u w:color="000000"/>
          <w:lang w:val="zh-TW"/>
        </w:rPr>
      </w:pPr>
      <w:r>
        <w:rPr>
          <w:rFonts w:hint="eastAsia" w:ascii="仿宋_GB2312" w:hAnsi="仿宋_GB2312" w:eastAsia="仿宋_GB2312" w:cs="仿宋_GB2312"/>
          <w:color w:val="000000"/>
          <w:sz w:val="30"/>
          <w:szCs w:val="30"/>
          <w:u w:color="000000"/>
          <w:lang w:val="zh-TW"/>
        </w:rPr>
        <w:t>根据“安全第一，预防为主”的原则，保障大赛期间赛场安全，防范安全事故发生，对引发的突发性事故有充分的思想准备和应变措施，确保赛场在发生事故后，能科学有效地实施处置，切实有效降低和控制安全事故的危害，确保竞赛顺利开展。</w:t>
      </w:r>
    </w:p>
    <w:p>
      <w:pPr>
        <w:pStyle w:val="12"/>
        <w:keepNext w:val="0"/>
        <w:keepLines w:val="0"/>
        <w:pageBreakBefore w:val="0"/>
        <w:widowControl w:val="0"/>
        <w:kinsoku/>
        <w:wordWrap/>
        <w:overflowPunct/>
        <w:topLinePunct w:val="0"/>
        <w:bidi w:val="0"/>
        <w:snapToGrid/>
        <w:spacing w:line="560" w:lineRule="exact"/>
        <w:ind w:firstLine="600"/>
        <w:textAlignment w:val="auto"/>
        <w:rPr>
          <w:rFonts w:ascii="楷体_GB2312" w:hAnsi="仿宋" w:eastAsia="楷体_GB2312" w:cs="仿宋_GB2312"/>
          <w:sz w:val="30"/>
          <w:szCs w:val="30"/>
          <w:lang w:val="zh-TW"/>
        </w:rPr>
      </w:pPr>
      <w:r>
        <w:rPr>
          <w:rFonts w:hint="eastAsia" w:ascii="楷体_GB2312" w:hAnsi="仿宋" w:eastAsia="楷体_GB2312" w:cs="仿宋_GB2312"/>
          <w:sz w:val="30"/>
          <w:szCs w:val="30"/>
          <w:lang w:val="zh-TW"/>
        </w:rPr>
        <w:t>（二）组织领导</w:t>
      </w:r>
    </w:p>
    <w:p>
      <w:pPr>
        <w:keepNext w:val="0"/>
        <w:keepLines w:val="0"/>
        <w:pageBreakBefore w:val="0"/>
        <w:widowControl w:val="0"/>
        <w:tabs>
          <w:tab w:val="left" w:pos="6120"/>
        </w:tabs>
        <w:kinsoku/>
        <w:wordWrap/>
        <w:overflowPunct/>
        <w:topLinePunct w:val="0"/>
        <w:bidi w:val="0"/>
        <w:snapToGrid/>
        <w:spacing w:line="560" w:lineRule="exact"/>
        <w:ind w:firstLine="600" w:firstLineChars="200"/>
        <w:textAlignment w:val="auto"/>
        <w:outlineLvl w:val="1"/>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成立赛项竞赛安全应急工作领导小组。</w:t>
      </w:r>
    </w:p>
    <w:p>
      <w:pPr>
        <w:pStyle w:val="12"/>
        <w:keepNext w:val="0"/>
        <w:keepLines w:val="0"/>
        <w:pageBreakBefore w:val="0"/>
        <w:widowControl w:val="0"/>
        <w:kinsoku/>
        <w:wordWrap/>
        <w:overflowPunct/>
        <w:topLinePunct w:val="0"/>
        <w:bidi w:val="0"/>
        <w:snapToGrid/>
        <w:spacing w:line="560" w:lineRule="exact"/>
        <w:ind w:firstLine="600"/>
        <w:textAlignment w:val="auto"/>
        <w:rPr>
          <w:rFonts w:ascii="楷体_GB2312" w:hAnsi="仿宋" w:eastAsia="楷体_GB2312" w:cs="仿宋_GB2312"/>
          <w:sz w:val="30"/>
          <w:szCs w:val="30"/>
          <w:lang w:val="zh-TW"/>
        </w:rPr>
      </w:pPr>
      <w:r>
        <w:rPr>
          <w:rFonts w:hint="eastAsia" w:ascii="楷体_GB2312" w:hAnsi="仿宋" w:eastAsia="楷体_GB2312" w:cs="仿宋_GB2312"/>
          <w:sz w:val="30"/>
          <w:szCs w:val="30"/>
          <w:lang w:val="zh-TW"/>
        </w:rPr>
        <w:t>（三）竞赛过程中主要突发事故及应急处理方法</w:t>
      </w:r>
    </w:p>
    <w:p>
      <w:pPr>
        <w:keepNext w:val="0"/>
        <w:keepLines w:val="0"/>
        <w:pageBreakBefore w:val="0"/>
        <w:widowControl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color w:val="000000"/>
          <w:sz w:val="30"/>
          <w:szCs w:val="30"/>
          <w:u w:color="000000"/>
          <w:lang w:val="zh-TW"/>
        </w:rPr>
      </w:pPr>
      <w:r>
        <w:rPr>
          <w:rFonts w:hint="eastAsia" w:ascii="仿宋_GB2312" w:hAnsi="仿宋_GB2312" w:eastAsia="仿宋_GB2312" w:cs="仿宋_GB2312"/>
          <w:color w:val="000000"/>
          <w:sz w:val="30"/>
          <w:szCs w:val="30"/>
          <w:u w:color="000000"/>
          <w:lang w:val="zh-TW"/>
        </w:rPr>
        <w:t>1.药品使用事故</w:t>
      </w:r>
    </w:p>
    <w:p>
      <w:pPr>
        <w:keepNext w:val="0"/>
        <w:keepLines w:val="0"/>
        <w:pageBreakBefore w:val="0"/>
        <w:widowControl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color w:val="000000"/>
          <w:sz w:val="30"/>
          <w:szCs w:val="30"/>
          <w:u w:color="000000"/>
          <w:lang w:val="zh-TW"/>
        </w:rPr>
      </w:pPr>
      <w:r>
        <w:rPr>
          <w:rFonts w:hint="eastAsia" w:ascii="仿宋_GB2312" w:hAnsi="仿宋_GB2312" w:eastAsia="仿宋_GB2312" w:cs="仿宋_GB2312"/>
          <w:color w:val="000000"/>
          <w:sz w:val="30"/>
          <w:szCs w:val="30"/>
          <w:u w:color="000000"/>
          <w:lang w:val="zh-TW"/>
        </w:rPr>
        <w:t>（1）比赛用药品由专人统一保管和更换。</w:t>
      </w:r>
    </w:p>
    <w:p>
      <w:pPr>
        <w:keepNext w:val="0"/>
        <w:keepLines w:val="0"/>
        <w:pageBreakBefore w:val="0"/>
        <w:widowControl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color w:val="000000"/>
          <w:sz w:val="30"/>
          <w:szCs w:val="30"/>
          <w:u w:color="000000"/>
          <w:lang w:val="zh-TW"/>
        </w:rPr>
      </w:pPr>
      <w:r>
        <w:rPr>
          <w:rFonts w:hint="eastAsia" w:ascii="仿宋_GB2312" w:hAnsi="仿宋_GB2312" w:eastAsia="仿宋_GB2312" w:cs="仿宋_GB2312"/>
          <w:color w:val="000000"/>
          <w:sz w:val="30"/>
          <w:szCs w:val="30"/>
          <w:u w:color="000000"/>
          <w:lang w:val="zh-TW"/>
        </w:rPr>
        <w:t>（2）取用药品要佩戴专用防护手套。</w:t>
      </w:r>
    </w:p>
    <w:p>
      <w:pPr>
        <w:keepNext w:val="0"/>
        <w:keepLines w:val="0"/>
        <w:pageBreakBefore w:val="0"/>
        <w:widowControl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color w:val="000000"/>
          <w:sz w:val="30"/>
          <w:szCs w:val="30"/>
          <w:u w:color="000000"/>
          <w:lang w:val="zh-TW"/>
        </w:rPr>
      </w:pPr>
      <w:r>
        <w:rPr>
          <w:rFonts w:hint="eastAsia" w:ascii="仿宋_GB2312" w:hAnsi="仿宋_GB2312" w:eastAsia="仿宋_GB2312" w:cs="仿宋_GB2312"/>
          <w:color w:val="000000"/>
          <w:sz w:val="30"/>
          <w:szCs w:val="30"/>
          <w:u w:color="000000"/>
          <w:lang w:val="zh-TW"/>
        </w:rPr>
        <w:t>（3）药品分组使用不能串用、混用，使用后要及时归还回位置。</w:t>
      </w:r>
    </w:p>
    <w:p>
      <w:pPr>
        <w:keepNext w:val="0"/>
        <w:keepLines w:val="0"/>
        <w:pageBreakBefore w:val="0"/>
        <w:widowControl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color w:val="000000"/>
          <w:sz w:val="30"/>
          <w:szCs w:val="30"/>
          <w:u w:color="000000"/>
          <w:lang w:val="zh-TW"/>
        </w:rPr>
      </w:pPr>
      <w:r>
        <w:rPr>
          <w:rFonts w:hint="eastAsia" w:ascii="仿宋_GB2312" w:hAnsi="仿宋_GB2312" w:eastAsia="仿宋_GB2312" w:cs="仿宋_GB2312"/>
          <w:color w:val="000000"/>
          <w:sz w:val="30"/>
          <w:szCs w:val="30"/>
          <w:u w:color="000000"/>
          <w:lang w:val="zh-TW"/>
        </w:rPr>
        <w:t>（4）发生涉及药品的安全事故，由现场人员依不同情况酌情实施急救，并及时上报。</w:t>
      </w:r>
    </w:p>
    <w:p>
      <w:pPr>
        <w:keepNext w:val="0"/>
        <w:keepLines w:val="0"/>
        <w:pageBreakBefore w:val="0"/>
        <w:widowControl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color w:val="000000"/>
          <w:sz w:val="30"/>
          <w:szCs w:val="30"/>
          <w:u w:color="000000"/>
          <w:lang w:val="zh-TW"/>
        </w:rPr>
      </w:pPr>
      <w:r>
        <w:rPr>
          <w:rFonts w:hint="eastAsia" w:ascii="仿宋_GB2312" w:hAnsi="仿宋_GB2312" w:eastAsia="仿宋_GB2312" w:cs="仿宋_GB2312"/>
          <w:color w:val="000000"/>
          <w:sz w:val="30"/>
          <w:szCs w:val="30"/>
          <w:u w:color="000000"/>
          <w:lang w:val="zh-TW"/>
        </w:rPr>
        <w:t>（5）组织人员对事发场地外围进行封锁，严禁无关人员进入，防止危害进一步扩大。</w:t>
      </w:r>
    </w:p>
    <w:p>
      <w:pPr>
        <w:keepNext w:val="0"/>
        <w:keepLines w:val="0"/>
        <w:pageBreakBefore w:val="0"/>
        <w:widowControl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color w:val="000000"/>
          <w:sz w:val="30"/>
          <w:szCs w:val="30"/>
          <w:u w:color="000000"/>
          <w:lang w:val="zh-TW"/>
        </w:rPr>
      </w:pPr>
      <w:r>
        <w:rPr>
          <w:rFonts w:hint="eastAsia" w:ascii="仿宋_GB2312" w:hAnsi="仿宋_GB2312" w:eastAsia="仿宋_GB2312" w:cs="仿宋_GB2312"/>
          <w:color w:val="000000"/>
          <w:sz w:val="30"/>
          <w:szCs w:val="30"/>
          <w:u w:color="000000"/>
          <w:lang w:val="zh-TW"/>
        </w:rPr>
        <w:t>（6）立即联系医疗救护人员到现场进行医疗救护工作，同时拨打120急救电话。</w:t>
      </w:r>
    </w:p>
    <w:p>
      <w:pPr>
        <w:pStyle w:val="12"/>
        <w:keepNext w:val="0"/>
        <w:keepLines w:val="0"/>
        <w:pageBreakBefore w:val="0"/>
        <w:widowControl w:val="0"/>
        <w:kinsoku/>
        <w:wordWrap/>
        <w:overflowPunct/>
        <w:topLinePunct w:val="0"/>
        <w:bidi w:val="0"/>
        <w:snapToGrid/>
        <w:spacing w:line="560" w:lineRule="exact"/>
        <w:ind w:firstLine="600"/>
        <w:textAlignment w:val="auto"/>
        <w:rPr>
          <w:rFonts w:hint="eastAsia" w:ascii="仿宋_GB2312" w:hAnsi="仿宋_GB2312" w:eastAsia="仿宋_GB2312" w:cs="仿宋_GB2312"/>
          <w:sz w:val="30"/>
          <w:szCs w:val="30"/>
          <w:lang w:val="zh-TW"/>
        </w:rPr>
      </w:pPr>
      <w:r>
        <w:rPr>
          <w:rFonts w:hint="eastAsia" w:ascii="仿宋_GB2312" w:hAnsi="仿宋_GB2312" w:eastAsia="仿宋_GB2312" w:cs="仿宋_GB2312"/>
          <w:sz w:val="30"/>
          <w:szCs w:val="30"/>
          <w:lang w:val="zh-TW"/>
        </w:rPr>
        <w:t>2.水、电使用事故</w:t>
      </w:r>
    </w:p>
    <w:p>
      <w:pPr>
        <w:pStyle w:val="12"/>
        <w:keepNext w:val="0"/>
        <w:keepLines w:val="0"/>
        <w:pageBreakBefore w:val="0"/>
        <w:widowControl w:val="0"/>
        <w:kinsoku/>
        <w:wordWrap/>
        <w:overflowPunct/>
        <w:topLinePunct w:val="0"/>
        <w:bidi w:val="0"/>
        <w:snapToGrid/>
        <w:spacing w:line="560" w:lineRule="exact"/>
        <w:ind w:firstLine="600"/>
        <w:textAlignment w:val="auto"/>
        <w:rPr>
          <w:rFonts w:hint="eastAsia" w:ascii="仿宋_GB2312" w:hAnsi="仿宋_GB2312" w:eastAsia="仿宋_GB2312" w:cs="仿宋_GB2312"/>
          <w:sz w:val="30"/>
          <w:szCs w:val="30"/>
          <w:lang w:val="zh-TW"/>
        </w:rPr>
      </w:pPr>
      <w:r>
        <w:rPr>
          <w:rFonts w:hint="eastAsia" w:ascii="仿宋_GB2312" w:hAnsi="仿宋_GB2312" w:eastAsia="仿宋_GB2312" w:cs="仿宋_GB2312"/>
          <w:sz w:val="30"/>
          <w:szCs w:val="30"/>
          <w:lang w:val="zh-TW"/>
        </w:rPr>
        <w:t>（1）一旦发生水电路故障、停水、停电等现象，现场人员要在第一时间向应急处置小组报告，并采取有效措施，防止发生事故。</w:t>
      </w:r>
    </w:p>
    <w:p>
      <w:pPr>
        <w:pStyle w:val="12"/>
        <w:keepNext w:val="0"/>
        <w:keepLines w:val="0"/>
        <w:pageBreakBefore w:val="0"/>
        <w:widowControl w:val="0"/>
        <w:kinsoku/>
        <w:wordWrap/>
        <w:overflowPunct/>
        <w:topLinePunct w:val="0"/>
        <w:bidi w:val="0"/>
        <w:snapToGrid/>
        <w:spacing w:line="560" w:lineRule="exact"/>
        <w:ind w:firstLine="600"/>
        <w:textAlignment w:val="auto"/>
        <w:rPr>
          <w:rFonts w:hint="eastAsia" w:ascii="仿宋_GB2312" w:hAnsi="仿宋_GB2312" w:eastAsia="仿宋_GB2312" w:cs="仿宋_GB2312"/>
          <w:sz w:val="30"/>
          <w:szCs w:val="30"/>
          <w:lang w:val="zh-TW"/>
        </w:rPr>
      </w:pPr>
      <w:r>
        <w:rPr>
          <w:rFonts w:hint="eastAsia" w:ascii="仿宋_GB2312" w:hAnsi="仿宋_GB2312" w:eastAsia="仿宋_GB2312" w:cs="仿宋_GB2312"/>
          <w:sz w:val="30"/>
          <w:szCs w:val="30"/>
          <w:lang w:val="zh-TW"/>
        </w:rPr>
        <w:t>（2）应急小组接到报告后，立即启动预案。</w:t>
      </w:r>
      <w:bookmarkStart w:id="14" w:name="_GoBack"/>
      <w:bookmarkEnd w:id="14"/>
    </w:p>
    <w:p>
      <w:pPr>
        <w:pStyle w:val="12"/>
        <w:keepNext w:val="0"/>
        <w:keepLines w:val="0"/>
        <w:pageBreakBefore w:val="0"/>
        <w:widowControl w:val="0"/>
        <w:kinsoku/>
        <w:wordWrap/>
        <w:overflowPunct/>
        <w:topLinePunct w:val="0"/>
        <w:bidi w:val="0"/>
        <w:snapToGrid/>
        <w:spacing w:line="560" w:lineRule="exact"/>
        <w:ind w:firstLine="600"/>
        <w:textAlignment w:val="auto"/>
        <w:rPr>
          <w:rFonts w:hint="eastAsia" w:ascii="仿宋_GB2312" w:hAnsi="仿宋_GB2312" w:eastAsia="仿宋_GB2312" w:cs="仿宋_GB2312"/>
          <w:sz w:val="30"/>
          <w:szCs w:val="30"/>
          <w:lang w:val="zh-TW"/>
        </w:rPr>
      </w:pPr>
      <w:r>
        <w:rPr>
          <w:rFonts w:hint="eastAsia" w:ascii="仿宋_GB2312" w:hAnsi="仿宋_GB2312" w:eastAsia="仿宋_GB2312" w:cs="仿宋_GB2312"/>
          <w:sz w:val="30"/>
          <w:szCs w:val="30"/>
          <w:lang w:val="zh-TW"/>
        </w:rPr>
        <w:t>① 发生水、电路故障，立即联系学院后勤处，由后勤处立即安排专业人员在第一时间到现场进行检测、维修，尽快修复。</w:t>
      </w:r>
    </w:p>
    <w:p>
      <w:pPr>
        <w:pStyle w:val="12"/>
        <w:keepNext w:val="0"/>
        <w:keepLines w:val="0"/>
        <w:pageBreakBefore w:val="0"/>
        <w:widowControl w:val="0"/>
        <w:kinsoku/>
        <w:wordWrap/>
        <w:overflowPunct/>
        <w:topLinePunct w:val="0"/>
        <w:bidi w:val="0"/>
        <w:snapToGrid/>
        <w:spacing w:line="560" w:lineRule="exact"/>
        <w:ind w:firstLine="600"/>
        <w:textAlignment w:val="auto"/>
        <w:rPr>
          <w:rFonts w:hint="eastAsia" w:ascii="仿宋_GB2312" w:hAnsi="仿宋_GB2312" w:eastAsia="仿宋_GB2312" w:cs="仿宋_GB2312"/>
          <w:sz w:val="30"/>
          <w:szCs w:val="30"/>
          <w:lang w:val="zh-TW"/>
        </w:rPr>
      </w:pPr>
      <w:r>
        <w:rPr>
          <w:rFonts w:hint="eastAsia" w:ascii="仿宋_GB2312" w:hAnsi="仿宋_GB2312" w:eastAsia="仿宋_GB2312" w:cs="仿宋_GB2312"/>
          <w:sz w:val="30"/>
          <w:szCs w:val="30"/>
          <w:lang w:val="zh-TW"/>
        </w:rPr>
        <w:t>② 发生停水、停电现象，立即联系承办单位后勤部门，立即安排人员查明停电原因，组织发电工作。</w:t>
      </w:r>
    </w:p>
    <w:p>
      <w:pPr>
        <w:pStyle w:val="12"/>
        <w:keepNext w:val="0"/>
        <w:keepLines w:val="0"/>
        <w:pageBreakBefore w:val="0"/>
        <w:widowControl w:val="0"/>
        <w:kinsoku/>
        <w:wordWrap/>
        <w:overflowPunct/>
        <w:topLinePunct w:val="0"/>
        <w:bidi w:val="0"/>
        <w:snapToGrid/>
        <w:spacing w:line="560" w:lineRule="exact"/>
        <w:ind w:firstLine="600"/>
        <w:textAlignment w:val="auto"/>
        <w:rPr>
          <w:rFonts w:hint="eastAsia" w:ascii="仿宋_GB2312" w:hAnsi="仿宋_GB2312" w:eastAsia="仿宋_GB2312" w:cs="仿宋_GB2312"/>
          <w:sz w:val="30"/>
          <w:szCs w:val="30"/>
          <w:lang w:val="zh-TW"/>
        </w:rPr>
      </w:pPr>
      <w:r>
        <w:rPr>
          <w:rFonts w:hint="eastAsia" w:ascii="仿宋_GB2312" w:hAnsi="仿宋_GB2312" w:eastAsia="仿宋_GB2312" w:cs="仿宋_GB2312"/>
          <w:sz w:val="30"/>
          <w:szCs w:val="30"/>
          <w:lang w:val="zh-TW"/>
        </w:rPr>
        <w:t>（3）触电事故</w:t>
      </w:r>
    </w:p>
    <w:p>
      <w:pPr>
        <w:pStyle w:val="12"/>
        <w:keepNext w:val="0"/>
        <w:keepLines w:val="0"/>
        <w:pageBreakBefore w:val="0"/>
        <w:widowControl w:val="0"/>
        <w:kinsoku/>
        <w:wordWrap/>
        <w:overflowPunct/>
        <w:topLinePunct w:val="0"/>
        <w:bidi w:val="0"/>
        <w:snapToGrid/>
        <w:spacing w:line="560" w:lineRule="exact"/>
        <w:ind w:firstLine="600"/>
        <w:textAlignment w:val="auto"/>
        <w:rPr>
          <w:rFonts w:hint="eastAsia" w:ascii="仿宋_GB2312" w:hAnsi="仿宋_GB2312" w:eastAsia="仿宋_GB2312" w:cs="仿宋_GB2312"/>
          <w:sz w:val="30"/>
          <w:szCs w:val="30"/>
          <w:lang w:val="zh-TW"/>
        </w:rPr>
      </w:pPr>
      <w:r>
        <w:rPr>
          <w:rFonts w:hint="eastAsia" w:ascii="仿宋_GB2312" w:hAnsi="仿宋_GB2312" w:eastAsia="仿宋_GB2312" w:cs="仿宋_GB2312"/>
          <w:sz w:val="30"/>
          <w:szCs w:val="30"/>
          <w:lang w:val="zh-TW"/>
        </w:rPr>
        <w:t>①一旦发生触电事故，首先要在安全的情况下使触电者尽快脱离电源。</w:t>
      </w:r>
    </w:p>
    <w:p>
      <w:pPr>
        <w:pStyle w:val="12"/>
        <w:keepNext w:val="0"/>
        <w:keepLines w:val="0"/>
        <w:pageBreakBefore w:val="0"/>
        <w:widowControl w:val="0"/>
        <w:kinsoku/>
        <w:wordWrap/>
        <w:overflowPunct/>
        <w:topLinePunct w:val="0"/>
        <w:bidi w:val="0"/>
        <w:snapToGrid/>
        <w:spacing w:line="560" w:lineRule="exact"/>
        <w:ind w:firstLine="600"/>
        <w:textAlignment w:val="auto"/>
        <w:rPr>
          <w:rFonts w:hint="eastAsia" w:ascii="仿宋_GB2312" w:hAnsi="仿宋_GB2312" w:eastAsia="仿宋_GB2312" w:cs="仿宋_GB2312"/>
          <w:sz w:val="30"/>
          <w:szCs w:val="30"/>
          <w:lang w:val="zh-TW"/>
        </w:rPr>
      </w:pPr>
      <w:r>
        <w:rPr>
          <w:rFonts w:hint="eastAsia" w:ascii="仿宋_GB2312" w:hAnsi="仿宋_GB2312" w:eastAsia="仿宋_GB2312" w:cs="仿宋_GB2312"/>
          <w:sz w:val="30"/>
          <w:szCs w:val="30"/>
          <w:lang w:val="zh-TW"/>
        </w:rPr>
        <w:t>②责任人员负责协调救援工作，下达救援指令等工作。并向承办单位相关部门及主要领导报告救援信息。</w:t>
      </w:r>
    </w:p>
    <w:p>
      <w:pPr>
        <w:pStyle w:val="12"/>
        <w:keepNext w:val="0"/>
        <w:keepLines w:val="0"/>
        <w:pageBreakBefore w:val="0"/>
        <w:widowControl w:val="0"/>
        <w:kinsoku/>
        <w:wordWrap/>
        <w:overflowPunct/>
        <w:topLinePunct w:val="0"/>
        <w:bidi w:val="0"/>
        <w:snapToGrid/>
        <w:spacing w:line="560" w:lineRule="exact"/>
        <w:ind w:firstLine="600"/>
        <w:textAlignment w:val="auto"/>
        <w:rPr>
          <w:rFonts w:hint="eastAsia" w:ascii="仿宋_GB2312" w:hAnsi="仿宋_GB2312" w:eastAsia="仿宋_GB2312" w:cs="仿宋_GB2312"/>
          <w:sz w:val="30"/>
          <w:szCs w:val="30"/>
          <w:lang w:val="zh-TW"/>
        </w:rPr>
      </w:pPr>
      <w:r>
        <w:rPr>
          <w:rFonts w:hint="eastAsia" w:ascii="仿宋_GB2312" w:hAnsi="仿宋_GB2312" w:eastAsia="仿宋_GB2312" w:cs="仿宋_GB2312"/>
          <w:sz w:val="30"/>
          <w:szCs w:val="30"/>
          <w:lang w:val="zh-TW"/>
        </w:rPr>
        <w:t>③根据触电者症状及时进行现场紧急救护。触电者脱离电源后，救护者应立即将其就近移至干燥通风处，可依不同情况酌情实施救护。</w:t>
      </w:r>
    </w:p>
    <w:p>
      <w:pPr>
        <w:pStyle w:val="12"/>
        <w:keepNext w:val="0"/>
        <w:keepLines w:val="0"/>
        <w:pageBreakBefore w:val="0"/>
        <w:widowControl w:val="0"/>
        <w:kinsoku/>
        <w:wordWrap/>
        <w:overflowPunct/>
        <w:topLinePunct w:val="0"/>
        <w:bidi w:val="0"/>
        <w:snapToGrid/>
        <w:spacing w:line="560" w:lineRule="exact"/>
        <w:ind w:firstLine="600"/>
        <w:textAlignment w:val="auto"/>
        <w:rPr>
          <w:rFonts w:hint="eastAsia" w:ascii="仿宋_GB2312" w:hAnsi="仿宋_GB2312" w:eastAsia="仿宋_GB2312" w:cs="仿宋_GB2312"/>
          <w:sz w:val="30"/>
          <w:szCs w:val="30"/>
          <w:lang w:val="zh-TW"/>
        </w:rPr>
      </w:pPr>
      <w:r>
        <w:rPr>
          <w:rFonts w:hint="eastAsia" w:ascii="仿宋_GB2312" w:hAnsi="仿宋_GB2312" w:eastAsia="仿宋_GB2312" w:cs="仿宋_GB2312"/>
          <w:sz w:val="30"/>
          <w:szCs w:val="30"/>
          <w:lang w:val="zh-TW"/>
        </w:rPr>
        <w:t>④组织人员对事发场地外围进行封锁，严禁无关人员进入，防止造成更大灾害。</w:t>
      </w:r>
    </w:p>
    <w:p>
      <w:pPr>
        <w:pStyle w:val="12"/>
        <w:keepNext w:val="0"/>
        <w:keepLines w:val="0"/>
        <w:pageBreakBefore w:val="0"/>
        <w:widowControl w:val="0"/>
        <w:kinsoku/>
        <w:wordWrap/>
        <w:overflowPunct/>
        <w:topLinePunct w:val="0"/>
        <w:bidi w:val="0"/>
        <w:snapToGrid/>
        <w:spacing w:line="560" w:lineRule="exact"/>
        <w:ind w:firstLine="600"/>
        <w:textAlignment w:val="auto"/>
        <w:rPr>
          <w:rFonts w:hint="eastAsia" w:ascii="仿宋_GB2312" w:hAnsi="仿宋_GB2312" w:eastAsia="仿宋_GB2312" w:cs="仿宋_GB2312"/>
          <w:sz w:val="30"/>
          <w:szCs w:val="30"/>
          <w:lang w:val="zh-TW"/>
        </w:rPr>
      </w:pPr>
      <w:r>
        <w:rPr>
          <w:rFonts w:hint="eastAsia" w:ascii="仿宋_GB2312" w:hAnsi="仿宋_GB2312" w:eastAsia="仿宋_GB2312" w:cs="仿宋_GB2312"/>
          <w:sz w:val="30"/>
          <w:szCs w:val="30"/>
          <w:lang w:val="zh-TW"/>
        </w:rPr>
        <w:t>⑤立即联系医疗救护人员到现场进行医疗救护工作，同时拨打120急救电话。</w:t>
      </w:r>
    </w:p>
    <w:p>
      <w:pPr>
        <w:pStyle w:val="12"/>
        <w:keepNext w:val="0"/>
        <w:keepLines w:val="0"/>
        <w:pageBreakBefore w:val="0"/>
        <w:widowControl w:val="0"/>
        <w:kinsoku/>
        <w:wordWrap/>
        <w:overflowPunct/>
        <w:topLinePunct w:val="0"/>
        <w:bidi w:val="0"/>
        <w:snapToGrid/>
        <w:spacing w:line="560" w:lineRule="exact"/>
        <w:ind w:firstLine="600"/>
        <w:textAlignment w:val="auto"/>
        <w:rPr>
          <w:rFonts w:hint="eastAsia" w:ascii="仿宋_GB2312" w:hAnsi="仿宋_GB2312" w:eastAsia="仿宋_GB2312" w:cs="仿宋_GB2312"/>
          <w:sz w:val="30"/>
          <w:szCs w:val="30"/>
          <w:lang w:val="zh-TW"/>
        </w:rPr>
      </w:pPr>
      <w:r>
        <w:rPr>
          <w:rFonts w:hint="eastAsia" w:ascii="仿宋_GB2312" w:hAnsi="仿宋_GB2312" w:eastAsia="仿宋_GB2312" w:cs="仿宋_GB2312"/>
          <w:sz w:val="30"/>
          <w:szCs w:val="30"/>
          <w:lang w:val="zh-TW"/>
        </w:rPr>
        <w:t>3.其他设备安全事故</w:t>
      </w:r>
    </w:p>
    <w:p>
      <w:pPr>
        <w:pStyle w:val="12"/>
        <w:keepNext w:val="0"/>
        <w:keepLines w:val="0"/>
        <w:pageBreakBefore w:val="0"/>
        <w:widowControl w:val="0"/>
        <w:kinsoku/>
        <w:wordWrap/>
        <w:overflowPunct/>
        <w:topLinePunct w:val="0"/>
        <w:bidi w:val="0"/>
        <w:snapToGrid/>
        <w:spacing w:line="560" w:lineRule="exact"/>
        <w:ind w:firstLine="600"/>
        <w:textAlignment w:val="auto"/>
        <w:rPr>
          <w:rFonts w:hint="eastAsia" w:ascii="仿宋_GB2312" w:hAnsi="仿宋_GB2312" w:eastAsia="仿宋_GB2312" w:cs="仿宋_GB2312"/>
          <w:sz w:val="30"/>
          <w:szCs w:val="30"/>
          <w:lang w:val="zh-TW"/>
        </w:rPr>
      </w:pPr>
      <w:r>
        <w:rPr>
          <w:rFonts w:hint="eastAsia" w:ascii="仿宋_GB2312" w:hAnsi="仿宋_GB2312" w:eastAsia="仿宋_GB2312" w:cs="仿宋_GB2312"/>
          <w:sz w:val="30"/>
          <w:szCs w:val="30"/>
          <w:lang w:val="zh-TW"/>
        </w:rPr>
        <w:t>（1）玻璃器皿使用</w:t>
      </w:r>
    </w:p>
    <w:p>
      <w:pPr>
        <w:pStyle w:val="12"/>
        <w:keepNext w:val="0"/>
        <w:keepLines w:val="0"/>
        <w:pageBreakBefore w:val="0"/>
        <w:widowControl w:val="0"/>
        <w:kinsoku/>
        <w:wordWrap/>
        <w:overflowPunct/>
        <w:topLinePunct w:val="0"/>
        <w:bidi w:val="0"/>
        <w:snapToGrid/>
        <w:spacing w:line="560" w:lineRule="exact"/>
        <w:ind w:firstLine="600"/>
        <w:textAlignment w:val="auto"/>
        <w:rPr>
          <w:rFonts w:hint="eastAsia" w:ascii="仿宋_GB2312" w:hAnsi="仿宋_GB2312" w:eastAsia="仿宋_GB2312" w:cs="仿宋_GB2312"/>
          <w:sz w:val="30"/>
          <w:szCs w:val="30"/>
          <w:lang w:val="zh-TW"/>
        </w:rPr>
      </w:pPr>
      <w:r>
        <w:rPr>
          <w:rFonts w:hint="eastAsia" w:ascii="仿宋_GB2312" w:hAnsi="仿宋_GB2312" w:eastAsia="仿宋_GB2312" w:cs="仿宋_GB2312"/>
          <w:sz w:val="30"/>
          <w:szCs w:val="30"/>
          <w:lang w:val="zh-TW"/>
        </w:rPr>
        <w:t>①玻璃器皿要按规定使用，防止破碎及产生继生伤害事故。</w:t>
      </w:r>
    </w:p>
    <w:p>
      <w:pPr>
        <w:pStyle w:val="12"/>
        <w:keepNext w:val="0"/>
        <w:keepLines w:val="0"/>
        <w:pageBreakBefore w:val="0"/>
        <w:widowControl w:val="0"/>
        <w:kinsoku/>
        <w:wordWrap/>
        <w:overflowPunct/>
        <w:topLinePunct w:val="0"/>
        <w:bidi w:val="0"/>
        <w:snapToGrid/>
        <w:spacing w:line="560" w:lineRule="exact"/>
        <w:ind w:firstLine="600"/>
        <w:textAlignment w:val="auto"/>
        <w:rPr>
          <w:rFonts w:hint="eastAsia" w:ascii="仿宋_GB2312" w:hAnsi="仿宋_GB2312" w:eastAsia="仿宋_GB2312" w:cs="仿宋_GB2312"/>
          <w:sz w:val="30"/>
          <w:szCs w:val="30"/>
          <w:lang w:val="zh-TW"/>
        </w:rPr>
      </w:pPr>
      <w:r>
        <w:rPr>
          <w:rFonts w:hint="eastAsia" w:ascii="仿宋_GB2312" w:hAnsi="仿宋_GB2312" w:eastAsia="仿宋_GB2312" w:cs="仿宋_GB2312"/>
          <w:sz w:val="30"/>
          <w:szCs w:val="30"/>
          <w:lang w:val="zh-TW"/>
        </w:rPr>
        <w:t>②发生玻璃割伤事故，由现场人员依不同情况酌情实施急救，并及时上报。</w:t>
      </w:r>
    </w:p>
    <w:p>
      <w:pPr>
        <w:pStyle w:val="12"/>
        <w:keepNext w:val="0"/>
        <w:keepLines w:val="0"/>
        <w:pageBreakBefore w:val="0"/>
        <w:widowControl w:val="0"/>
        <w:kinsoku/>
        <w:wordWrap/>
        <w:overflowPunct/>
        <w:topLinePunct w:val="0"/>
        <w:bidi w:val="0"/>
        <w:snapToGrid/>
        <w:spacing w:line="560" w:lineRule="exact"/>
        <w:ind w:firstLine="600"/>
        <w:textAlignment w:val="auto"/>
        <w:rPr>
          <w:rFonts w:hint="eastAsia" w:ascii="仿宋_GB2312" w:hAnsi="仿宋_GB2312" w:eastAsia="仿宋_GB2312" w:cs="仿宋_GB2312"/>
          <w:sz w:val="30"/>
          <w:szCs w:val="30"/>
          <w:lang w:val="zh-TW"/>
        </w:rPr>
      </w:pPr>
      <w:r>
        <w:rPr>
          <w:rFonts w:hint="eastAsia" w:ascii="仿宋_GB2312" w:hAnsi="仿宋_GB2312" w:eastAsia="仿宋_GB2312" w:cs="仿宋_GB2312"/>
          <w:sz w:val="30"/>
          <w:szCs w:val="30"/>
          <w:lang w:val="zh-TW"/>
        </w:rPr>
        <w:t>③情况严重时由责任人员立即联系医疗救护人员到现场进行医疗救护工作。或同时拨打120急救电话。</w:t>
      </w:r>
    </w:p>
    <w:p>
      <w:pPr>
        <w:pStyle w:val="12"/>
        <w:keepNext w:val="0"/>
        <w:keepLines w:val="0"/>
        <w:pageBreakBefore w:val="0"/>
        <w:widowControl w:val="0"/>
        <w:kinsoku/>
        <w:wordWrap/>
        <w:overflowPunct/>
        <w:topLinePunct w:val="0"/>
        <w:bidi w:val="0"/>
        <w:snapToGrid/>
        <w:spacing w:line="560" w:lineRule="exact"/>
        <w:ind w:firstLine="600"/>
        <w:textAlignment w:val="auto"/>
        <w:rPr>
          <w:rFonts w:hint="eastAsia" w:ascii="仿宋_GB2312" w:hAnsi="仿宋_GB2312" w:eastAsia="仿宋_GB2312" w:cs="仿宋_GB2312"/>
          <w:sz w:val="30"/>
          <w:szCs w:val="30"/>
          <w:lang w:val="zh-TW"/>
        </w:rPr>
      </w:pPr>
      <w:r>
        <w:rPr>
          <w:rFonts w:hint="eastAsia" w:ascii="仿宋_GB2312" w:hAnsi="仿宋_GB2312" w:eastAsia="仿宋_GB2312" w:cs="仿宋_GB2312"/>
          <w:sz w:val="30"/>
          <w:szCs w:val="30"/>
          <w:lang w:val="zh-TW"/>
        </w:rPr>
        <w:t>（2）精密仪器</w:t>
      </w:r>
    </w:p>
    <w:p>
      <w:pPr>
        <w:pStyle w:val="12"/>
        <w:keepNext w:val="0"/>
        <w:keepLines w:val="0"/>
        <w:pageBreakBefore w:val="0"/>
        <w:widowControl w:val="0"/>
        <w:kinsoku/>
        <w:wordWrap/>
        <w:overflowPunct/>
        <w:topLinePunct w:val="0"/>
        <w:bidi w:val="0"/>
        <w:snapToGrid/>
        <w:spacing w:line="560" w:lineRule="exact"/>
        <w:ind w:firstLine="600"/>
        <w:textAlignment w:val="auto"/>
        <w:rPr>
          <w:rFonts w:hint="eastAsia" w:ascii="仿宋_GB2312" w:hAnsi="仿宋_GB2312" w:eastAsia="仿宋_GB2312" w:cs="仿宋_GB2312"/>
          <w:sz w:val="30"/>
          <w:szCs w:val="30"/>
          <w:lang w:val="zh-TW"/>
        </w:rPr>
      </w:pPr>
      <w:r>
        <w:rPr>
          <w:rFonts w:hint="eastAsia" w:ascii="仿宋_GB2312" w:hAnsi="仿宋_GB2312" w:eastAsia="仿宋_GB2312" w:cs="仿宋_GB2312"/>
          <w:sz w:val="30"/>
          <w:szCs w:val="30"/>
          <w:lang w:val="zh-TW"/>
        </w:rPr>
        <w:t>①精密仪器要按规定使用，防止触电及产生继生伤害事故。</w:t>
      </w:r>
    </w:p>
    <w:p>
      <w:pPr>
        <w:pStyle w:val="12"/>
        <w:keepNext w:val="0"/>
        <w:keepLines w:val="0"/>
        <w:pageBreakBefore w:val="0"/>
        <w:widowControl w:val="0"/>
        <w:kinsoku/>
        <w:wordWrap/>
        <w:overflowPunct/>
        <w:topLinePunct w:val="0"/>
        <w:bidi w:val="0"/>
        <w:snapToGrid/>
        <w:spacing w:line="560" w:lineRule="exact"/>
        <w:ind w:firstLine="600"/>
        <w:textAlignment w:val="auto"/>
        <w:rPr>
          <w:rFonts w:hint="eastAsia" w:ascii="仿宋_GB2312" w:hAnsi="仿宋_GB2312" w:eastAsia="仿宋_GB2312" w:cs="仿宋_GB2312"/>
          <w:sz w:val="30"/>
          <w:szCs w:val="30"/>
          <w:lang w:val="zh-TW"/>
        </w:rPr>
      </w:pPr>
      <w:r>
        <w:rPr>
          <w:rFonts w:hint="eastAsia" w:ascii="仿宋_GB2312" w:hAnsi="仿宋_GB2312" w:eastAsia="仿宋_GB2312" w:cs="仿宋_GB2312"/>
          <w:sz w:val="30"/>
          <w:szCs w:val="30"/>
          <w:lang w:val="zh-TW"/>
        </w:rPr>
        <w:t>②如遇仪器产生故障，由责任人员负责更换。</w:t>
      </w:r>
    </w:p>
    <w:p>
      <w:pPr>
        <w:pStyle w:val="12"/>
        <w:keepNext w:val="0"/>
        <w:keepLines w:val="0"/>
        <w:pageBreakBefore w:val="0"/>
        <w:widowControl w:val="0"/>
        <w:kinsoku/>
        <w:wordWrap/>
        <w:overflowPunct/>
        <w:topLinePunct w:val="0"/>
        <w:bidi w:val="0"/>
        <w:snapToGrid/>
        <w:spacing w:line="560" w:lineRule="exact"/>
        <w:ind w:firstLine="600"/>
        <w:textAlignment w:val="auto"/>
        <w:rPr>
          <w:rFonts w:hint="eastAsia" w:ascii="仿宋_GB2312" w:hAnsi="仿宋_GB2312" w:eastAsia="仿宋_GB2312" w:cs="仿宋_GB2312"/>
          <w:sz w:val="30"/>
          <w:szCs w:val="30"/>
          <w:lang w:val="zh-TW"/>
        </w:rPr>
      </w:pPr>
      <w:r>
        <w:rPr>
          <w:rFonts w:hint="eastAsia" w:ascii="仿宋_GB2312" w:hAnsi="仿宋_GB2312" w:eastAsia="仿宋_GB2312" w:cs="仿宋_GB2312"/>
          <w:sz w:val="30"/>
          <w:szCs w:val="30"/>
          <w:lang w:val="zh-TW"/>
        </w:rPr>
        <w:t>（四）疫情下防控要点</w:t>
      </w:r>
    </w:p>
    <w:p>
      <w:pPr>
        <w:pStyle w:val="12"/>
        <w:keepNext w:val="0"/>
        <w:keepLines w:val="0"/>
        <w:pageBreakBefore w:val="0"/>
        <w:widowControl w:val="0"/>
        <w:kinsoku/>
        <w:wordWrap/>
        <w:overflowPunct/>
        <w:topLinePunct w:val="0"/>
        <w:bidi w:val="0"/>
        <w:snapToGrid/>
        <w:spacing w:line="560" w:lineRule="exact"/>
        <w:ind w:firstLine="600"/>
        <w:textAlignment w:val="auto"/>
        <w:rPr>
          <w:rFonts w:hint="eastAsia" w:ascii="仿宋_GB2312" w:hAnsi="仿宋_GB2312" w:eastAsia="仿宋_GB2312" w:cs="仿宋_GB2312"/>
          <w:sz w:val="30"/>
          <w:szCs w:val="30"/>
          <w:lang w:val="zh-TW"/>
        </w:rPr>
      </w:pPr>
      <w:r>
        <w:rPr>
          <w:rFonts w:hint="eastAsia" w:ascii="仿宋_GB2312" w:hAnsi="仿宋_GB2312" w:eastAsia="仿宋_GB2312" w:cs="仿宋_GB2312"/>
          <w:sz w:val="30"/>
          <w:szCs w:val="30"/>
          <w:lang w:val="zh-TW"/>
        </w:rPr>
        <w:t>1. 每支代表队报到时需提供所有人的健康情况声明书，提供近14天的行程轨迹。</w:t>
      </w:r>
    </w:p>
    <w:p>
      <w:pPr>
        <w:pStyle w:val="12"/>
        <w:keepNext w:val="0"/>
        <w:keepLines w:val="0"/>
        <w:pageBreakBefore w:val="0"/>
        <w:widowControl w:val="0"/>
        <w:kinsoku/>
        <w:wordWrap/>
        <w:overflowPunct/>
        <w:topLinePunct w:val="0"/>
        <w:bidi w:val="0"/>
        <w:snapToGrid/>
        <w:spacing w:line="560" w:lineRule="exact"/>
        <w:ind w:firstLine="600"/>
        <w:textAlignment w:val="auto"/>
        <w:rPr>
          <w:rFonts w:hint="eastAsia" w:ascii="仿宋_GB2312" w:hAnsi="仿宋_GB2312" w:eastAsia="仿宋_GB2312" w:cs="仿宋_GB2312"/>
          <w:sz w:val="30"/>
          <w:szCs w:val="30"/>
          <w:lang w:val="zh-TW"/>
        </w:rPr>
      </w:pPr>
      <w:r>
        <w:rPr>
          <w:rFonts w:hint="eastAsia" w:ascii="仿宋_GB2312" w:hAnsi="仿宋_GB2312" w:eastAsia="仿宋_GB2312" w:cs="仿宋_GB2312"/>
          <w:sz w:val="30"/>
          <w:szCs w:val="30"/>
          <w:lang w:val="zh-TW"/>
        </w:rPr>
        <w:t>2.对赛区实行封闭式管理，非选手和工作人员不得入内。</w:t>
      </w:r>
    </w:p>
    <w:p>
      <w:pPr>
        <w:pStyle w:val="12"/>
        <w:keepNext w:val="0"/>
        <w:keepLines w:val="0"/>
        <w:pageBreakBefore w:val="0"/>
        <w:widowControl w:val="0"/>
        <w:kinsoku/>
        <w:wordWrap/>
        <w:overflowPunct/>
        <w:topLinePunct w:val="0"/>
        <w:bidi w:val="0"/>
        <w:snapToGrid/>
        <w:spacing w:line="560" w:lineRule="exact"/>
        <w:ind w:firstLine="600"/>
        <w:textAlignment w:val="auto"/>
        <w:rPr>
          <w:rFonts w:hint="eastAsia" w:ascii="仿宋_GB2312" w:hAnsi="仿宋_GB2312" w:eastAsia="仿宋_GB2312" w:cs="仿宋_GB2312"/>
          <w:sz w:val="30"/>
          <w:szCs w:val="30"/>
          <w:lang w:val="zh-TW"/>
        </w:rPr>
      </w:pPr>
      <w:r>
        <w:rPr>
          <w:rFonts w:hint="eastAsia" w:ascii="仿宋_GB2312" w:hAnsi="仿宋_GB2312" w:eastAsia="仿宋_GB2312" w:cs="仿宋_GB2312"/>
          <w:sz w:val="30"/>
          <w:szCs w:val="30"/>
          <w:lang w:val="zh-TW"/>
        </w:rPr>
        <w:t>3.赛前工作人员全部打开赛场窗户，确保通风。赛前和每一场比赛结束后，对赛区和考场环境进行全面消毒，不留死角。</w:t>
      </w:r>
    </w:p>
    <w:p>
      <w:pPr>
        <w:pStyle w:val="12"/>
        <w:keepNext w:val="0"/>
        <w:keepLines w:val="0"/>
        <w:pageBreakBefore w:val="0"/>
        <w:widowControl w:val="0"/>
        <w:kinsoku/>
        <w:wordWrap/>
        <w:overflowPunct/>
        <w:topLinePunct w:val="0"/>
        <w:bidi w:val="0"/>
        <w:snapToGrid/>
        <w:spacing w:line="560" w:lineRule="exact"/>
        <w:ind w:firstLine="600"/>
        <w:textAlignment w:val="auto"/>
        <w:rPr>
          <w:rFonts w:hint="eastAsia" w:ascii="仿宋_GB2312" w:hAnsi="仿宋_GB2312" w:eastAsia="仿宋_GB2312" w:cs="仿宋_GB2312"/>
          <w:sz w:val="30"/>
          <w:szCs w:val="30"/>
          <w:lang w:val="zh-TW"/>
        </w:rPr>
      </w:pPr>
      <w:r>
        <w:rPr>
          <w:rFonts w:hint="eastAsia" w:ascii="仿宋_GB2312" w:hAnsi="仿宋_GB2312" w:eastAsia="仿宋_GB2312" w:cs="仿宋_GB2312"/>
          <w:sz w:val="30"/>
          <w:szCs w:val="30"/>
          <w:lang w:val="zh-TW"/>
        </w:rPr>
        <w:t>4.赛位原则上间隔1米。准备备用隔离赛场，预防突发情况。</w:t>
      </w:r>
    </w:p>
    <w:p>
      <w:pPr>
        <w:pStyle w:val="12"/>
        <w:keepNext w:val="0"/>
        <w:keepLines w:val="0"/>
        <w:pageBreakBefore w:val="0"/>
        <w:widowControl w:val="0"/>
        <w:kinsoku/>
        <w:wordWrap/>
        <w:overflowPunct/>
        <w:topLinePunct w:val="0"/>
        <w:bidi w:val="0"/>
        <w:snapToGrid/>
        <w:spacing w:line="560" w:lineRule="exact"/>
        <w:ind w:firstLine="600"/>
        <w:textAlignment w:val="auto"/>
        <w:rPr>
          <w:rFonts w:hint="eastAsia" w:ascii="仿宋_GB2312" w:hAnsi="仿宋_GB2312" w:eastAsia="仿宋_GB2312" w:cs="仿宋_GB2312"/>
          <w:sz w:val="30"/>
          <w:szCs w:val="30"/>
          <w:lang w:val="zh-TW"/>
        </w:rPr>
      </w:pPr>
      <w:r>
        <w:rPr>
          <w:rFonts w:hint="eastAsia" w:ascii="仿宋_GB2312" w:hAnsi="仿宋_GB2312" w:eastAsia="仿宋_GB2312" w:cs="仿宋_GB2312"/>
          <w:sz w:val="30"/>
          <w:szCs w:val="30"/>
          <w:lang w:val="zh-TW"/>
        </w:rPr>
        <w:t>5.所有选手和工作人员进入赛区前都要进行体温测量，查验健康码，体温超过 37.3 度和健康码显示健康状况异常者不得进入赛区。</w:t>
      </w:r>
    </w:p>
    <w:p>
      <w:pPr>
        <w:pStyle w:val="12"/>
        <w:keepNext w:val="0"/>
        <w:keepLines w:val="0"/>
        <w:pageBreakBefore w:val="0"/>
        <w:widowControl w:val="0"/>
        <w:kinsoku/>
        <w:wordWrap/>
        <w:overflowPunct/>
        <w:topLinePunct w:val="0"/>
        <w:bidi w:val="0"/>
        <w:snapToGrid/>
        <w:spacing w:line="560" w:lineRule="exact"/>
        <w:ind w:firstLine="600"/>
        <w:textAlignment w:val="auto"/>
        <w:rPr>
          <w:rFonts w:hint="eastAsia" w:ascii="仿宋_GB2312" w:hAnsi="仿宋_GB2312" w:eastAsia="仿宋_GB2312" w:cs="仿宋_GB2312"/>
          <w:sz w:val="30"/>
          <w:szCs w:val="30"/>
          <w:lang w:val="zh-TW"/>
        </w:rPr>
      </w:pPr>
      <w:r>
        <w:rPr>
          <w:rFonts w:hint="eastAsia" w:ascii="仿宋_GB2312" w:hAnsi="仿宋_GB2312" w:eastAsia="仿宋_GB2312" w:cs="仿宋_GB2312"/>
          <w:sz w:val="30"/>
          <w:szCs w:val="30"/>
          <w:lang w:val="zh-TW"/>
        </w:rPr>
        <w:t>6.所有选手和工作人员必须全程佩戴口罩，没有佩戴口罩的人员不准进入考点。</w:t>
      </w:r>
    </w:p>
    <w:p>
      <w:pPr>
        <w:pStyle w:val="12"/>
        <w:keepNext w:val="0"/>
        <w:keepLines w:val="0"/>
        <w:pageBreakBefore w:val="0"/>
        <w:widowControl w:val="0"/>
        <w:kinsoku/>
        <w:wordWrap/>
        <w:overflowPunct/>
        <w:topLinePunct w:val="0"/>
        <w:bidi w:val="0"/>
        <w:snapToGrid/>
        <w:spacing w:line="560" w:lineRule="exact"/>
        <w:ind w:firstLine="600"/>
        <w:textAlignment w:val="auto"/>
        <w:rPr>
          <w:rFonts w:hint="eastAsia" w:ascii="仿宋_GB2312" w:hAnsi="仿宋_GB2312" w:eastAsia="仿宋_GB2312" w:cs="仿宋_GB2312"/>
          <w:sz w:val="30"/>
          <w:szCs w:val="30"/>
          <w:lang w:val="zh-TW"/>
        </w:rPr>
      </w:pPr>
      <w:r>
        <w:rPr>
          <w:rFonts w:hint="eastAsia" w:ascii="仿宋_GB2312" w:hAnsi="仿宋_GB2312" w:eastAsia="仿宋_GB2312" w:cs="仿宋_GB2312"/>
          <w:sz w:val="30"/>
          <w:szCs w:val="30"/>
          <w:lang w:val="zh-TW"/>
        </w:rPr>
        <w:t>7.赛区配备洗手液，提醒选手和工作人员在赛前和赛后使用。</w:t>
      </w:r>
    </w:p>
    <w:p>
      <w:pPr>
        <w:pStyle w:val="12"/>
        <w:keepNext w:val="0"/>
        <w:keepLines w:val="0"/>
        <w:pageBreakBefore w:val="0"/>
        <w:widowControl w:val="0"/>
        <w:kinsoku/>
        <w:wordWrap/>
        <w:overflowPunct/>
        <w:topLinePunct w:val="0"/>
        <w:bidi w:val="0"/>
        <w:snapToGrid/>
        <w:spacing w:line="560" w:lineRule="exact"/>
        <w:ind w:firstLine="600"/>
        <w:textAlignment w:val="auto"/>
        <w:rPr>
          <w:rFonts w:hint="eastAsia" w:ascii="仿宋_GB2312" w:hAnsi="仿宋_GB2312" w:eastAsia="仿宋_GB2312" w:cs="仿宋_GB2312"/>
          <w:sz w:val="30"/>
          <w:szCs w:val="30"/>
          <w:lang w:val="zh-TW"/>
        </w:rPr>
      </w:pPr>
      <w:r>
        <w:rPr>
          <w:rFonts w:hint="eastAsia" w:ascii="仿宋_GB2312" w:hAnsi="仿宋_GB2312" w:eastAsia="仿宋_GB2312" w:cs="仿宋_GB2312"/>
          <w:sz w:val="30"/>
          <w:szCs w:val="30"/>
          <w:lang w:val="zh-TW"/>
        </w:rPr>
        <w:t>8.安排医务人员在比赛现场值班。比赛过程中如果发现选手突然出现发热状况，由专人护送至备用隔离赛场参加比赛，或者中止其比赛。医务人员到场处置并做好情况登记工作，必要时请求属地卫生部门协助。</w:t>
      </w:r>
    </w:p>
    <w:p>
      <w:pPr>
        <w:pStyle w:val="12"/>
        <w:keepNext w:val="0"/>
        <w:keepLines w:val="0"/>
        <w:pageBreakBefore w:val="0"/>
        <w:widowControl w:val="0"/>
        <w:kinsoku/>
        <w:wordWrap/>
        <w:overflowPunct/>
        <w:topLinePunct w:val="0"/>
        <w:bidi w:val="0"/>
        <w:snapToGrid/>
        <w:spacing w:line="560" w:lineRule="exact"/>
        <w:ind w:firstLine="600"/>
        <w:textAlignment w:val="auto"/>
        <w:rPr>
          <w:rFonts w:hint="eastAsia" w:ascii="仿宋_GB2312" w:hAnsi="仿宋_GB2312" w:eastAsia="仿宋_GB2312" w:cs="仿宋_GB2312"/>
          <w:sz w:val="30"/>
          <w:szCs w:val="30"/>
          <w:lang w:val="zh-TW"/>
        </w:rPr>
      </w:pPr>
      <w:r>
        <w:rPr>
          <w:rFonts w:hint="eastAsia" w:ascii="仿宋_GB2312" w:hAnsi="仿宋_GB2312" w:eastAsia="仿宋_GB2312" w:cs="仿宋_GB2312"/>
          <w:sz w:val="30"/>
          <w:szCs w:val="30"/>
          <w:lang w:val="zh-TW"/>
        </w:rPr>
        <w:t>3.赛场布局要求</w:t>
      </w:r>
      <w:bookmarkEnd w:id="0"/>
      <w:bookmarkEnd w:id="1"/>
      <w:bookmarkEnd w:id="2"/>
    </w:p>
    <w:p>
      <w:pPr>
        <w:pStyle w:val="12"/>
        <w:keepNext w:val="0"/>
        <w:keepLines w:val="0"/>
        <w:pageBreakBefore w:val="0"/>
        <w:widowControl w:val="0"/>
        <w:kinsoku/>
        <w:wordWrap/>
        <w:overflowPunct/>
        <w:topLinePunct w:val="0"/>
        <w:bidi w:val="0"/>
        <w:snapToGrid/>
        <w:spacing w:line="560" w:lineRule="exact"/>
        <w:ind w:firstLine="600"/>
        <w:textAlignment w:val="auto"/>
        <w:rPr>
          <w:rFonts w:hint="eastAsia" w:ascii="仿宋_GB2312" w:hAnsi="仿宋_GB2312" w:eastAsia="仿宋_GB2312" w:cs="仿宋_GB2312"/>
          <w:sz w:val="30"/>
          <w:szCs w:val="30"/>
          <w:lang w:val="zh-TW"/>
        </w:rPr>
      </w:pPr>
      <w:r>
        <w:rPr>
          <w:rFonts w:hint="eastAsia" w:ascii="仿宋_GB2312" w:hAnsi="仿宋_GB2312" w:eastAsia="仿宋_GB2312" w:cs="仿宋_GB2312"/>
          <w:sz w:val="30"/>
          <w:szCs w:val="30"/>
          <w:lang w:val="zh-TW"/>
        </w:rPr>
        <w:t>赛场布局应符合赛项模块要求，水、电、通风等设施齐全。赛场周围设置裁判休息室一间，选手休息室一间，竞赛物资储物间一间，成绩录入室一间。</w:t>
      </w:r>
    </w:p>
    <w:p>
      <w:pPr>
        <w:keepNext w:val="0"/>
        <w:keepLines w:val="0"/>
        <w:pageBreakBefore w:val="0"/>
        <w:widowControl w:val="0"/>
        <w:tabs>
          <w:tab w:val="left" w:pos="6120"/>
        </w:tabs>
        <w:kinsoku/>
        <w:wordWrap/>
        <w:overflowPunct/>
        <w:topLinePunct w:val="0"/>
        <w:bidi w:val="0"/>
        <w:snapToGrid/>
        <w:spacing w:line="560" w:lineRule="exact"/>
        <w:ind w:firstLine="600" w:firstLineChars="200"/>
        <w:textAlignment w:val="auto"/>
        <w:outlineLvl w:val="1"/>
        <w:rPr>
          <w:rFonts w:hint="eastAsia" w:ascii="仿宋_GB2312" w:hAnsi="仿宋_GB2312" w:eastAsia="仿宋_GB2312" w:cs="仿宋_GB2312"/>
          <w:color w:val="000000"/>
          <w:sz w:val="30"/>
          <w:szCs w:val="30"/>
          <w:u w:color="000000"/>
          <w:lang w:val="zh-TW"/>
        </w:rPr>
      </w:pPr>
      <w:bookmarkStart w:id="4" w:name="_Toc481314011"/>
      <w:bookmarkStart w:id="5" w:name="_Toc511829446"/>
      <w:bookmarkStart w:id="6" w:name="_Toc511831132"/>
      <w:r>
        <w:rPr>
          <w:rFonts w:hint="eastAsia" w:ascii="仿宋_GB2312" w:hAnsi="仿宋_GB2312" w:eastAsia="仿宋_GB2312" w:cs="仿宋_GB2312"/>
          <w:color w:val="000000"/>
          <w:sz w:val="30"/>
          <w:szCs w:val="30"/>
          <w:u w:color="000000"/>
          <w:lang w:val="zh-TW"/>
        </w:rPr>
        <w:t>4.健康安全</w:t>
      </w:r>
      <w:bookmarkEnd w:id="4"/>
      <w:r>
        <w:rPr>
          <w:rFonts w:hint="eastAsia" w:ascii="仿宋_GB2312" w:hAnsi="仿宋_GB2312" w:eastAsia="仿宋_GB2312" w:cs="仿宋_GB2312"/>
          <w:color w:val="000000"/>
          <w:sz w:val="30"/>
          <w:szCs w:val="30"/>
          <w:u w:color="000000"/>
          <w:lang w:val="zh-TW"/>
        </w:rPr>
        <w:t>和绿色环保</w:t>
      </w:r>
      <w:bookmarkEnd w:id="5"/>
      <w:bookmarkEnd w:id="6"/>
    </w:p>
    <w:p>
      <w:pPr>
        <w:keepNext w:val="0"/>
        <w:keepLines w:val="0"/>
        <w:pageBreakBefore w:val="0"/>
        <w:widowControl w:val="0"/>
        <w:tabs>
          <w:tab w:val="left" w:pos="6120"/>
        </w:tabs>
        <w:kinsoku/>
        <w:wordWrap/>
        <w:overflowPunct/>
        <w:topLinePunct w:val="0"/>
        <w:bidi w:val="0"/>
        <w:snapToGrid/>
        <w:spacing w:line="560" w:lineRule="exact"/>
        <w:ind w:firstLine="600" w:firstLineChars="200"/>
        <w:textAlignment w:val="auto"/>
        <w:outlineLvl w:val="1"/>
        <w:rPr>
          <w:rFonts w:hint="eastAsia" w:ascii="仿宋_GB2312" w:hAnsi="仿宋_GB2312" w:eastAsia="仿宋_GB2312" w:cs="仿宋_GB2312"/>
          <w:color w:val="000000"/>
          <w:sz w:val="30"/>
          <w:szCs w:val="30"/>
          <w:u w:color="000000"/>
          <w:lang w:val="zh-TW"/>
        </w:rPr>
      </w:pPr>
      <w:r>
        <w:rPr>
          <w:rFonts w:hint="eastAsia" w:ascii="仿宋_GB2312" w:hAnsi="仿宋_GB2312" w:eastAsia="仿宋_GB2312" w:cs="仿宋_GB2312"/>
          <w:color w:val="000000"/>
          <w:sz w:val="30"/>
          <w:szCs w:val="30"/>
          <w:u w:color="000000"/>
          <w:lang w:val="zh-TW"/>
        </w:rPr>
        <w:t>（1）赛场严格遵守我国环境保护法。</w:t>
      </w:r>
    </w:p>
    <w:p>
      <w:pPr>
        <w:keepNext w:val="0"/>
        <w:keepLines w:val="0"/>
        <w:pageBreakBefore w:val="0"/>
        <w:widowControl w:val="0"/>
        <w:tabs>
          <w:tab w:val="left" w:pos="6120"/>
        </w:tabs>
        <w:kinsoku/>
        <w:wordWrap/>
        <w:overflowPunct/>
        <w:topLinePunct w:val="0"/>
        <w:bidi w:val="0"/>
        <w:snapToGrid/>
        <w:spacing w:line="560" w:lineRule="exact"/>
        <w:ind w:firstLine="600" w:firstLineChars="200"/>
        <w:textAlignment w:val="auto"/>
        <w:outlineLvl w:val="1"/>
        <w:rPr>
          <w:rFonts w:hint="eastAsia" w:ascii="仿宋_GB2312" w:hAnsi="仿宋_GB2312" w:eastAsia="仿宋_GB2312" w:cs="仿宋_GB2312"/>
          <w:color w:val="000000"/>
          <w:sz w:val="30"/>
          <w:szCs w:val="30"/>
          <w:u w:color="000000"/>
          <w:lang w:val="zh-TW"/>
        </w:rPr>
      </w:pPr>
      <w:r>
        <w:rPr>
          <w:rFonts w:hint="eastAsia" w:ascii="仿宋_GB2312" w:hAnsi="仿宋_GB2312" w:eastAsia="仿宋_GB2312" w:cs="仿宋_GB2312"/>
          <w:color w:val="000000"/>
          <w:sz w:val="30"/>
          <w:szCs w:val="30"/>
          <w:u w:color="000000"/>
          <w:lang w:val="zh-TW"/>
        </w:rPr>
        <w:t>（2）使用绿色环保材料。</w:t>
      </w:r>
    </w:p>
    <w:p>
      <w:pPr>
        <w:keepNext w:val="0"/>
        <w:keepLines w:val="0"/>
        <w:pageBreakBefore w:val="0"/>
        <w:widowControl w:val="0"/>
        <w:tabs>
          <w:tab w:val="left" w:pos="6120"/>
        </w:tabs>
        <w:kinsoku/>
        <w:wordWrap/>
        <w:overflowPunct/>
        <w:topLinePunct w:val="0"/>
        <w:bidi w:val="0"/>
        <w:snapToGrid/>
        <w:spacing w:line="560" w:lineRule="exact"/>
        <w:ind w:firstLine="600" w:firstLineChars="200"/>
        <w:textAlignment w:val="auto"/>
        <w:outlineLvl w:val="1"/>
        <w:rPr>
          <w:rFonts w:hint="eastAsia" w:ascii="仿宋_GB2312" w:hAnsi="仿宋_GB2312" w:eastAsia="仿宋_GB2312" w:cs="仿宋_GB2312"/>
          <w:color w:val="000000"/>
          <w:sz w:val="30"/>
          <w:szCs w:val="30"/>
          <w:u w:color="000000"/>
          <w:lang w:val="zh-TW"/>
        </w:rPr>
      </w:pPr>
      <w:r>
        <w:rPr>
          <w:rFonts w:hint="eastAsia" w:ascii="仿宋_GB2312" w:hAnsi="仿宋_GB2312" w:eastAsia="仿宋_GB2312" w:cs="仿宋_GB2312"/>
          <w:color w:val="000000"/>
          <w:sz w:val="30"/>
          <w:szCs w:val="30"/>
          <w:u w:color="000000"/>
          <w:lang w:val="zh-TW"/>
        </w:rPr>
        <w:t>（3）赛场具有良好的通风条件，配备必要的安全防护用品。</w:t>
      </w:r>
    </w:p>
    <w:p>
      <w:pPr>
        <w:keepNext w:val="0"/>
        <w:keepLines w:val="0"/>
        <w:pageBreakBefore w:val="0"/>
        <w:widowControl w:val="0"/>
        <w:tabs>
          <w:tab w:val="left" w:pos="6120"/>
        </w:tabs>
        <w:kinsoku/>
        <w:wordWrap/>
        <w:overflowPunct/>
        <w:topLinePunct w:val="0"/>
        <w:bidi w:val="0"/>
        <w:snapToGrid/>
        <w:spacing w:line="560" w:lineRule="exact"/>
        <w:ind w:firstLine="600" w:firstLineChars="200"/>
        <w:textAlignment w:val="auto"/>
        <w:outlineLvl w:val="1"/>
        <w:rPr>
          <w:rFonts w:hint="eastAsia" w:ascii="仿宋_GB2312" w:hAnsi="仿宋_GB2312" w:eastAsia="仿宋_GB2312" w:cs="仿宋_GB2312"/>
          <w:color w:val="000000"/>
          <w:sz w:val="30"/>
          <w:szCs w:val="30"/>
          <w:u w:color="000000"/>
          <w:lang w:val="zh-TW"/>
        </w:rPr>
      </w:pPr>
      <w:r>
        <w:rPr>
          <w:rFonts w:hint="eastAsia" w:ascii="仿宋_GB2312" w:hAnsi="仿宋_GB2312" w:eastAsia="仿宋_GB2312" w:cs="仿宋_GB2312"/>
          <w:color w:val="000000"/>
          <w:sz w:val="30"/>
          <w:szCs w:val="30"/>
          <w:u w:color="000000"/>
          <w:lang w:val="zh-TW"/>
        </w:rPr>
        <w:t>（4）参赛选手应具有化学实验室安全防护意识，具有一定的化学实验危险事故应变能力，能自觉选用安全防护用品。</w:t>
      </w:r>
    </w:p>
    <w:p>
      <w:pPr>
        <w:keepNext w:val="0"/>
        <w:keepLines w:val="0"/>
        <w:pageBreakBefore w:val="0"/>
        <w:widowControl w:val="0"/>
        <w:tabs>
          <w:tab w:val="left" w:pos="6120"/>
        </w:tabs>
        <w:kinsoku/>
        <w:wordWrap/>
        <w:overflowPunct/>
        <w:topLinePunct w:val="0"/>
        <w:bidi w:val="0"/>
        <w:snapToGrid/>
        <w:spacing w:line="560" w:lineRule="exact"/>
        <w:ind w:firstLine="600" w:firstLineChars="200"/>
        <w:textAlignment w:val="auto"/>
        <w:outlineLvl w:val="1"/>
        <w:rPr>
          <w:rFonts w:hint="eastAsia" w:ascii="仿宋_GB2312" w:hAnsi="仿宋_GB2312" w:eastAsia="仿宋_GB2312" w:cs="仿宋_GB2312"/>
          <w:color w:val="000000"/>
          <w:sz w:val="30"/>
          <w:szCs w:val="30"/>
          <w:u w:color="000000"/>
          <w:lang w:val="zh-TW"/>
        </w:rPr>
      </w:pPr>
      <w:r>
        <w:rPr>
          <w:rFonts w:hint="eastAsia" w:ascii="仿宋_GB2312" w:hAnsi="仿宋_GB2312" w:eastAsia="仿宋_GB2312" w:cs="仿宋_GB2312"/>
          <w:color w:val="000000"/>
          <w:sz w:val="30"/>
          <w:szCs w:val="30"/>
          <w:u w:color="000000"/>
          <w:lang w:val="zh-TW"/>
        </w:rPr>
        <w:t>（5）参赛选手全程必须按规定穿戴好劳动防护服装。</w:t>
      </w:r>
    </w:p>
    <w:p>
      <w:pPr>
        <w:keepNext w:val="0"/>
        <w:keepLines w:val="0"/>
        <w:pageBreakBefore w:val="0"/>
        <w:widowControl w:val="0"/>
        <w:tabs>
          <w:tab w:val="left" w:pos="6120"/>
        </w:tabs>
        <w:kinsoku/>
        <w:wordWrap/>
        <w:overflowPunct/>
        <w:topLinePunct w:val="0"/>
        <w:bidi w:val="0"/>
        <w:snapToGrid/>
        <w:spacing w:line="560" w:lineRule="exact"/>
        <w:ind w:firstLine="600" w:firstLineChars="200"/>
        <w:textAlignment w:val="auto"/>
        <w:outlineLvl w:val="1"/>
        <w:rPr>
          <w:rFonts w:hint="eastAsia" w:ascii="仿宋_GB2312" w:hAnsi="仿宋_GB2312" w:eastAsia="仿宋_GB2312" w:cs="仿宋_GB2312"/>
          <w:color w:val="000000"/>
          <w:sz w:val="30"/>
          <w:szCs w:val="30"/>
          <w:u w:color="000000"/>
          <w:lang w:val="zh-TW"/>
        </w:rPr>
      </w:pPr>
      <w:r>
        <w:rPr>
          <w:rFonts w:hint="eastAsia" w:ascii="仿宋_GB2312" w:hAnsi="仿宋_GB2312" w:eastAsia="仿宋_GB2312" w:cs="仿宋_GB2312"/>
          <w:color w:val="000000"/>
          <w:sz w:val="30"/>
          <w:szCs w:val="30"/>
          <w:u w:color="000000"/>
          <w:lang w:val="zh-TW"/>
        </w:rPr>
        <w:t>（6）赛场所有废弃物应有效分类并处理，尽可能地回收利用。</w:t>
      </w:r>
    </w:p>
    <w:p>
      <w:pPr>
        <w:keepNext w:val="0"/>
        <w:keepLines w:val="0"/>
        <w:pageBreakBefore w:val="0"/>
        <w:widowControl w:val="0"/>
        <w:tabs>
          <w:tab w:val="left" w:pos="6120"/>
        </w:tabs>
        <w:kinsoku/>
        <w:wordWrap/>
        <w:overflowPunct/>
        <w:topLinePunct w:val="0"/>
        <w:bidi w:val="0"/>
        <w:snapToGrid/>
        <w:spacing w:line="560" w:lineRule="exact"/>
        <w:ind w:firstLine="600" w:firstLineChars="200"/>
        <w:textAlignment w:val="auto"/>
        <w:outlineLvl w:val="1"/>
        <w:rPr>
          <w:rFonts w:hint="eastAsia" w:ascii="仿宋_GB2312" w:hAnsi="仿宋_GB2312" w:eastAsia="仿宋_GB2312" w:cs="仿宋_GB2312"/>
          <w:color w:val="000000"/>
          <w:sz w:val="30"/>
          <w:szCs w:val="30"/>
          <w:u w:color="000000"/>
          <w:lang w:val="zh-TW"/>
        </w:rPr>
      </w:pPr>
      <w:bookmarkStart w:id="7" w:name="_Toc511831133"/>
      <w:bookmarkStart w:id="8" w:name="_Toc511829447"/>
      <w:r>
        <w:rPr>
          <w:rFonts w:hint="eastAsia" w:ascii="仿宋_GB2312" w:hAnsi="仿宋_GB2312" w:eastAsia="仿宋_GB2312" w:cs="仿宋_GB2312"/>
          <w:color w:val="000000"/>
          <w:sz w:val="30"/>
          <w:szCs w:val="30"/>
          <w:u w:color="000000"/>
          <w:lang w:val="zh-TW"/>
        </w:rPr>
        <w:t>5.赛场</w:t>
      </w:r>
      <w:bookmarkEnd w:id="7"/>
      <w:bookmarkEnd w:id="8"/>
      <w:bookmarkStart w:id="9" w:name="OLE_LINK11"/>
      <w:r>
        <w:rPr>
          <w:rFonts w:hint="eastAsia" w:ascii="仿宋_GB2312" w:hAnsi="仿宋_GB2312" w:eastAsia="仿宋_GB2312" w:cs="仿宋_GB2312"/>
          <w:color w:val="000000"/>
          <w:sz w:val="30"/>
          <w:szCs w:val="30"/>
          <w:u w:color="000000"/>
          <w:lang w:val="zh-TW"/>
        </w:rPr>
        <w:t>开放</w:t>
      </w:r>
    </w:p>
    <w:p>
      <w:pPr>
        <w:keepNext w:val="0"/>
        <w:keepLines w:val="0"/>
        <w:pageBreakBefore w:val="0"/>
        <w:widowControl w:val="0"/>
        <w:tabs>
          <w:tab w:val="left" w:pos="6120"/>
        </w:tabs>
        <w:kinsoku/>
        <w:wordWrap/>
        <w:overflowPunct/>
        <w:topLinePunct w:val="0"/>
        <w:bidi w:val="0"/>
        <w:snapToGrid/>
        <w:spacing w:line="560" w:lineRule="exact"/>
        <w:ind w:firstLine="600" w:firstLineChars="200"/>
        <w:textAlignment w:val="auto"/>
        <w:outlineLvl w:val="1"/>
        <w:rPr>
          <w:rFonts w:hint="eastAsia" w:ascii="仿宋_GB2312" w:hAnsi="仿宋_GB2312" w:eastAsia="仿宋_GB2312" w:cs="仿宋_GB2312"/>
          <w:color w:val="000000"/>
          <w:sz w:val="30"/>
          <w:szCs w:val="30"/>
          <w:u w:color="000000"/>
          <w:lang w:val="zh-TW"/>
        </w:rPr>
      </w:pPr>
      <w:r>
        <w:rPr>
          <w:rFonts w:hint="eastAsia" w:ascii="仿宋_GB2312" w:hAnsi="仿宋_GB2312" w:eastAsia="仿宋_GB2312" w:cs="仿宋_GB2312"/>
          <w:color w:val="000000"/>
          <w:sz w:val="30"/>
          <w:szCs w:val="30"/>
          <w:u w:color="000000"/>
          <w:lang w:val="zh-TW"/>
        </w:rPr>
        <w:t>（1）赛场设定安全警戒标志。赛场内除指定的裁判、参赛选手、工作人员外，其他与会人员须经组织委员会同意或在委员会负责人陪同下，佩带相应的标志方可进入赛场。</w:t>
      </w:r>
    </w:p>
    <w:p>
      <w:pPr>
        <w:keepNext w:val="0"/>
        <w:keepLines w:val="0"/>
        <w:pageBreakBefore w:val="0"/>
        <w:widowControl w:val="0"/>
        <w:tabs>
          <w:tab w:val="left" w:pos="6120"/>
        </w:tabs>
        <w:kinsoku/>
        <w:wordWrap/>
        <w:overflowPunct/>
        <w:topLinePunct w:val="0"/>
        <w:bidi w:val="0"/>
        <w:snapToGrid/>
        <w:spacing w:line="560" w:lineRule="exact"/>
        <w:ind w:firstLine="600" w:firstLineChars="200"/>
        <w:textAlignment w:val="auto"/>
        <w:outlineLvl w:val="1"/>
        <w:rPr>
          <w:rFonts w:hint="eastAsia" w:ascii="仿宋_GB2312" w:hAnsi="仿宋_GB2312" w:eastAsia="仿宋_GB2312" w:cs="仿宋_GB2312"/>
          <w:color w:val="000000"/>
          <w:sz w:val="30"/>
          <w:szCs w:val="30"/>
          <w:u w:color="000000"/>
          <w:lang w:val="zh-TW"/>
        </w:rPr>
      </w:pPr>
      <w:r>
        <w:rPr>
          <w:rFonts w:hint="eastAsia" w:ascii="仿宋_GB2312" w:hAnsi="仿宋_GB2312" w:eastAsia="仿宋_GB2312" w:cs="仿宋_GB2312"/>
          <w:color w:val="000000"/>
          <w:sz w:val="30"/>
          <w:szCs w:val="30"/>
          <w:u w:color="000000"/>
          <w:lang w:val="zh-TW"/>
        </w:rPr>
        <w:t>（2）允许进入赛场的人员，应遵守赛场规则，不得与选手交谈，不得妨碍、干扰选手竞赛。</w:t>
      </w:r>
    </w:p>
    <w:p>
      <w:pPr>
        <w:keepNext w:val="0"/>
        <w:keepLines w:val="0"/>
        <w:pageBreakBefore w:val="0"/>
        <w:widowControl w:val="0"/>
        <w:tabs>
          <w:tab w:val="left" w:pos="6120"/>
        </w:tabs>
        <w:kinsoku/>
        <w:wordWrap/>
        <w:overflowPunct/>
        <w:topLinePunct w:val="0"/>
        <w:bidi w:val="0"/>
        <w:snapToGrid/>
        <w:spacing w:line="560" w:lineRule="exact"/>
        <w:ind w:firstLine="600" w:firstLineChars="200"/>
        <w:textAlignment w:val="auto"/>
        <w:outlineLvl w:val="1"/>
        <w:rPr>
          <w:rFonts w:hint="eastAsia" w:ascii="仿宋_GB2312" w:hAnsi="仿宋_GB2312" w:eastAsia="仿宋_GB2312" w:cs="仿宋_GB2312"/>
          <w:color w:val="000000"/>
          <w:sz w:val="30"/>
          <w:szCs w:val="30"/>
          <w:u w:color="000000"/>
          <w:lang w:val="zh-TW"/>
        </w:rPr>
      </w:pPr>
      <w:r>
        <w:rPr>
          <w:rFonts w:hint="eastAsia" w:ascii="仿宋_GB2312" w:hAnsi="仿宋_GB2312" w:eastAsia="仿宋_GB2312" w:cs="仿宋_GB2312"/>
          <w:color w:val="000000"/>
          <w:sz w:val="30"/>
          <w:szCs w:val="30"/>
          <w:u w:color="000000"/>
          <w:lang w:val="zh-TW"/>
        </w:rPr>
        <w:t>（3）允许进入赛场的人员，不得在场内吸烟。</w:t>
      </w:r>
      <w:bookmarkEnd w:id="9"/>
    </w:p>
    <w:p>
      <w:pPr>
        <w:keepNext w:val="0"/>
        <w:keepLines w:val="0"/>
        <w:pageBreakBefore w:val="0"/>
        <w:widowControl w:val="0"/>
        <w:tabs>
          <w:tab w:val="left" w:pos="6120"/>
        </w:tabs>
        <w:kinsoku/>
        <w:wordWrap/>
        <w:overflowPunct/>
        <w:topLinePunct w:val="0"/>
        <w:bidi w:val="0"/>
        <w:snapToGrid/>
        <w:spacing w:line="560" w:lineRule="exact"/>
        <w:ind w:firstLine="600" w:firstLineChars="200"/>
        <w:textAlignment w:val="auto"/>
        <w:outlineLvl w:val="1"/>
        <w:rPr>
          <w:rFonts w:hint="eastAsia" w:ascii="仿宋_GB2312" w:hAnsi="仿宋_GB2312" w:eastAsia="仿宋_GB2312" w:cs="仿宋_GB2312"/>
          <w:color w:val="000000"/>
          <w:sz w:val="30"/>
          <w:szCs w:val="30"/>
          <w:u w:color="000000"/>
          <w:lang w:val="zh-TW"/>
        </w:rPr>
      </w:pPr>
      <w:r>
        <w:rPr>
          <w:rFonts w:hint="eastAsia" w:ascii="仿宋_GB2312" w:hAnsi="仿宋_GB2312" w:eastAsia="仿宋_GB2312" w:cs="仿宋_GB2312"/>
          <w:color w:val="000000"/>
          <w:sz w:val="30"/>
          <w:szCs w:val="30"/>
          <w:u w:color="000000"/>
          <w:lang w:val="zh-TW"/>
        </w:rPr>
        <w:t>（4）比赛前和结束前30min 不开放参观。</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黑体" w:hAnsi="黑体" w:eastAsia="黑体" w:cs="黑体"/>
          <w:sz w:val="30"/>
          <w:szCs w:val="30"/>
        </w:rPr>
      </w:pPr>
      <w:r>
        <w:rPr>
          <w:rFonts w:hint="eastAsia" w:ascii="黑体" w:hAnsi="黑体" w:eastAsia="黑体" w:cs="黑体"/>
          <w:sz w:val="30"/>
          <w:szCs w:val="30"/>
        </w:rPr>
        <w:t>十六、申诉与仲裁</w:t>
      </w:r>
    </w:p>
    <w:p>
      <w:pPr>
        <w:keepNext w:val="0"/>
        <w:keepLines w:val="0"/>
        <w:pageBreakBefore w:val="0"/>
        <w:widowControl w:val="0"/>
        <w:tabs>
          <w:tab w:val="left" w:pos="6120"/>
        </w:tabs>
        <w:kinsoku/>
        <w:wordWrap/>
        <w:overflowPunct/>
        <w:topLinePunct w:val="0"/>
        <w:bidi w:val="0"/>
        <w:snapToGrid/>
        <w:spacing w:line="560" w:lineRule="exact"/>
        <w:ind w:firstLine="600" w:firstLineChars="200"/>
        <w:textAlignment w:val="auto"/>
        <w:outlineLvl w:val="1"/>
        <w:rPr>
          <w:rFonts w:ascii="楷体_GB2312" w:hAnsi="仿宋" w:eastAsia="楷体_GB2312" w:cs="仿宋_GB2312"/>
          <w:color w:val="000000"/>
          <w:sz w:val="30"/>
          <w:szCs w:val="30"/>
          <w:u w:color="000000"/>
          <w:lang w:val="zh-TW"/>
        </w:rPr>
      </w:pPr>
      <w:r>
        <w:rPr>
          <w:rFonts w:hint="eastAsia" w:ascii="楷体_GB2312" w:hAnsi="仿宋" w:eastAsia="楷体_GB2312" w:cs="仿宋_GB2312"/>
          <w:color w:val="000000"/>
          <w:sz w:val="30"/>
          <w:szCs w:val="30"/>
          <w:u w:color="000000"/>
          <w:lang w:val="zh-TW"/>
        </w:rPr>
        <w:t>（一）申诉</w:t>
      </w:r>
    </w:p>
    <w:p>
      <w:pPr>
        <w:keepNext w:val="0"/>
        <w:keepLines w:val="0"/>
        <w:pageBreakBefore w:val="0"/>
        <w:widowControl w:val="0"/>
        <w:tabs>
          <w:tab w:val="left" w:pos="6120"/>
        </w:tabs>
        <w:kinsoku/>
        <w:wordWrap/>
        <w:overflowPunct/>
        <w:topLinePunct w:val="0"/>
        <w:bidi w:val="0"/>
        <w:snapToGrid/>
        <w:spacing w:line="560" w:lineRule="exact"/>
        <w:ind w:firstLine="600" w:firstLineChars="200"/>
        <w:textAlignment w:val="auto"/>
        <w:outlineLvl w:val="1"/>
        <w:rPr>
          <w:rFonts w:ascii="仿宋_GB2312" w:hAnsi="仿宋" w:eastAsia="仿宋_GB2312" w:cs="仿宋_GB2312"/>
          <w:color w:val="000000"/>
          <w:sz w:val="30"/>
          <w:szCs w:val="30"/>
          <w:u w:color="000000"/>
          <w:lang w:val="zh-TW"/>
        </w:rPr>
      </w:pPr>
      <w:r>
        <w:rPr>
          <w:rFonts w:hint="eastAsia" w:ascii="仿宋_GB2312" w:hAnsi="仿宋" w:eastAsia="仿宋_GB2312" w:cs="仿宋_GB2312"/>
          <w:color w:val="000000"/>
          <w:sz w:val="30"/>
          <w:szCs w:val="30"/>
          <w:u w:color="000000"/>
          <w:lang w:val="zh-TW"/>
        </w:rPr>
        <w:t>1.</w:t>
      </w:r>
      <w:r>
        <w:rPr>
          <w:rFonts w:ascii="仿宋_GB2312" w:hAnsi="仿宋" w:eastAsia="仿宋_GB2312" w:cs="仿宋_GB2312"/>
          <w:color w:val="000000"/>
          <w:sz w:val="30"/>
          <w:szCs w:val="30"/>
          <w:u w:color="000000"/>
          <w:lang w:val="zh-TW"/>
        </w:rPr>
        <w:t>参赛队对不符合竞赛规定的设备、工具、软件，有失公正的评判、奖励，以及对工作人员的违规行为等，均可提出申诉。</w:t>
      </w:r>
    </w:p>
    <w:p>
      <w:pPr>
        <w:keepNext w:val="0"/>
        <w:keepLines w:val="0"/>
        <w:pageBreakBefore w:val="0"/>
        <w:widowControl w:val="0"/>
        <w:tabs>
          <w:tab w:val="left" w:pos="6120"/>
        </w:tabs>
        <w:kinsoku/>
        <w:wordWrap/>
        <w:overflowPunct/>
        <w:topLinePunct w:val="0"/>
        <w:bidi w:val="0"/>
        <w:snapToGrid/>
        <w:spacing w:line="560" w:lineRule="exact"/>
        <w:ind w:firstLine="600" w:firstLineChars="200"/>
        <w:textAlignment w:val="auto"/>
        <w:outlineLvl w:val="1"/>
        <w:rPr>
          <w:rFonts w:ascii="仿宋_GB2312" w:hAnsi="仿宋" w:eastAsia="仿宋_GB2312" w:cs="仿宋_GB2312"/>
          <w:color w:val="000000"/>
          <w:sz w:val="30"/>
          <w:szCs w:val="30"/>
          <w:u w:color="000000"/>
          <w:lang w:val="zh-TW"/>
        </w:rPr>
      </w:pPr>
      <w:r>
        <w:rPr>
          <w:rFonts w:hint="eastAsia" w:ascii="仿宋_GB2312" w:hAnsi="仿宋" w:eastAsia="仿宋_GB2312" w:cs="仿宋_GB2312"/>
          <w:color w:val="000000"/>
          <w:sz w:val="30"/>
          <w:szCs w:val="30"/>
          <w:u w:color="000000"/>
          <w:lang w:val="zh-TW"/>
        </w:rPr>
        <w:t>2.</w:t>
      </w:r>
      <w:r>
        <w:rPr>
          <w:rFonts w:ascii="仿宋_GB2312" w:hAnsi="仿宋" w:eastAsia="仿宋_GB2312" w:cs="仿宋_GB2312"/>
          <w:color w:val="000000"/>
          <w:sz w:val="30"/>
          <w:szCs w:val="30"/>
          <w:u w:color="000000"/>
          <w:lang w:val="zh-TW"/>
        </w:rPr>
        <w:t>申诉应在竞赛结束后2小时内提出，超过时效将不予受理。申诉时，应按照规定的程序由参赛队领队向仲裁工作组递交书面申诉报告。报告应对申诉事件的现象、发生的时间、涉及到的人员、申诉依据与理由等进行充分、实事求是的叙述。事实依据不充分、仅凭主观臆断的申诉将不予受理。申诉报告须由申诉的参赛选手、领队签名。非书面申诉不予受理。</w:t>
      </w:r>
    </w:p>
    <w:p>
      <w:pPr>
        <w:keepNext w:val="0"/>
        <w:keepLines w:val="0"/>
        <w:pageBreakBefore w:val="0"/>
        <w:widowControl w:val="0"/>
        <w:tabs>
          <w:tab w:val="left" w:pos="6120"/>
        </w:tabs>
        <w:kinsoku/>
        <w:wordWrap/>
        <w:overflowPunct/>
        <w:topLinePunct w:val="0"/>
        <w:bidi w:val="0"/>
        <w:snapToGrid/>
        <w:spacing w:line="560" w:lineRule="exact"/>
        <w:ind w:firstLine="600" w:firstLineChars="200"/>
        <w:textAlignment w:val="auto"/>
        <w:outlineLvl w:val="1"/>
        <w:rPr>
          <w:rFonts w:ascii="楷体_GB2312" w:hAnsi="仿宋" w:eastAsia="楷体_GB2312" w:cs="仿宋_GB2312"/>
          <w:color w:val="000000"/>
          <w:sz w:val="30"/>
          <w:szCs w:val="30"/>
          <w:u w:color="000000"/>
          <w:lang w:val="zh-TW"/>
        </w:rPr>
      </w:pPr>
      <w:r>
        <w:rPr>
          <w:rFonts w:hint="eastAsia" w:ascii="楷体_GB2312" w:hAnsi="仿宋" w:eastAsia="楷体_GB2312" w:cs="仿宋_GB2312"/>
          <w:color w:val="000000"/>
          <w:sz w:val="30"/>
          <w:szCs w:val="30"/>
          <w:u w:color="000000"/>
          <w:lang w:val="zh-TW"/>
        </w:rPr>
        <w:t>（二）仲裁</w:t>
      </w:r>
    </w:p>
    <w:p>
      <w:pPr>
        <w:keepNext w:val="0"/>
        <w:keepLines w:val="0"/>
        <w:pageBreakBefore w:val="0"/>
        <w:widowControl w:val="0"/>
        <w:tabs>
          <w:tab w:val="left" w:pos="6120"/>
        </w:tabs>
        <w:kinsoku/>
        <w:wordWrap/>
        <w:overflowPunct/>
        <w:topLinePunct w:val="0"/>
        <w:bidi w:val="0"/>
        <w:snapToGrid/>
        <w:spacing w:line="560" w:lineRule="exact"/>
        <w:ind w:firstLine="600" w:firstLineChars="200"/>
        <w:textAlignment w:val="auto"/>
        <w:outlineLvl w:val="1"/>
        <w:rPr>
          <w:rFonts w:ascii="仿宋_GB2312" w:hAnsi="仿宋" w:eastAsia="仿宋_GB2312" w:cs="仿宋_GB2312"/>
          <w:color w:val="000000"/>
          <w:sz w:val="30"/>
          <w:szCs w:val="30"/>
          <w:u w:color="000000"/>
          <w:lang w:val="zh-TW"/>
        </w:rPr>
      </w:pPr>
      <w:r>
        <w:rPr>
          <w:rFonts w:hint="eastAsia" w:ascii="仿宋_GB2312" w:hAnsi="仿宋" w:eastAsia="仿宋_GB2312" w:cs="仿宋_GB2312"/>
          <w:color w:val="000000"/>
          <w:sz w:val="30"/>
          <w:szCs w:val="30"/>
          <w:u w:color="000000"/>
          <w:lang w:val="zh-TW"/>
        </w:rPr>
        <w:t>1.</w:t>
      </w:r>
      <w:r>
        <w:rPr>
          <w:rFonts w:ascii="仿宋_GB2312" w:hAnsi="仿宋" w:eastAsia="仿宋_GB2312" w:cs="仿宋_GB2312"/>
          <w:color w:val="000000"/>
          <w:sz w:val="30"/>
          <w:szCs w:val="30"/>
          <w:u w:color="000000"/>
          <w:lang w:val="zh-TW"/>
        </w:rPr>
        <w:t>赛项仲裁工作组收到申诉报告后，应根据申诉事由进行审查，2</w:t>
      </w:r>
      <w:r>
        <w:rPr>
          <w:rFonts w:hint="eastAsia" w:ascii="仿宋_GB2312" w:hAnsi="仿宋" w:eastAsia="仿宋_GB2312" w:cs="仿宋_GB2312"/>
          <w:color w:val="000000"/>
          <w:sz w:val="30"/>
          <w:szCs w:val="30"/>
          <w:u w:color="000000"/>
          <w:lang w:val="zh-TW"/>
        </w:rPr>
        <w:t>小时</w:t>
      </w:r>
      <w:r>
        <w:rPr>
          <w:rFonts w:ascii="仿宋_GB2312" w:hAnsi="仿宋" w:eastAsia="仿宋_GB2312" w:cs="仿宋_GB2312"/>
          <w:color w:val="000000"/>
          <w:sz w:val="30"/>
          <w:szCs w:val="30"/>
          <w:u w:color="000000"/>
          <w:lang w:val="zh-TW"/>
        </w:rPr>
        <w:t>内通知申诉方，告知申诉处理结果。如不受理申诉，须说明理由。</w:t>
      </w:r>
    </w:p>
    <w:p>
      <w:pPr>
        <w:keepNext w:val="0"/>
        <w:keepLines w:val="0"/>
        <w:pageBreakBefore w:val="0"/>
        <w:widowControl w:val="0"/>
        <w:tabs>
          <w:tab w:val="left" w:pos="6120"/>
        </w:tabs>
        <w:kinsoku/>
        <w:wordWrap/>
        <w:overflowPunct/>
        <w:topLinePunct w:val="0"/>
        <w:bidi w:val="0"/>
        <w:snapToGrid/>
        <w:spacing w:line="560" w:lineRule="exact"/>
        <w:ind w:firstLine="600" w:firstLineChars="200"/>
        <w:textAlignment w:val="auto"/>
        <w:outlineLvl w:val="1"/>
        <w:rPr>
          <w:rFonts w:ascii="仿宋_GB2312" w:hAnsi="仿宋" w:eastAsia="仿宋_GB2312" w:cs="仿宋_GB2312"/>
          <w:color w:val="000000"/>
          <w:sz w:val="30"/>
          <w:szCs w:val="30"/>
          <w:u w:color="000000"/>
          <w:lang w:val="zh-TW"/>
        </w:rPr>
      </w:pPr>
      <w:r>
        <w:rPr>
          <w:rFonts w:hint="eastAsia" w:ascii="仿宋_GB2312" w:hAnsi="仿宋" w:eastAsia="仿宋_GB2312" w:cs="仿宋_GB2312"/>
          <w:color w:val="000000"/>
          <w:sz w:val="30"/>
          <w:szCs w:val="30"/>
          <w:u w:color="000000"/>
          <w:lang w:val="zh-TW"/>
        </w:rPr>
        <w:t>2.</w:t>
      </w:r>
      <w:r>
        <w:rPr>
          <w:rFonts w:ascii="仿宋_GB2312" w:hAnsi="仿宋" w:eastAsia="仿宋_GB2312" w:cs="仿宋_GB2312"/>
          <w:color w:val="000000"/>
          <w:sz w:val="30"/>
          <w:szCs w:val="30"/>
          <w:u w:color="000000"/>
          <w:lang w:val="zh-TW"/>
        </w:rPr>
        <w:t>申诉人不得无故拒不接受处理结果，不允许采取过激行为刁难、攻击工作人员，否则视为放弃申诉。</w:t>
      </w:r>
    </w:p>
    <w:p>
      <w:pPr>
        <w:keepNext w:val="0"/>
        <w:keepLines w:val="0"/>
        <w:pageBreakBefore w:val="0"/>
        <w:widowControl w:val="0"/>
        <w:tabs>
          <w:tab w:val="left" w:pos="6120"/>
        </w:tabs>
        <w:kinsoku/>
        <w:wordWrap/>
        <w:overflowPunct/>
        <w:topLinePunct w:val="0"/>
        <w:bidi w:val="0"/>
        <w:snapToGrid/>
        <w:spacing w:line="560" w:lineRule="exact"/>
        <w:ind w:firstLine="600" w:firstLineChars="200"/>
        <w:textAlignment w:val="auto"/>
        <w:outlineLvl w:val="1"/>
        <w:rPr>
          <w:rFonts w:ascii="楷体_GB2312" w:hAnsi="仿宋" w:eastAsia="楷体_GB2312" w:cs="仿宋_GB2312"/>
          <w:color w:val="000000"/>
          <w:sz w:val="30"/>
          <w:szCs w:val="30"/>
          <w:u w:color="000000"/>
          <w:lang w:val="zh-TW"/>
        </w:rPr>
      </w:pPr>
      <w:r>
        <w:rPr>
          <w:rFonts w:hint="eastAsia" w:ascii="楷体_GB2312" w:hAnsi="仿宋" w:eastAsia="楷体_GB2312" w:cs="仿宋_GB2312"/>
          <w:color w:val="000000"/>
          <w:sz w:val="30"/>
          <w:szCs w:val="30"/>
          <w:u w:color="000000"/>
          <w:lang w:val="zh-TW"/>
        </w:rPr>
        <w:t>（三）其他</w:t>
      </w:r>
    </w:p>
    <w:p>
      <w:pPr>
        <w:keepNext w:val="0"/>
        <w:keepLines w:val="0"/>
        <w:pageBreakBefore w:val="0"/>
        <w:widowControl w:val="0"/>
        <w:tabs>
          <w:tab w:val="left" w:pos="6120"/>
        </w:tabs>
        <w:kinsoku/>
        <w:wordWrap/>
        <w:overflowPunct/>
        <w:topLinePunct w:val="0"/>
        <w:bidi w:val="0"/>
        <w:snapToGrid/>
        <w:spacing w:line="560" w:lineRule="exact"/>
        <w:ind w:firstLine="600" w:firstLineChars="200"/>
        <w:textAlignment w:val="auto"/>
        <w:outlineLvl w:val="1"/>
        <w:rPr>
          <w:rFonts w:ascii="仿宋_GB2312" w:hAnsi="仿宋" w:eastAsia="仿宋_GB2312" w:cs="仿宋_GB2312"/>
          <w:color w:val="000000"/>
          <w:sz w:val="30"/>
          <w:szCs w:val="30"/>
          <w:u w:color="000000"/>
          <w:lang w:val="zh-TW"/>
        </w:rPr>
      </w:pPr>
      <w:r>
        <w:rPr>
          <w:rFonts w:ascii="仿宋_GB2312" w:hAnsi="仿宋" w:eastAsia="仿宋_GB2312" w:cs="仿宋_GB2312"/>
          <w:color w:val="000000"/>
          <w:sz w:val="30"/>
          <w:szCs w:val="30"/>
          <w:u w:color="000000"/>
          <w:lang w:val="zh-TW"/>
        </w:rPr>
        <w:t>凡是本规程没有说明的事项由竞赛组委会决定。本规则最终解释权归竞赛组委会。</w:t>
      </w:r>
    </w:p>
    <w:p>
      <w:pPr>
        <w:keepNext w:val="0"/>
        <w:keepLines w:val="0"/>
        <w:pageBreakBefore w:val="0"/>
        <w:widowControl/>
        <w:kinsoku/>
        <w:wordWrap/>
        <w:overflowPunct/>
        <w:topLinePunct w:val="0"/>
        <w:bidi w:val="0"/>
        <w:snapToGrid/>
        <w:spacing w:line="560" w:lineRule="exact"/>
        <w:jc w:val="left"/>
        <w:textAlignment w:val="auto"/>
        <w:rPr>
          <w:rFonts w:ascii="仿宋_GB2312" w:hAnsi="仿宋_GB2312" w:eastAsia="仿宋_GB2312" w:cs="仿宋_GB2312"/>
          <w:color w:val="FF0000"/>
          <w:sz w:val="30"/>
          <w:szCs w:val="30"/>
        </w:rPr>
      </w:pPr>
      <w:r>
        <w:rPr>
          <w:rFonts w:ascii="仿宋_GB2312" w:hAnsi="仿宋" w:eastAsia="仿宋_GB2312" w:cs="仿宋_GB2312"/>
          <w:color w:val="000000"/>
          <w:sz w:val="30"/>
          <w:szCs w:val="30"/>
          <w:u w:color="000000"/>
          <w:lang w:val="zh-TW"/>
        </w:rPr>
        <w:br w:type="page"/>
      </w:r>
    </w:p>
    <w:p>
      <w:pPr>
        <w:spacing w:line="560" w:lineRule="exact"/>
        <w:jc w:val="left"/>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附件1</w:t>
      </w:r>
    </w:p>
    <w:p>
      <w:pPr>
        <w:spacing w:line="560" w:lineRule="exact"/>
        <w:jc w:val="center"/>
        <w:rPr>
          <w:rFonts w:ascii="黑体" w:hAnsi="黑体" w:eastAsia="黑体" w:cs="仿宋_GB2312"/>
          <w:sz w:val="44"/>
          <w:szCs w:val="44"/>
        </w:rPr>
      </w:pPr>
    </w:p>
    <w:p>
      <w:pPr>
        <w:spacing w:line="560" w:lineRule="exact"/>
        <w:jc w:val="center"/>
        <w:rPr>
          <w:rFonts w:ascii="黑体" w:hAnsi="黑体" w:eastAsia="黑体" w:cs="仿宋_GB2312"/>
          <w:sz w:val="44"/>
          <w:szCs w:val="44"/>
        </w:rPr>
      </w:pPr>
      <w:r>
        <w:rPr>
          <w:rFonts w:ascii="黑体" w:hAnsi="黑体" w:eastAsia="黑体" w:cs="仿宋_GB2312"/>
          <w:sz w:val="44"/>
          <w:szCs w:val="44"/>
        </w:rPr>
        <w:t>化学实验技术大赛选手能力标准规范</w:t>
      </w:r>
    </w:p>
    <w:p>
      <w:pPr>
        <w:spacing w:line="560" w:lineRule="exact"/>
        <w:jc w:val="center"/>
        <w:rPr>
          <w:rFonts w:ascii="黑体" w:hAnsi="黑体" w:eastAsia="黑体" w:cs="仿宋_GB2312"/>
          <w:sz w:val="44"/>
          <w:szCs w:val="44"/>
        </w:rPr>
      </w:pPr>
    </w:p>
    <w:tbl>
      <w:tblPr>
        <w:tblStyle w:val="8"/>
        <w:tblW w:w="93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32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036" w:type="dxa"/>
            <w:gridSpan w:val="2"/>
            <w:tcBorders>
              <w:bottom w:val="single" w:color="auto" w:sz="4" w:space="0"/>
            </w:tcBorders>
            <w:vAlign w:val="center"/>
          </w:tcPr>
          <w:p>
            <w:pPr>
              <w:tabs>
                <w:tab w:val="left" w:pos="1134"/>
              </w:tabs>
              <w:adjustRightInd w:val="0"/>
              <w:snapToGrid w:val="0"/>
              <w:jc w:val="center"/>
              <w:textAlignment w:val="baseline"/>
              <w:rPr>
                <w:rFonts w:hint="eastAsia" w:ascii="黑体" w:hAnsi="黑体" w:eastAsia="黑体" w:cs="黑体"/>
                <w:b w:val="0"/>
                <w:bCs/>
                <w:spacing w:val="1"/>
                <w:kern w:val="0"/>
                <w:sz w:val="24"/>
                <w:szCs w:val="24"/>
              </w:rPr>
            </w:pPr>
            <w:r>
              <w:rPr>
                <w:rFonts w:hint="eastAsia" w:ascii="黑体" w:hAnsi="黑体" w:eastAsia="黑体" w:cs="黑体"/>
                <w:b w:val="0"/>
                <w:bCs/>
                <w:spacing w:val="1"/>
                <w:kern w:val="0"/>
                <w:sz w:val="24"/>
                <w:szCs w:val="24"/>
              </w:rPr>
              <w:t>能力标准规范</w:t>
            </w:r>
          </w:p>
        </w:tc>
        <w:tc>
          <w:tcPr>
            <w:tcW w:w="1275" w:type="dxa"/>
            <w:tcBorders>
              <w:bottom w:val="single" w:color="auto" w:sz="4" w:space="0"/>
            </w:tcBorders>
            <w:shd w:val="clear" w:color="auto" w:fill="auto"/>
            <w:vAlign w:val="center"/>
          </w:tcPr>
          <w:p>
            <w:pPr>
              <w:tabs>
                <w:tab w:val="left" w:pos="1134"/>
              </w:tabs>
              <w:adjustRightInd w:val="0"/>
              <w:snapToGrid w:val="0"/>
              <w:jc w:val="center"/>
              <w:textAlignment w:val="baseline"/>
              <w:rPr>
                <w:rFonts w:hint="eastAsia" w:ascii="黑体" w:hAnsi="黑体" w:eastAsia="黑体" w:cs="黑体"/>
                <w:b w:val="0"/>
                <w:bCs/>
                <w:spacing w:val="1"/>
                <w:kern w:val="0"/>
                <w:sz w:val="24"/>
                <w:szCs w:val="24"/>
              </w:rPr>
            </w:pPr>
            <w:r>
              <w:rPr>
                <w:rFonts w:hint="eastAsia" w:ascii="黑体" w:hAnsi="黑体" w:eastAsia="黑体" w:cs="黑体"/>
                <w:b w:val="0"/>
                <w:bCs/>
                <w:spacing w:val="1"/>
                <w:kern w:val="0"/>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shd w:val="clear" w:color="auto" w:fill="EEECE1"/>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7326" w:type="dxa"/>
            <w:shd w:val="clear" w:color="auto" w:fill="EEECE1"/>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工作组织及管理</w:t>
            </w:r>
          </w:p>
        </w:tc>
        <w:tc>
          <w:tcPr>
            <w:tcW w:w="1275" w:type="dxa"/>
            <w:shd w:val="clear" w:color="auto" w:fill="EEECE1"/>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tcPr>
          <w:p>
            <w:pPr>
              <w:rPr>
                <w:rFonts w:ascii="仿宋_GB2312" w:hAnsi="仿宋_GB2312" w:eastAsia="仿宋_GB2312" w:cs="仿宋_GB2312"/>
                <w:sz w:val="24"/>
                <w:szCs w:val="24"/>
              </w:rPr>
            </w:pPr>
          </w:p>
        </w:tc>
        <w:tc>
          <w:tcPr>
            <w:tcW w:w="7326" w:type="dxa"/>
            <w:vAlign w:val="center"/>
          </w:tcPr>
          <w:tbl>
            <w:tblPr>
              <w:tblStyle w:val="8"/>
              <w:tblW w:w="7505" w:type="dxa"/>
              <w:tblInd w:w="0" w:type="dxa"/>
              <w:tblLayout w:type="fixed"/>
              <w:tblCellMar>
                <w:top w:w="0" w:type="dxa"/>
                <w:left w:w="108" w:type="dxa"/>
                <w:bottom w:w="0" w:type="dxa"/>
                <w:right w:w="108" w:type="dxa"/>
              </w:tblCellMar>
            </w:tblPr>
            <w:tblGrid>
              <w:gridCol w:w="7505"/>
            </w:tblGrid>
            <w:tr>
              <w:tblPrEx>
                <w:tblLayout w:type="fixed"/>
                <w:tblCellMar>
                  <w:top w:w="0" w:type="dxa"/>
                  <w:left w:w="108" w:type="dxa"/>
                  <w:bottom w:w="0" w:type="dxa"/>
                  <w:right w:w="108" w:type="dxa"/>
                </w:tblCellMar>
              </w:tblPrEx>
              <w:trPr>
                <w:trHeight w:val="2555" w:hRule="atLeast"/>
              </w:trPr>
              <w:tc>
                <w:tcPr>
                  <w:tcW w:w="7505" w:type="dxa"/>
                </w:tcPr>
                <w:p>
                  <w:pPr>
                    <w:pStyle w:val="11"/>
                    <w:adjustRightInd/>
                    <w:rPr>
                      <w:rFonts w:ascii="仿宋_GB2312" w:hAnsi="仿宋_GB2312" w:eastAsia="仿宋_GB2312" w:cs="仿宋_GB2312"/>
                      <w:color w:val="auto"/>
                    </w:rPr>
                  </w:pPr>
                  <w:r>
                    <w:rPr>
                      <w:rFonts w:hint="eastAsia" w:ascii="仿宋_GB2312" w:hAnsi="仿宋_GB2312" w:eastAsia="仿宋_GB2312" w:cs="仿宋_GB2312"/>
                      <w:color w:val="auto"/>
                    </w:rPr>
                    <w:t>选手应了解和理解：</w:t>
                  </w:r>
                </w:p>
                <w:p>
                  <w:pPr>
                    <w:pStyle w:val="11"/>
                    <w:numPr>
                      <w:ilvl w:val="0"/>
                      <w:numId w:val="1"/>
                    </w:numPr>
                    <w:adjustRightInd/>
                    <w:ind w:left="781" w:hanging="284"/>
                    <w:rPr>
                      <w:rFonts w:ascii="仿宋_GB2312" w:hAnsi="仿宋_GB2312" w:eastAsia="仿宋_GB2312" w:cs="仿宋_GB2312"/>
                      <w:color w:val="auto"/>
                    </w:rPr>
                  </w:pPr>
                  <w:r>
                    <w:rPr>
                      <w:rFonts w:hint="eastAsia" w:ascii="仿宋_GB2312" w:hAnsi="仿宋_GB2312" w:eastAsia="仿宋_GB2312" w:cs="仿宋_GB2312"/>
                      <w:color w:val="auto"/>
                    </w:rPr>
                    <w:t>行业内部和外部监管的整体情况</w:t>
                  </w:r>
                </w:p>
                <w:p>
                  <w:pPr>
                    <w:pStyle w:val="11"/>
                    <w:numPr>
                      <w:ilvl w:val="0"/>
                      <w:numId w:val="1"/>
                    </w:numPr>
                    <w:adjustRightInd/>
                    <w:ind w:left="781" w:hanging="284"/>
                    <w:rPr>
                      <w:rFonts w:ascii="仿宋_GB2312" w:hAnsi="仿宋_GB2312" w:eastAsia="仿宋_GB2312" w:cs="仿宋_GB2312"/>
                      <w:color w:val="auto"/>
                    </w:rPr>
                  </w:pPr>
                  <w:r>
                    <w:rPr>
                      <w:rFonts w:hint="eastAsia" w:ascii="仿宋_GB2312" w:hAnsi="仿宋_GB2312" w:eastAsia="仿宋_GB2312" w:cs="仿宋_GB2312"/>
                      <w:color w:val="auto"/>
                    </w:rPr>
                    <w:t>业务状况，包括个人岗位身份、职业道德、行为规范</w:t>
                  </w:r>
                </w:p>
                <w:p>
                  <w:pPr>
                    <w:pStyle w:val="11"/>
                    <w:numPr>
                      <w:ilvl w:val="0"/>
                      <w:numId w:val="1"/>
                    </w:numPr>
                    <w:adjustRightInd/>
                    <w:ind w:left="781" w:hanging="284"/>
                    <w:rPr>
                      <w:rFonts w:ascii="仿宋_GB2312" w:hAnsi="仿宋_GB2312" w:eastAsia="仿宋_GB2312" w:cs="仿宋_GB2312"/>
                      <w:color w:val="auto"/>
                    </w:rPr>
                  </w:pPr>
                  <w:r>
                    <w:rPr>
                      <w:rFonts w:hint="eastAsia" w:ascii="仿宋_GB2312" w:hAnsi="仿宋_GB2312" w:eastAsia="仿宋_GB2312" w:cs="仿宋_GB2312"/>
                      <w:color w:val="auto"/>
                    </w:rPr>
                    <w:t>健康和安全立法、法规及最佳防护措施</w:t>
                  </w:r>
                </w:p>
                <w:p>
                  <w:pPr>
                    <w:pStyle w:val="11"/>
                    <w:numPr>
                      <w:ilvl w:val="0"/>
                      <w:numId w:val="1"/>
                    </w:numPr>
                    <w:adjustRightInd/>
                    <w:ind w:left="781" w:hanging="284"/>
                    <w:rPr>
                      <w:rFonts w:ascii="仿宋_GB2312" w:hAnsi="仿宋_GB2312" w:eastAsia="仿宋_GB2312" w:cs="仿宋_GB2312"/>
                      <w:color w:val="auto"/>
                    </w:rPr>
                  </w:pPr>
                  <w:r>
                    <w:rPr>
                      <w:rFonts w:hint="eastAsia" w:ascii="仿宋_GB2312" w:hAnsi="仿宋_GB2312" w:eastAsia="仿宋_GB2312" w:cs="仿宋_GB2312"/>
                      <w:color w:val="auto"/>
                    </w:rPr>
                    <w:t>实验室活动的科学原则</w:t>
                  </w:r>
                </w:p>
                <w:p>
                  <w:pPr>
                    <w:pStyle w:val="11"/>
                    <w:numPr>
                      <w:ilvl w:val="0"/>
                      <w:numId w:val="1"/>
                    </w:numPr>
                    <w:adjustRightInd/>
                    <w:ind w:left="781" w:hanging="284"/>
                    <w:rPr>
                      <w:rFonts w:ascii="仿宋_GB2312" w:hAnsi="仿宋_GB2312" w:eastAsia="仿宋_GB2312" w:cs="仿宋_GB2312"/>
                      <w:color w:val="auto"/>
                    </w:rPr>
                  </w:pPr>
                  <w:r>
                    <w:rPr>
                      <w:rFonts w:hint="eastAsia" w:ascii="仿宋_GB2312" w:hAnsi="仿宋_GB2312" w:eastAsia="仿宋_GB2312" w:cs="仿宋_GB2312"/>
                      <w:color w:val="auto"/>
                    </w:rPr>
                    <w:t>工作计划、进程安排、组织和完成的原则</w:t>
                  </w:r>
                </w:p>
                <w:p>
                  <w:pPr>
                    <w:pStyle w:val="11"/>
                    <w:numPr>
                      <w:ilvl w:val="0"/>
                      <w:numId w:val="1"/>
                    </w:numPr>
                    <w:adjustRightInd/>
                    <w:ind w:left="781" w:hanging="284"/>
                    <w:rPr>
                      <w:rFonts w:ascii="仿宋_GB2312" w:hAnsi="仿宋_GB2312" w:eastAsia="仿宋_GB2312" w:cs="仿宋_GB2312"/>
                      <w:color w:val="auto"/>
                    </w:rPr>
                  </w:pPr>
                  <w:r>
                    <w:rPr>
                      <w:rFonts w:hint="eastAsia" w:ascii="仿宋_GB2312" w:hAnsi="仿宋_GB2312" w:eastAsia="仿宋_GB2312" w:cs="仿宋_GB2312"/>
                      <w:color w:val="auto"/>
                    </w:rPr>
                    <w:t>无机化学、有机化学、分析化学及物理的基本知识及应用</w:t>
                  </w:r>
                </w:p>
                <w:p>
                  <w:pPr>
                    <w:pStyle w:val="11"/>
                    <w:numPr>
                      <w:ilvl w:val="0"/>
                      <w:numId w:val="1"/>
                    </w:numPr>
                    <w:adjustRightInd/>
                    <w:ind w:left="781" w:hanging="284"/>
                    <w:rPr>
                      <w:rFonts w:ascii="仿宋_GB2312" w:hAnsi="仿宋_GB2312" w:eastAsia="仿宋_GB2312" w:cs="仿宋_GB2312"/>
                      <w:color w:val="auto"/>
                    </w:rPr>
                  </w:pPr>
                  <w:r>
                    <w:rPr>
                      <w:rFonts w:hint="eastAsia" w:ascii="仿宋_GB2312" w:hAnsi="仿宋_GB2312" w:eastAsia="仿宋_GB2312" w:cs="仿宋_GB2312"/>
                      <w:color w:val="auto"/>
                    </w:rPr>
                    <w:t>安全处置或回收化学品和化学相关物质的原则和方法</w:t>
                  </w:r>
                </w:p>
              </w:tc>
            </w:tr>
          </w:tbl>
          <w:p>
            <w:pPr>
              <w:rPr>
                <w:rFonts w:ascii="仿宋_GB2312" w:hAnsi="仿宋_GB2312" w:eastAsia="仿宋_GB2312" w:cs="仿宋_GB2312"/>
                <w:sz w:val="24"/>
                <w:szCs w:val="24"/>
              </w:rPr>
            </w:pPr>
          </w:p>
        </w:tc>
        <w:tc>
          <w:tcPr>
            <w:tcW w:w="1275" w:type="dxa"/>
          </w:tcPr>
          <w:p>
            <w:pPr>
              <w:adjustRightInd w:val="0"/>
              <w:snapToGrid w:val="0"/>
              <w:spacing w:line="380" w:lineRule="exac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tcBorders>
              <w:bottom w:val="single" w:color="auto" w:sz="4" w:space="0"/>
            </w:tcBorders>
          </w:tcPr>
          <w:p>
            <w:pPr>
              <w:rPr>
                <w:rFonts w:ascii="仿宋_GB2312" w:hAnsi="仿宋_GB2312" w:eastAsia="仿宋_GB2312" w:cs="仿宋_GB2312"/>
                <w:sz w:val="24"/>
                <w:szCs w:val="24"/>
              </w:rPr>
            </w:pPr>
          </w:p>
        </w:tc>
        <w:tc>
          <w:tcPr>
            <w:tcW w:w="7326" w:type="dxa"/>
            <w:tcBorders>
              <w:bottom w:val="single" w:color="auto" w:sz="4" w:space="0"/>
            </w:tcBorders>
            <w:vAlign w:val="center"/>
          </w:tcPr>
          <w:p>
            <w:pPr>
              <w:ind w:left="1"/>
              <w:rPr>
                <w:rFonts w:ascii="仿宋_GB2312" w:hAnsi="仿宋_GB2312" w:eastAsia="仿宋_GB2312" w:cs="仿宋_GB2312"/>
                <w:sz w:val="24"/>
                <w:szCs w:val="24"/>
              </w:rPr>
            </w:pPr>
            <w:r>
              <w:rPr>
                <w:rFonts w:hint="eastAsia" w:ascii="仿宋_GB2312" w:hAnsi="仿宋_GB2312" w:eastAsia="仿宋_GB2312" w:cs="仿宋_GB2312"/>
                <w:sz w:val="24"/>
                <w:szCs w:val="24"/>
              </w:rPr>
              <w:t>选手应能够：</w:t>
            </w:r>
          </w:p>
          <w:tbl>
            <w:tblPr>
              <w:tblStyle w:val="8"/>
              <w:tblW w:w="7647" w:type="dxa"/>
              <w:tblInd w:w="0" w:type="dxa"/>
              <w:tblLayout w:type="fixed"/>
              <w:tblCellMar>
                <w:top w:w="0" w:type="dxa"/>
                <w:left w:w="108" w:type="dxa"/>
                <w:bottom w:w="0" w:type="dxa"/>
                <w:right w:w="108" w:type="dxa"/>
              </w:tblCellMar>
            </w:tblPr>
            <w:tblGrid>
              <w:gridCol w:w="7647"/>
            </w:tblGrid>
            <w:tr>
              <w:tblPrEx>
                <w:tblLayout w:type="fixed"/>
                <w:tblCellMar>
                  <w:top w:w="0" w:type="dxa"/>
                  <w:left w:w="108" w:type="dxa"/>
                  <w:bottom w:w="0" w:type="dxa"/>
                  <w:right w:w="108" w:type="dxa"/>
                </w:tblCellMar>
              </w:tblPrEx>
              <w:trPr>
                <w:trHeight w:val="2916" w:hRule="atLeast"/>
              </w:trPr>
              <w:tc>
                <w:tcPr>
                  <w:tcW w:w="7647" w:type="dxa"/>
                </w:tcPr>
                <w:p>
                  <w:pPr>
                    <w:pStyle w:val="11"/>
                    <w:numPr>
                      <w:ilvl w:val="1"/>
                      <w:numId w:val="2"/>
                    </w:numPr>
                    <w:adjustRightInd/>
                    <w:ind w:left="781" w:hanging="284"/>
                    <w:rPr>
                      <w:rFonts w:ascii="仿宋_GB2312" w:hAnsi="仿宋_GB2312" w:eastAsia="仿宋_GB2312" w:cs="仿宋_GB2312"/>
                      <w:color w:val="auto"/>
                    </w:rPr>
                  </w:pPr>
                  <w:r>
                    <w:rPr>
                      <w:rFonts w:hint="eastAsia" w:ascii="仿宋_GB2312" w:hAnsi="仿宋_GB2312" w:eastAsia="仿宋_GB2312" w:cs="仿宋_GB2312"/>
                      <w:color w:val="auto"/>
                    </w:rPr>
                    <w:t>始终保持个人健康和安全，包括穿戴个人防护服和设备</w:t>
                  </w:r>
                </w:p>
                <w:p>
                  <w:pPr>
                    <w:pStyle w:val="11"/>
                    <w:numPr>
                      <w:ilvl w:val="1"/>
                      <w:numId w:val="2"/>
                    </w:numPr>
                    <w:adjustRightInd/>
                    <w:ind w:left="781" w:hanging="284"/>
                    <w:rPr>
                      <w:rFonts w:ascii="仿宋_GB2312" w:hAnsi="仿宋_GB2312" w:eastAsia="仿宋_GB2312" w:cs="仿宋_GB2312"/>
                      <w:color w:val="auto"/>
                    </w:rPr>
                  </w:pPr>
                  <w:r>
                    <w:rPr>
                      <w:rFonts w:hint="eastAsia" w:ascii="仿宋_GB2312" w:hAnsi="仿宋_GB2312" w:eastAsia="仿宋_GB2312" w:cs="仿宋_GB2312"/>
                      <w:color w:val="auto"/>
                    </w:rPr>
                    <w:t>按照相关规定、规范、质量、安全和环境标准开展工作</w:t>
                  </w:r>
                </w:p>
                <w:p>
                  <w:pPr>
                    <w:pStyle w:val="11"/>
                    <w:numPr>
                      <w:ilvl w:val="1"/>
                      <w:numId w:val="2"/>
                    </w:numPr>
                    <w:adjustRightInd/>
                    <w:ind w:left="781" w:hanging="284"/>
                    <w:rPr>
                      <w:rFonts w:ascii="仿宋_GB2312" w:hAnsi="仿宋_GB2312" w:eastAsia="仿宋_GB2312" w:cs="仿宋_GB2312"/>
                      <w:color w:val="auto"/>
                    </w:rPr>
                  </w:pPr>
                  <w:r>
                    <w:rPr>
                      <w:rFonts w:hint="eastAsia" w:ascii="仿宋_GB2312" w:hAnsi="仿宋_GB2312" w:eastAsia="仿宋_GB2312" w:cs="仿宋_GB2312"/>
                      <w:color w:val="auto"/>
                    </w:rPr>
                    <w:t>根据标准和要求：</w:t>
                  </w:r>
                </w:p>
                <w:p>
                  <w:pPr>
                    <w:pStyle w:val="11"/>
                    <w:numPr>
                      <w:ilvl w:val="1"/>
                      <w:numId w:val="3"/>
                    </w:numPr>
                    <w:adjustRightInd/>
                    <w:ind w:left="1064" w:hanging="284"/>
                    <w:rPr>
                      <w:rFonts w:ascii="仿宋_GB2312" w:hAnsi="仿宋_GB2312" w:eastAsia="仿宋_GB2312" w:cs="仿宋_GB2312"/>
                      <w:color w:val="auto"/>
                    </w:rPr>
                  </w:pPr>
                  <w:r>
                    <w:rPr>
                      <w:rFonts w:hint="eastAsia" w:ascii="仿宋_GB2312" w:hAnsi="仿宋_GB2312" w:eastAsia="仿宋_GB2312" w:cs="仿宋_GB2312"/>
                      <w:color w:val="auto"/>
                    </w:rPr>
                    <w:t>操作、维护和修理实验室设施、装置和设备</w:t>
                  </w:r>
                </w:p>
                <w:p>
                  <w:pPr>
                    <w:pStyle w:val="11"/>
                    <w:numPr>
                      <w:ilvl w:val="1"/>
                      <w:numId w:val="3"/>
                    </w:numPr>
                    <w:adjustRightInd/>
                    <w:ind w:left="1064" w:hanging="284"/>
                    <w:rPr>
                      <w:rFonts w:ascii="仿宋_GB2312" w:hAnsi="仿宋_GB2312" w:eastAsia="仿宋_GB2312" w:cs="仿宋_GB2312"/>
                      <w:color w:val="auto"/>
                    </w:rPr>
                  </w:pPr>
                  <w:r>
                    <w:rPr>
                      <w:rFonts w:hint="eastAsia" w:ascii="仿宋_GB2312" w:hAnsi="仿宋_GB2312" w:eastAsia="仿宋_GB2312" w:cs="仿宋_GB2312"/>
                      <w:color w:val="auto"/>
                    </w:rPr>
                    <w:t>使用、管理和回收实验中的化学品</w:t>
                  </w:r>
                </w:p>
                <w:p>
                  <w:pPr>
                    <w:pStyle w:val="11"/>
                    <w:numPr>
                      <w:ilvl w:val="1"/>
                      <w:numId w:val="2"/>
                    </w:numPr>
                    <w:adjustRightInd/>
                    <w:ind w:left="781" w:hanging="284"/>
                    <w:rPr>
                      <w:rFonts w:ascii="仿宋_GB2312" w:hAnsi="仿宋_GB2312" w:eastAsia="仿宋_GB2312" w:cs="仿宋_GB2312"/>
                      <w:color w:val="auto"/>
                    </w:rPr>
                  </w:pPr>
                  <w:r>
                    <w:rPr>
                      <w:rFonts w:hint="eastAsia" w:ascii="仿宋_GB2312" w:hAnsi="仿宋_GB2312" w:eastAsia="仿宋_GB2312" w:cs="仿宋_GB2312"/>
                      <w:color w:val="auto"/>
                    </w:rPr>
                    <w:t>维护良好的实验室卫生整洁</w:t>
                  </w:r>
                </w:p>
                <w:p>
                  <w:pPr>
                    <w:pStyle w:val="11"/>
                    <w:numPr>
                      <w:ilvl w:val="1"/>
                      <w:numId w:val="2"/>
                    </w:numPr>
                    <w:adjustRightInd/>
                    <w:ind w:left="781" w:hanging="284"/>
                    <w:rPr>
                      <w:rFonts w:ascii="仿宋_GB2312" w:hAnsi="仿宋_GB2312" w:eastAsia="仿宋_GB2312" w:cs="仿宋_GB2312"/>
                      <w:color w:val="auto"/>
                    </w:rPr>
                  </w:pPr>
                  <w:r>
                    <w:rPr>
                      <w:rFonts w:hint="eastAsia" w:ascii="仿宋_GB2312" w:hAnsi="仿宋_GB2312" w:eastAsia="仿宋_GB2312" w:cs="仿宋_GB2312"/>
                      <w:color w:val="auto"/>
                    </w:rPr>
                    <w:t>检查材料的结构、状态和可用性</w:t>
                  </w:r>
                </w:p>
                <w:p>
                  <w:pPr>
                    <w:pStyle w:val="11"/>
                    <w:numPr>
                      <w:ilvl w:val="1"/>
                      <w:numId w:val="2"/>
                    </w:numPr>
                    <w:adjustRightInd/>
                    <w:ind w:left="781" w:hanging="284"/>
                    <w:rPr>
                      <w:rFonts w:ascii="仿宋_GB2312" w:hAnsi="仿宋_GB2312" w:eastAsia="仿宋_GB2312" w:cs="仿宋_GB2312"/>
                      <w:color w:val="auto"/>
                    </w:rPr>
                  </w:pPr>
                  <w:r>
                    <w:rPr>
                      <w:rFonts w:hint="eastAsia" w:ascii="仿宋_GB2312" w:hAnsi="仿宋_GB2312" w:eastAsia="仿宋_GB2312" w:cs="仿宋_GB2312"/>
                      <w:color w:val="auto"/>
                    </w:rPr>
                    <w:t>根据工作角色，独立启动并完成任务</w:t>
                  </w:r>
                </w:p>
                <w:p>
                  <w:pPr>
                    <w:pStyle w:val="11"/>
                    <w:numPr>
                      <w:ilvl w:val="1"/>
                      <w:numId w:val="2"/>
                    </w:numPr>
                    <w:adjustRightInd/>
                    <w:ind w:left="781" w:hanging="284"/>
                    <w:rPr>
                      <w:rFonts w:ascii="仿宋_GB2312" w:hAnsi="仿宋_GB2312" w:eastAsia="仿宋_GB2312" w:cs="仿宋_GB2312"/>
                      <w:color w:val="auto"/>
                    </w:rPr>
                  </w:pPr>
                  <w:r>
                    <w:rPr>
                      <w:rFonts w:hint="eastAsia" w:ascii="仿宋_GB2312" w:hAnsi="仿宋_GB2312" w:eastAsia="仿宋_GB2312" w:cs="仿宋_GB2312"/>
                      <w:color w:val="auto"/>
                    </w:rPr>
                    <w:t>预估完成某项工作所需的时间、资源和所需材料</w:t>
                  </w:r>
                </w:p>
                <w:p>
                  <w:pPr>
                    <w:pStyle w:val="11"/>
                    <w:numPr>
                      <w:ilvl w:val="1"/>
                      <w:numId w:val="2"/>
                    </w:numPr>
                    <w:adjustRightInd/>
                    <w:ind w:left="781" w:hanging="284"/>
                    <w:rPr>
                      <w:rFonts w:ascii="仿宋_GB2312" w:hAnsi="仿宋_GB2312" w:eastAsia="仿宋_GB2312" w:cs="仿宋_GB2312"/>
                      <w:color w:val="auto"/>
                    </w:rPr>
                  </w:pPr>
                  <w:r>
                    <w:rPr>
                      <w:rFonts w:hint="eastAsia" w:ascii="仿宋_GB2312" w:hAnsi="仿宋_GB2312" w:eastAsia="仿宋_GB2312" w:cs="仿宋_GB2312"/>
                      <w:color w:val="auto"/>
                    </w:rPr>
                    <w:t>设定工作目标和指标，制定工作计划，优化、组织并完成工作</w:t>
                  </w:r>
                </w:p>
                <w:p>
                  <w:pPr>
                    <w:pStyle w:val="11"/>
                    <w:numPr>
                      <w:ilvl w:val="1"/>
                      <w:numId w:val="2"/>
                    </w:numPr>
                    <w:adjustRightInd/>
                    <w:ind w:left="781" w:hanging="284"/>
                    <w:rPr>
                      <w:rFonts w:ascii="仿宋_GB2312" w:hAnsi="仿宋_GB2312" w:eastAsia="仿宋_GB2312" w:cs="仿宋_GB2312"/>
                      <w:color w:val="auto"/>
                    </w:rPr>
                  </w:pPr>
                  <w:r>
                    <w:rPr>
                      <w:rFonts w:hint="eastAsia" w:ascii="仿宋_GB2312" w:hAnsi="仿宋_GB2312" w:eastAsia="仿宋_GB2312" w:cs="仿宋_GB2312"/>
                      <w:color w:val="auto"/>
                    </w:rPr>
                    <w:t>找出滞后问题的解决方法或替代方法</w:t>
                  </w:r>
                </w:p>
                <w:p>
                  <w:pPr>
                    <w:pStyle w:val="11"/>
                    <w:numPr>
                      <w:ilvl w:val="1"/>
                      <w:numId w:val="2"/>
                    </w:numPr>
                    <w:adjustRightInd/>
                    <w:ind w:left="781" w:hanging="284"/>
                    <w:rPr>
                      <w:rFonts w:ascii="仿宋_GB2312" w:hAnsi="仿宋_GB2312" w:eastAsia="仿宋_GB2312" w:cs="仿宋_GB2312"/>
                      <w:color w:val="auto"/>
                    </w:rPr>
                  </w:pPr>
                  <w:r>
                    <w:rPr>
                      <w:rFonts w:hint="eastAsia" w:ascii="仿宋_GB2312" w:hAnsi="仿宋_GB2312" w:eastAsia="仿宋_GB2312" w:cs="仿宋_GB2312"/>
                      <w:color w:val="auto"/>
                    </w:rPr>
                    <w:t>根据需求调整具体工作安排，并及时与其他相关人员沟通</w:t>
                  </w:r>
                </w:p>
              </w:tc>
            </w:tr>
          </w:tbl>
          <w:p>
            <w:pPr>
              <w:rPr>
                <w:rFonts w:ascii="仿宋_GB2312" w:hAnsi="仿宋_GB2312" w:eastAsia="仿宋_GB2312" w:cs="仿宋_GB2312"/>
                <w:sz w:val="24"/>
                <w:szCs w:val="24"/>
              </w:rPr>
            </w:pPr>
          </w:p>
        </w:tc>
        <w:tc>
          <w:tcPr>
            <w:tcW w:w="1275" w:type="dxa"/>
            <w:tcBorders>
              <w:bottom w:val="single" w:color="auto" w:sz="4" w:space="0"/>
            </w:tcBorders>
          </w:tcPr>
          <w:p>
            <w:pPr>
              <w:adjustRightInd w:val="0"/>
              <w:snapToGrid w:val="0"/>
              <w:spacing w:line="380" w:lineRule="exac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shd w:val="clear" w:color="auto" w:fill="EEECE1"/>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7326" w:type="dxa"/>
            <w:shd w:val="clear" w:color="auto" w:fill="EEECE1"/>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沟通及人际交往能力</w:t>
            </w:r>
          </w:p>
        </w:tc>
        <w:tc>
          <w:tcPr>
            <w:tcW w:w="1275" w:type="dxa"/>
            <w:shd w:val="clear" w:color="auto" w:fill="EEECE1"/>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5" w:hRule="exact"/>
          <w:jc w:val="center"/>
        </w:trPr>
        <w:tc>
          <w:tcPr>
            <w:tcW w:w="710" w:type="dxa"/>
          </w:tcPr>
          <w:p>
            <w:pPr>
              <w:rPr>
                <w:rFonts w:ascii="仿宋_GB2312" w:hAnsi="仿宋_GB2312" w:eastAsia="仿宋_GB2312" w:cs="仿宋_GB2312"/>
                <w:sz w:val="24"/>
                <w:szCs w:val="24"/>
              </w:rPr>
            </w:pPr>
          </w:p>
        </w:tc>
        <w:tc>
          <w:tcPr>
            <w:tcW w:w="7326" w:type="dxa"/>
          </w:tcPr>
          <w:tbl>
            <w:tblPr>
              <w:tblStyle w:val="8"/>
              <w:tblW w:w="7647" w:type="dxa"/>
              <w:tblInd w:w="0" w:type="dxa"/>
              <w:tblLayout w:type="fixed"/>
              <w:tblCellMar>
                <w:top w:w="0" w:type="dxa"/>
                <w:left w:w="108" w:type="dxa"/>
                <w:bottom w:w="0" w:type="dxa"/>
                <w:right w:w="108" w:type="dxa"/>
              </w:tblCellMar>
            </w:tblPr>
            <w:tblGrid>
              <w:gridCol w:w="7647"/>
            </w:tblGrid>
            <w:tr>
              <w:tblPrEx>
                <w:tblLayout w:type="fixed"/>
                <w:tblCellMar>
                  <w:top w:w="0" w:type="dxa"/>
                  <w:left w:w="108" w:type="dxa"/>
                  <w:bottom w:w="0" w:type="dxa"/>
                  <w:right w:w="108" w:type="dxa"/>
                </w:tblCellMar>
              </w:tblPrEx>
              <w:trPr>
                <w:trHeight w:val="99" w:hRule="atLeast"/>
              </w:trPr>
              <w:tc>
                <w:tcPr>
                  <w:tcW w:w="7647" w:type="dxa"/>
                </w:tcPr>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 xml:space="preserve">选手应了解和理解： </w:t>
                  </w:r>
                </w:p>
              </w:tc>
            </w:tr>
            <w:tr>
              <w:tblPrEx>
                <w:tblLayout w:type="fixed"/>
                <w:tblCellMar>
                  <w:top w:w="0" w:type="dxa"/>
                  <w:left w:w="108" w:type="dxa"/>
                  <w:bottom w:w="0" w:type="dxa"/>
                  <w:right w:w="108" w:type="dxa"/>
                </w:tblCellMar>
              </w:tblPrEx>
              <w:trPr>
                <w:trHeight w:val="2713" w:hRule="atLeast"/>
              </w:trPr>
              <w:tc>
                <w:tcPr>
                  <w:tcW w:w="7647" w:type="dxa"/>
                </w:tcPr>
                <w:p>
                  <w:pPr>
                    <w:pStyle w:val="11"/>
                    <w:numPr>
                      <w:ilvl w:val="1"/>
                      <w:numId w:val="4"/>
                    </w:numPr>
                    <w:adjustRightInd/>
                    <w:ind w:left="781" w:hanging="284"/>
                    <w:jc w:val="both"/>
                    <w:rPr>
                      <w:rFonts w:ascii="仿宋_GB2312" w:hAnsi="仿宋_GB2312" w:eastAsia="仿宋_GB2312" w:cs="仿宋_GB2312"/>
                      <w:color w:val="auto"/>
                    </w:rPr>
                  </w:pPr>
                  <w:r>
                    <w:rPr>
                      <w:rFonts w:hint="eastAsia" w:ascii="仿宋_GB2312" w:hAnsi="仿宋_GB2312" w:eastAsia="仿宋_GB2312" w:cs="仿宋_GB2312"/>
                      <w:color w:val="auto"/>
                    </w:rPr>
                    <w:t xml:space="preserve">沟通的原则 </w:t>
                  </w:r>
                </w:p>
                <w:p>
                  <w:pPr>
                    <w:pStyle w:val="11"/>
                    <w:numPr>
                      <w:ilvl w:val="1"/>
                      <w:numId w:val="4"/>
                    </w:numPr>
                    <w:adjustRightInd/>
                    <w:ind w:left="781" w:hanging="284"/>
                    <w:jc w:val="both"/>
                    <w:rPr>
                      <w:rFonts w:ascii="仿宋_GB2312" w:hAnsi="仿宋_GB2312" w:eastAsia="仿宋_GB2312" w:cs="仿宋_GB2312"/>
                      <w:color w:val="auto"/>
                    </w:rPr>
                  </w:pPr>
                  <w:r>
                    <w:rPr>
                      <w:rFonts w:hint="eastAsia" w:ascii="仿宋_GB2312" w:hAnsi="仿宋_GB2312" w:eastAsia="仿宋_GB2312" w:cs="仿宋_GB2312"/>
                      <w:color w:val="auto"/>
                    </w:rPr>
                    <w:t xml:space="preserve">人际交往的原则 </w:t>
                  </w:r>
                </w:p>
                <w:p>
                  <w:pPr>
                    <w:pStyle w:val="11"/>
                    <w:numPr>
                      <w:ilvl w:val="1"/>
                      <w:numId w:val="4"/>
                    </w:numPr>
                    <w:adjustRightInd/>
                    <w:ind w:left="781" w:hanging="284"/>
                    <w:jc w:val="both"/>
                    <w:rPr>
                      <w:rFonts w:ascii="仿宋_GB2312" w:hAnsi="仿宋_GB2312" w:eastAsia="仿宋_GB2312" w:cs="仿宋_GB2312"/>
                      <w:color w:val="auto"/>
                    </w:rPr>
                  </w:pPr>
                  <w:r>
                    <w:rPr>
                      <w:rFonts w:hint="eastAsia" w:ascii="仿宋_GB2312" w:hAnsi="仿宋_GB2312" w:eastAsia="仿宋_GB2312" w:cs="仿宋_GB2312"/>
                      <w:color w:val="auto"/>
                    </w:rPr>
                    <w:t>本人工作对他人的影响</w:t>
                  </w:r>
                </w:p>
                <w:p>
                  <w:pPr>
                    <w:pStyle w:val="11"/>
                    <w:numPr>
                      <w:ilvl w:val="1"/>
                      <w:numId w:val="4"/>
                    </w:numPr>
                    <w:adjustRightInd/>
                    <w:ind w:left="781" w:hanging="284"/>
                    <w:jc w:val="both"/>
                    <w:rPr>
                      <w:rFonts w:ascii="仿宋_GB2312" w:hAnsi="仿宋_GB2312" w:eastAsia="仿宋_GB2312" w:cs="仿宋_GB2312"/>
                      <w:color w:val="auto"/>
                    </w:rPr>
                  </w:pPr>
                  <w:r>
                    <w:rPr>
                      <w:rFonts w:hint="eastAsia" w:ascii="仿宋_GB2312" w:hAnsi="仿宋_GB2312" w:eastAsia="仿宋_GB2312" w:cs="仿宋_GB2312"/>
                      <w:color w:val="auto"/>
                    </w:rPr>
                    <w:t>与工作角色和行业相关的专业术语及词汇</w:t>
                  </w:r>
                </w:p>
                <w:p>
                  <w:pPr>
                    <w:pStyle w:val="11"/>
                    <w:numPr>
                      <w:ilvl w:val="1"/>
                      <w:numId w:val="4"/>
                    </w:numPr>
                    <w:adjustRightInd/>
                    <w:ind w:left="781" w:hanging="284"/>
                    <w:jc w:val="both"/>
                    <w:rPr>
                      <w:rFonts w:ascii="仿宋_GB2312" w:hAnsi="仿宋_GB2312" w:eastAsia="仿宋_GB2312" w:cs="仿宋_GB2312"/>
                      <w:color w:val="auto"/>
                    </w:rPr>
                  </w:pPr>
                  <w:r>
                    <w:rPr>
                      <w:rFonts w:hint="eastAsia" w:ascii="仿宋_GB2312" w:hAnsi="仿宋_GB2312" w:eastAsia="仿宋_GB2312" w:cs="仿宋_GB2312"/>
                      <w:color w:val="auto"/>
                    </w:rPr>
                    <w:t>数据分析采用的统计方法意图和目的</w:t>
                  </w:r>
                </w:p>
                <w:p>
                  <w:pPr>
                    <w:pStyle w:val="11"/>
                    <w:numPr>
                      <w:ilvl w:val="1"/>
                      <w:numId w:val="4"/>
                    </w:numPr>
                    <w:adjustRightInd/>
                    <w:ind w:left="781" w:hanging="284"/>
                    <w:jc w:val="both"/>
                    <w:rPr>
                      <w:rFonts w:ascii="仿宋_GB2312" w:hAnsi="仿宋_GB2312" w:eastAsia="仿宋_GB2312" w:cs="仿宋_GB2312"/>
                      <w:color w:val="auto"/>
                    </w:rPr>
                  </w:pPr>
                  <w:r>
                    <w:rPr>
                      <w:rFonts w:hint="eastAsia" w:ascii="仿宋_GB2312" w:hAnsi="仿宋_GB2312" w:eastAsia="仿宋_GB2312" w:cs="仿宋_GB2312"/>
                      <w:color w:val="auto"/>
                    </w:rPr>
                    <w:t>报告结果的局限性</w:t>
                  </w:r>
                </w:p>
                <w:p>
                  <w:pPr>
                    <w:pStyle w:val="11"/>
                    <w:numPr>
                      <w:ilvl w:val="1"/>
                      <w:numId w:val="4"/>
                    </w:numPr>
                    <w:adjustRightInd/>
                    <w:ind w:left="781" w:hanging="284"/>
                    <w:jc w:val="both"/>
                    <w:rPr>
                      <w:rFonts w:ascii="仿宋_GB2312" w:hAnsi="仿宋_GB2312" w:eastAsia="仿宋_GB2312" w:cs="仿宋_GB2312"/>
                      <w:color w:val="auto"/>
                    </w:rPr>
                  </w:pPr>
                  <w:r>
                    <w:rPr>
                      <w:rFonts w:hint="eastAsia" w:ascii="仿宋_GB2312" w:hAnsi="仿宋_GB2312" w:eastAsia="仿宋_GB2312" w:cs="仿宋_GB2312"/>
                      <w:color w:val="auto"/>
                    </w:rPr>
                    <w:t>信息技术、信息管理系统和数据库在化学环境中的应用</w:t>
                  </w:r>
                </w:p>
              </w:tc>
            </w:tr>
          </w:tbl>
          <w:p>
            <w:pPr>
              <w:rPr>
                <w:rFonts w:ascii="仿宋_GB2312" w:hAnsi="仿宋_GB2312" w:eastAsia="仿宋_GB2312" w:cs="仿宋_GB2312"/>
                <w:sz w:val="24"/>
                <w:szCs w:val="24"/>
              </w:rPr>
            </w:pPr>
          </w:p>
        </w:tc>
        <w:tc>
          <w:tcPr>
            <w:tcW w:w="1275" w:type="dxa"/>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tcBorders>
              <w:bottom w:val="single" w:color="auto" w:sz="4" w:space="0"/>
            </w:tcBorders>
          </w:tcPr>
          <w:p>
            <w:pPr>
              <w:rPr>
                <w:rFonts w:ascii="仿宋_GB2312" w:hAnsi="仿宋_GB2312" w:eastAsia="仿宋_GB2312" w:cs="仿宋_GB2312"/>
                <w:sz w:val="24"/>
                <w:szCs w:val="24"/>
              </w:rPr>
            </w:pPr>
          </w:p>
        </w:tc>
        <w:tc>
          <w:tcPr>
            <w:tcW w:w="7326" w:type="dxa"/>
            <w:tcBorders>
              <w:bottom w:val="single" w:color="auto" w:sz="4" w:space="0"/>
            </w:tcBorders>
          </w:tcPr>
          <w:tbl>
            <w:tblPr>
              <w:tblStyle w:val="8"/>
              <w:tblW w:w="7647" w:type="dxa"/>
              <w:tblInd w:w="0" w:type="dxa"/>
              <w:tblLayout w:type="fixed"/>
              <w:tblCellMar>
                <w:top w:w="0" w:type="dxa"/>
                <w:left w:w="108" w:type="dxa"/>
                <w:bottom w:w="0" w:type="dxa"/>
                <w:right w:w="108" w:type="dxa"/>
              </w:tblCellMar>
            </w:tblPr>
            <w:tblGrid>
              <w:gridCol w:w="7647"/>
            </w:tblGrid>
            <w:tr>
              <w:tblPrEx>
                <w:tblLayout w:type="fixed"/>
                <w:tblCellMar>
                  <w:top w:w="0" w:type="dxa"/>
                  <w:left w:w="108" w:type="dxa"/>
                  <w:bottom w:w="0" w:type="dxa"/>
                  <w:right w:w="108" w:type="dxa"/>
                </w:tblCellMar>
              </w:tblPrEx>
              <w:trPr>
                <w:trHeight w:val="99" w:hRule="atLeast"/>
              </w:trPr>
              <w:tc>
                <w:tcPr>
                  <w:tcW w:w="7647" w:type="dxa"/>
                </w:tcPr>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 xml:space="preserve">选手应能够： </w:t>
                  </w:r>
                </w:p>
              </w:tc>
            </w:tr>
            <w:tr>
              <w:tblPrEx>
                <w:tblLayout w:type="fixed"/>
                <w:tblCellMar>
                  <w:top w:w="0" w:type="dxa"/>
                  <w:left w:w="108" w:type="dxa"/>
                  <w:bottom w:w="0" w:type="dxa"/>
                  <w:right w:w="108" w:type="dxa"/>
                </w:tblCellMar>
              </w:tblPrEx>
              <w:trPr>
                <w:trHeight w:val="6641" w:hRule="atLeast"/>
              </w:trPr>
              <w:tc>
                <w:tcPr>
                  <w:tcW w:w="7647" w:type="dxa"/>
                </w:tcPr>
                <w:p>
                  <w:pPr>
                    <w:pStyle w:val="11"/>
                    <w:numPr>
                      <w:ilvl w:val="1"/>
                      <w:numId w:val="5"/>
                    </w:numPr>
                    <w:adjustRightInd/>
                    <w:ind w:left="781" w:hanging="284"/>
                    <w:jc w:val="both"/>
                    <w:rPr>
                      <w:rFonts w:ascii="仿宋_GB2312" w:hAnsi="仿宋_GB2312" w:eastAsia="仿宋_GB2312" w:cs="仿宋_GB2312"/>
                      <w:color w:val="auto"/>
                    </w:rPr>
                  </w:pPr>
                  <w:r>
                    <w:rPr>
                      <w:rFonts w:hint="eastAsia" w:ascii="仿宋_GB2312" w:hAnsi="仿宋_GB2312" w:eastAsia="仿宋_GB2312" w:cs="仿宋_GB2312"/>
                      <w:color w:val="auto"/>
                    </w:rPr>
                    <w:t>建立和维持人际关系</w:t>
                  </w:r>
                </w:p>
                <w:p>
                  <w:pPr>
                    <w:pStyle w:val="11"/>
                    <w:numPr>
                      <w:ilvl w:val="1"/>
                      <w:numId w:val="5"/>
                    </w:numPr>
                    <w:adjustRightInd/>
                    <w:ind w:left="781" w:hanging="284"/>
                    <w:jc w:val="both"/>
                    <w:rPr>
                      <w:rFonts w:ascii="仿宋_GB2312" w:hAnsi="仿宋_GB2312" w:eastAsia="仿宋_GB2312" w:cs="仿宋_GB2312"/>
                      <w:color w:val="auto"/>
                    </w:rPr>
                  </w:pPr>
                  <w:r>
                    <w:rPr>
                      <w:rFonts w:hint="eastAsia" w:ascii="仿宋_GB2312" w:hAnsi="仿宋_GB2312" w:eastAsia="仿宋_GB2312" w:cs="仿宋_GB2312"/>
                      <w:color w:val="auto"/>
                    </w:rPr>
                    <w:t>与他人包括团队协同工作和互动</w:t>
                  </w:r>
                </w:p>
                <w:p>
                  <w:pPr>
                    <w:pStyle w:val="11"/>
                    <w:numPr>
                      <w:ilvl w:val="1"/>
                      <w:numId w:val="5"/>
                    </w:numPr>
                    <w:adjustRightInd/>
                    <w:ind w:left="781" w:hanging="284"/>
                    <w:jc w:val="both"/>
                    <w:rPr>
                      <w:rFonts w:ascii="仿宋_GB2312" w:hAnsi="仿宋_GB2312" w:eastAsia="仿宋_GB2312" w:cs="仿宋_GB2312"/>
                      <w:color w:val="auto"/>
                    </w:rPr>
                  </w:pPr>
                  <w:r>
                    <w:rPr>
                      <w:rFonts w:hint="eastAsia" w:ascii="仿宋_GB2312" w:hAnsi="仿宋_GB2312" w:eastAsia="仿宋_GB2312" w:cs="仿宋_GB2312"/>
                      <w:color w:val="auto"/>
                    </w:rPr>
                    <w:t>为化学家或其他专家提供技术支持</w:t>
                  </w:r>
                </w:p>
                <w:p>
                  <w:pPr>
                    <w:pStyle w:val="11"/>
                    <w:numPr>
                      <w:ilvl w:val="1"/>
                      <w:numId w:val="5"/>
                    </w:numPr>
                    <w:adjustRightInd/>
                    <w:ind w:left="781" w:hanging="284"/>
                    <w:jc w:val="both"/>
                    <w:rPr>
                      <w:rFonts w:ascii="仿宋_GB2312" w:hAnsi="仿宋_GB2312" w:eastAsia="仿宋_GB2312" w:cs="仿宋_GB2312"/>
                      <w:color w:val="auto"/>
                    </w:rPr>
                  </w:pPr>
                  <w:r>
                    <w:rPr>
                      <w:rFonts w:hint="eastAsia" w:ascii="仿宋_GB2312" w:hAnsi="仿宋_GB2312" w:eastAsia="仿宋_GB2312" w:cs="仿宋_GB2312"/>
                      <w:color w:val="auto"/>
                    </w:rPr>
                    <w:t>在正式和非正式场合正确使用语言、写作、主动倾听等技巧进行沟通</w:t>
                  </w:r>
                </w:p>
                <w:p>
                  <w:pPr>
                    <w:pStyle w:val="11"/>
                    <w:numPr>
                      <w:ilvl w:val="1"/>
                      <w:numId w:val="5"/>
                    </w:numPr>
                    <w:adjustRightInd/>
                    <w:ind w:left="781" w:hanging="284"/>
                    <w:jc w:val="both"/>
                    <w:rPr>
                      <w:rFonts w:ascii="仿宋_GB2312" w:hAnsi="仿宋_GB2312" w:eastAsia="仿宋_GB2312" w:cs="仿宋_GB2312"/>
                      <w:color w:val="auto"/>
                    </w:rPr>
                  </w:pPr>
                  <w:r>
                    <w:rPr>
                      <w:rFonts w:hint="eastAsia" w:ascii="仿宋_GB2312" w:hAnsi="仿宋_GB2312" w:eastAsia="仿宋_GB2312" w:cs="仿宋_GB2312"/>
                      <w:color w:val="auto"/>
                    </w:rPr>
                    <w:t>使用专业术语，包括其他语言的专业术语</w:t>
                  </w:r>
                </w:p>
                <w:p>
                  <w:pPr>
                    <w:pStyle w:val="11"/>
                    <w:numPr>
                      <w:ilvl w:val="1"/>
                      <w:numId w:val="5"/>
                    </w:numPr>
                    <w:adjustRightInd/>
                    <w:ind w:left="781" w:hanging="284"/>
                    <w:jc w:val="both"/>
                    <w:rPr>
                      <w:rFonts w:ascii="仿宋_GB2312" w:hAnsi="仿宋_GB2312" w:eastAsia="仿宋_GB2312" w:cs="仿宋_GB2312"/>
                      <w:color w:val="auto"/>
                    </w:rPr>
                  </w:pPr>
                  <w:r>
                    <w:rPr>
                      <w:rFonts w:hint="eastAsia" w:ascii="仿宋_GB2312" w:hAnsi="仿宋_GB2312" w:eastAsia="仿宋_GB2312" w:cs="仿宋_GB2312"/>
                      <w:color w:val="auto"/>
                    </w:rPr>
                    <w:t>查阅相关资源，获取信息，并根据需要引用来源资源</w:t>
                  </w:r>
                </w:p>
                <w:p>
                  <w:pPr>
                    <w:pStyle w:val="11"/>
                    <w:numPr>
                      <w:ilvl w:val="1"/>
                      <w:numId w:val="5"/>
                    </w:numPr>
                    <w:adjustRightInd/>
                    <w:ind w:left="781" w:hanging="284"/>
                    <w:jc w:val="both"/>
                    <w:rPr>
                      <w:rFonts w:ascii="仿宋_GB2312" w:hAnsi="仿宋_GB2312" w:eastAsia="仿宋_GB2312" w:cs="仿宋_GB2312"/>
                      <w:color w:val="auto"/>
                    </w:rPr>
                  </w:pPr>
                  <w:r>
                    <w:rPr>
                      <w:rFonts w:hint="eastAsia" w:ascii="仿宋_GB2312" w:hAnsi="仿宋_GB2312" w:eastAsia="仿宋_GB2312" w:cs="仿宋_GB2312"/>
                      <w:color w:val="auto"/>
                    </w:rPr>
                    <w:t>阅读并应用与以下内容相关的技术文件</w:t>
                  </w:r>
                </w:p>
                <w:p>
                  <w:pPr>
                    <w:pStyle w:val="11"/>
                    <w:numPr>
                      <w:ilvl w:val="1"/>
                      <w:numId w:val="6"/>
                    </w:numPr>
                    <w:adjustRightInd/>
                    <w:ind w:left="1059" w:hanging="279"/>
                    <w:jc w:val="both"/>
                    <w:rPr>
                      <w:rFonts w:ascii="仿宋_GB2312" w:hAnsi="仿宋_GB2312" w:eastAsia="仿宋_GB2312" w:cs="仿宋_GB2312"/>
                      <w:color w:val="auto"/>
                    </w:rPr>
                  </w:pPr>
                  <w:r>
                    <w:rPr>
                      <w:rFonts w:hint="eastAsia" w:ascii="仿宋_GB2312" w:hAnsi="仿宋_GB2312" w:eastAsia="仿宋_GB2312" w:cs="仿宋_GB2312"/>
                      <w:color w:val="auto"/>
                    </w:rPr>
                    <w:t>分析</w:t>
                  </w:r>
                </w:p>
                <w:p>
                  <w:pPr>
                    <w:pStyle w:val="11"/>
                    <w:numPr>
                      <w:ilvl w:val="1"/>
                      <w:numId w:val="6"/>
                    </w:numPr>
                    <w:adjustRightInd/>
                    <w:ind w:left="1059" w:hanging="279"/>
                    <w:jc w:val="both"/>
                    <w:rPr>
                      <w:rFonts w:ascii="仿宋_GB2312" w:hAnsi="仿宋_GB2312" w:eastAsia="仿宋_GB2312" w:cs="仿宋_GB2312"/>
                      <w:color w:val="auto"/>
                    </w:rPr>
                  </w:pPr>
                  <w:r>
                    <w:rPr>
                      <w:rFonts w:hint="eastAsia" w:ascii="仿宋_GB2312" w:hAnsi="仿宋_GB2312" w:eastAsia="仿宋_GB2312" w:cs="仿宋_GB2312"/>
                      <w:color w:val="auto"/>
                    </w:rPr>
                    <w:t>公式表示</w:t>
                  </w:r>
                </w:p>
                <w:p>
                  <w:pPr>
                    <w:pStyle w:val="11"/>
                    <w:numPr>
                      <w:ilvl w:val="1"/>
                      <w:numId w:val="6"/>
                    </w:numPr>
                    <w:adjustRightInd/>
                    <w:ind w:left="1059" w:hanging="279"/>
                    <w:jc w:val="both"/>
                    <w:rPr>
                      <w:rFonts w:ascii="仿宋_GB2312" w:hAnsi="仿宋_GB2312" w:eastAsia="仿宋_GB2312" w:cs="仿宋_GB2312"/>
                      <w:color w:val="auto"/>
                    </w:rPr>
                  </w:pPr>
                  <w:r>
                    <w:rPr>
                      <w:rFonts w:hint="eastAsia" w:ascii="仿宋_GB2312" w:hAnsi="仿宋_GB2312" w:eastAsia="仿宋_GB2312" w:cs="仿宋_GB2312"/>
                      <w:color w:val="auto"/>
                    </w:rPr>
                    <w:t>程序说明</w:t>
                  </w:r>
                </w:p>
                <w:p>
                  <w:pPr>
                    <w:pStyle w:val="11"/>
                    <w:numPr>
                      <w:ilvl w:val="1"/>
                      <w:numId w:val="6"/>
                    </w:numPr>
                    <w:adjustRightInd/>
                    <w:ind w:left="1059" w:hanging="279"/>
                    <w:jc w:val="both"/>
                    <w:rPr>
                      <w:rFonts w:ascii="仿宋_GB2312" w:hAnsi="仿宋_GB2312" w:eastAsia="仿宋_GB2312" w:cs="仿宋_GB2312"/>
                      <w:color w:val="auto"/>
                    </w:rPr>
                  </w:pPr>
                  <w:r>
                    <w:rPr>
                      <w:rFonts w:hint="eastAsia" w:ascii="仿宋_GB2312" w:hAnsi="仿宋_GB2312" w:eastAsia="仿宋_GB2312" w:cs="仿宋_GB2312"/>
                      <w:color w:val="auto"/>
                    </w:rPr>
                    <w:t>规范</w:t>
                  </w:r>
                </w:p>
                <w:p>
                  <w:pPr>
                    <w:pStyle w:val="11"/>
                    <w:numPr>
                      <w:ilvl w:val="1"/>
                      <w:numId w:val="6"/>
                    </w:numPr>
                    <w:adjustRightInd/>
                    <w:ind w:left="1059" w:hanging="279"/>
                    <w:jc w:val="both"/>
                    <w:rPr>
                      <w:rFonts w:ascii="仿宋_GB2312" w:hAnsi="仿宋_GB2312" w:eastAsia="仿宋_GB2312" w:cs="仿宋_GB2312"/>
                      <w:color w:val="auto"/>
                    </w:rPr>
                  </w:pPr>
                  <w:r>
                    <w:rPr>
                      <w:rFonts w:hint="eastAsia" w:ascii="仿宋_GB2312" w:hAnsi="仿宋_GB2312" w:eastAsia="仿宋_GB2312" w:cs="仿宋_GB2312"/>
                      <w:color w:val="auto"/>
                    </w:rPr>
                    <w:t>图表</w:t>
                  </w:r>
                </w:p>
                <w:p>
                  <w:pPr>
                    <w:pStyle w:val="11"/>
                    <w:numPr>
                      <w:ilvl w:val="1"/>
                      <w:numId w:val="7"/>
                    </w:numPr>
                    <w:adjustRightInd/>
                    <w:ind w:left="781" w:hanging="284"/>
                    <w:jc w:val="both"/>
                    <w:rPr>
                      <w:rFonts w:ascii="仿宋_GB2312" w:hAnsi="仿宋_GB2312" w:eastAsia="仿宋_GB2312" w:cs="仿宋_GB2312"/>
                      <w:color w:val="auto"/>
                    </w:rPr>
                  </w:pPr>
                  <w:r>
                    <w:rPr>
                      <w:rFonts w:hint="eastAsia" w:ascii="仿宋_GB2312" w:hAnsi="仿宋_GB2312" w:eastAsia="仿宋_GB2312" w:cs="仿宋_GB2312"/>
                      <w:color w:val="auto"/>
                    </w:rPr>
                    <w:t>主动倾听、适当提问以获得充分理解</w:t>
                  </w:r>
                </w:p>
                <w:p>
                  <w:pPr>
                    <w:pStyle w:val="11"/>
                    <w:numPr>
                      <w:ilvl w:val="1"/>
                      <w:numId w:val="7"/>
                    </w:numPr>
                    <w:adjustRightInd/>
                    <w:ind w:left="781" w:hanging="284"/>
                    <w:jc w:val="both"/>
                    <w:rPr>
                      <w:rFonts w:ascii="仿宋_GB2312" w:hAnsi="仿宋_GB2312" w:eastAsia="仿宋_GB2312" w:cs="仿宋_GB2312"/>
                      <w:color w:val="auto"/>
                    </w:rPr>
                  </w:pPr>
                  <w:r>
                    <w:rPr>
                      <w:rFonts w:hint="eastAsia" w:ascii="仿宋_GB2312" w:hAnsi="仿宋_GB2312" w:eastAsia="仿宋_GB2312" w:cs="仿宋_GB2312"/>
                      <w:color w:val="auto"/>
                    </w:rPr>
                    <w:t>使用数字和纸质的实验室信息和实验室管理系统</w:t>
                  </w:r>
                </w:p>
                <w:p>
                  <w:pPr>
                    <w:pStyle w:val="11"/>
                    <w:numPr>
                      <w:ilvl w:val="1"/>
                      <w:numId w:val="7"/>
                    </w:numPr>
                    <w:adjustRightInd/>
                    <w:ind w:left="781" w:hanging="284"/>
                    <w:jc w:val="both"/>
                    <w:rPr>
                      <w:rFonts w:ascii="仿宋_GB2312" w:hAnsi="仿宋_GB2312" w:eastAsia="仿宋_GB2312" w:cs="仿宋_GB2312"/>
                      <w:color w:val="auto"/>
                    </w:rPr>
                  </w:pPr>
                  <w:r>
                    <w:rPr>
                      <w:rFonts w:hint="eastAsia" w:ascii="仿宋_GB2312" w:hAnsi="仿宋_GB2312" w:eastAsia="仿宋_GB2312" w:cs="仿宋_GB2312"/>
                      <w:color w:val="auto"/>
                    </w:rPr>
                    <w:t>按照逻辑和特定规则对信息和步骤进行排序</w:t>
                  </w:r>
                </w:p>
                <w:p>
                  <w:pPr>
                    <w:pStyle w:val="11"/>
                    <w:numPr>
                      <w:ilvl w:val="1"/>
                      <w:numId w:val="7"/>
                    </w:numPr>
                    <w:adjustRightInd/>
                    <w:ind w:left="781" w:hanging="284"/>
                    <w:jc w:val="both"/>
                    <w:rPr>
                      <w:rFonts w:ascii="仿宋_GB2312" w:hAnsi="仿宋_GB2312" w:eastAsia="仿宋_GB2312" w:cs="仿宋_GB2312"/>
                      <w:color w:val="auto"/>
                    </w:rPr>
                  </w:pPr>
                  <w:r>
                    <w:rPr>
                      <w:rFonts w:hint="eastAsia" w:ascii="仿宋_GB2312" w:hAnsi="仿宋_GB2312" w:eastAsia="仿宋_GB2312" w:cs="仿宋_GB2312"/>
                      <w:color w:val="auto"/>
                    </w:rPr>
                    <w:t>应用统计技术进行数据分析</w:t>
                  </w:r>
                </w:p>
                <w:p>
                  <w:pPr>
                    <w:pStyle w:val="11"/>
                    <w:numPr>
                      <w:ilvl w:val="1"/>
                      <w:numId w:val="7"/>
                    </w:numPr>
                    <w:adjustRightInd/>
                    <w:ind w:left="781" w:hanging="284"/>
                    <w:jc w:val="both"/>
                    <w:rPr>
                      <w:rFonts w:ascii="仿宋_GB2312" w:hAnsi="仿宋_GB2312" w:eastAsia="仿宋_GB2312" w:cs="仿宋_GB2312"/>
                      <w:color w:val="auto"/>
                    </w:rPr>
                  </w:pPr>
                  <w:r>
                    <w:rPr>
                      <w:rFonts w:hint="eastAsia" w:ascii="仿宋_GB2312" w:hAnsi="仿宋_GB2312" w:eastAsia="仿宋_GB2312" w:cs="仿宋_GB2312"/>
                      <w:color w:val="auto"/>
                    </w:rPr>
                    <w:t>使用一系列的文本和图形方法进行汇报</w:t>
                  </w:r>
                </w:p>
                <w:p>
                  <w:pPr>
                    <w:pStyle w:val="11"/>
                    <w:numPr>
                      <w:ilvl w:val="1"/>
                      <w:numId w:val="7"/>
                    </w:numPr>
                    <w:adjustRightInd/>
                    <w:ind w:left="781" w:hanging="284"/>
                    <w:jc w:val="both"/>
                    <w:rPr>
                      <w:rFonts w:ascii="仿宋_GB2312" w:hAnsi="仿宋_GB2312" w:eastAsia="仿宋_GB2312" w:cs="仿宋_GB2312"/>
                      <w:color w:val="auto"/>
                    </w:rPr>
                  </w:pPr>
                  <w:r>
                    <w:rPr>
                      <w:rFonts w:hint="eastAsia" w:ascii="仿宋_GB2312" w:hAnsi="仿宋_GB2312" w:eastAsia="仿宋_GB2312" w:cs="仿宋_GB2312"/>
                      <w:color w:val="auto"/>
                    </w:rPr>
                    <w:t>向他人适当地传递科学信息</w:t>
                  </w:r>
                </w:p>
                <w:p>
                  <w:pPr>
                    <w:pStyle w:val="11"/>
                    <w:numPr>
                      <w:ilvl w:val="1"/>
                      <w:numId w:val="7"/>
                    </w:numPr>
                    <w:adjustRightInd/>
                    <w:ind w:left="781" w:hanging="284"/>
                    <w:jc w:val="both"/>
                    <w:rPr>
                      <w:rFonts w:ascii="仿宋_GB2312" w:hAnsi="仿宋_GB2312" w:eastAsia="仿宋_GB2312" w:cs="仿宋_GB2312"/>
                      <w:color w:val="auto"/>
                    </w:rPr>
                  </w:pPr>
                  <w:r>
                    <w:rPr>
                      <w:rFonts w:hint="eastAsia" w:ascii="仿宋_GB2312" w:hAnsi="仿宋_GB2312" w:eastAsia="仿宋_GB2312" w:cs="仿宋_GB2312"/>
                      <w:color w:val="auto"/>
                    </w:rPr>
                    <w:t>准备并进行正式和非正式的陈述</w:t>
                  </w:r>
                </w:p>
                <w:p>
                  <w:pPr>
                    <w:pStyle w:val="11"/>
                    <w:numPr>
                      <w:ilvl w:val="1"/>
                      <w:numId w:val="7"/>
                    </w:numPr>
                    <w:adjustRightInd/>
                    <w:ind w:left="781" w:hanging="284"/>
                    <w:jc w:val="both"/>
                    <w:rPr>
                      <w:rFonts w:ascii="仿宋_GB2312" w:hAnsi="仿宋_GB2312" w:eastAsia="仿宋_GB2312" w:cs="仿宋_GB2312"/>
                      <w:color w:val="auto"/>
                    </w:rPr>
                  </w:pPr>
                  <w:r>
                    <w:rPr>
                      <w:rFonts w:hint="eastAsia" w:ascii="仿宋_GB2312" w:hAnsi="仿宋_GB2312" w:eastAsia="仿宋_GB2312" w:cs="仿宋_GB2312"/>
                      <w:color w:val="auto"/>
                    </w:rPr>
                    <w:t>寻求、接受并酌情利用反馈和建设性批评</w:t>
                  </w:r>
                </w:p>
              </w:tc>
            </w:tr>
          </w:tbl>
          <w:p>
            <w:pPr>
              <w:rPr>
                <w:rFonts w:ascii="仿宋_GB2312" w:hAnsi="仿宋_GB2312" w:eastAsia="仿宋_GB2312" w:cs="仿宋_GB2312"/>
                <w:sz w:val="24"/>
                <w:szCs w:val="24"/>
              </w:rPr>
            </w:pPr>
          </w:p>
        </w:tc>
        <w:tc>
          <w:tcPr>
            <w:tcW w:w="1275" w:type="dxa"/>
            <w:tcBorders>
              <w:bottom w:val="single" w:color="auto" w:sz="4" w:space="0"/>
            </w:tcBorders>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shd w:val="clear" w:color="auto" w:fill="EEECE1"/>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7326" w:type="dxa"/>
            <w:shd w:val="clear" w:color="auto" w:fill="EEECE1"/>
            <w:vAlign w:val="center"/>
          </w:tcPr>
          <w:p>
            <w:pPr>
              <w:tabs>
                <w:tab w:val="left" w:pos="5714"/>
              </w:tabs>
              <w:ind w:left="1"/>
              <w:rPr>
                <w:rFonts w:ascii="仿宋_GB2312" w:hAnsi="仿宋_GB2312" w:eastAsia="仿宋_GB2312" w:cs="仿宋_GB2312"/>
                <w:sz w:val="24"/>
                <w:szCs w:val="24"/>
              </w:rPr>
            </w:pPr>
            <w:r>
              <w:rPr>
                <w:rFonts w:hint="eastAsia" w:ascii="仿宋_GB2312" w:hAnsi="仿宋_GB2312" w:eastAsia="仿宋_GB2312" w:cs="仿宋_GB2312"/>
                <w:sz w:val="24"/>
                <w:szCs w:val="24"/>
              </w:rPr>
              <w:t>技术、程序和方法</w:t>
            </w:r>
          </w:p>
        </w:tc>
        <w:tc>
          <w:tcPr>
            <w:tcW w:w="1275" w:type="dxa"/>
            <w:shd w:val="clear" w:color="auto" w:fill="EEECE1"/>
            <w:vAlign w:val="center"/>
          </w:tcPr>
          <w:p>
            <w:pPr>
              <w:ind w:left="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tcPr>
          <w:p>
            <w:pPr>
              <w:rPr>
                <w:rFonts w:ascii="仿宋_GB2312" w:hAnsi="仿宋_GB2312" w:eastAsia="仿宋_GB2312" w:cs="仿宋_GB2312"/>
                <w:sz w:val="24"/>
                <w:szCs w:val="24"/>
              </w:rPr>
            </w:pPr>
          </w:p>
        </w:tc>
        <w:tc>
          <w:tcPr>
            <w:tcW w:w="7326" w:type="dxa"/>
          </w:tcPr>
          <w:tbl>
            <w:tblPr>
              <w:tblStyle w:val="8"/>
              <w:tblW w:w="7647" w:type="dxa"/>
              <w:tblInd w:w="0" w:type="dxa"/>
              <w:tblLayout w:type="fixed"/>
              <w:tblCellMar>
                <w:top w:w="0" w:type="dxa"/>
                <w:left w:w="108" w:type="dxa"/>
                <w:bottom w:w="0" w:type="dxa"/>
                <w:right w:w="108" w:type="dxa"/>
              </w:tblCellMar>
            </w:tblPr>
            <w:tblGrid>
              <w:gridCol w:w="7647"/>
            </w:tblGrid>
            <w:tr>
              <w:tblPrEx>
                <w:tblLayout w:type="fixed"/>
                <w:tblCellMar>
                  <w:top w:w="0" w:type="dxa"/>
                  <w:left w:w="108" w:type="dxa"/>
                  <w:bottom w:w="0" w:type="dxa"/>
                  <w:right w:w="108" w:type="dxa"/>
                </w:tblCellMar>
              </w:tblPrEx>
              <w:trPr>
                <w:trHeight w:val="99" w:hRule="atLeast"/>
              </w:trPr>
              <w:tc>
                <w:tcPr>
                  <w:tcW w:w="7647" w:type="dxa"/>
                </w:tcPr>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 xml:space="preserve">选手应了解和理解： </w:t>
                  </w:r>
                </w:p>
              </w:tc>
            </w:tr>
            <w:tr>
              <w:tblPrEx>
                <w:tblLayout w:type="fixed"/>
                <w:tblCellMar>
                  <w:top w:w="0" w:type="dxa"/>
                  <w:left w:w="108" w:type="dxa"/>
                  <w:bottom w:w="0" w:type="dxa"/>
                  <w:right w:w="108" w:type="dxa"/>
                </w:tblCellMar>
              </w:tblPrEx>
              <w:trPr>
                <w:trHeight w:val="3246" w:hRule="atLeast"/>
              </w:trPr>
              <w:tc>
                <w:tcPr>
                  <w:tcW w:w="7647" w:type="dxa"/>
                </w:tcPr>
                <w:p>
                  <w:pPr>
                    <w:pStyle w:val="11"/>
                    <w:numPr>
                      <w:ilvl w:val="0"/>
                      <w:numId w:val="8"/>
                    </w:numPr>
                    <w:adjustRightInd/>
                    <w:ind w:left="773" w:hanging="278"/>
                    <w:jc w:val="both"/>
                    <w:rPr>
                      <w:rFonts w:ascii="仿宋_GB2312" w:hAnsi="仿宋_GB2312" w:eastAsia="仿宋_GB2312" w:cs="仿宋_GB2312"/>
                      <w:color w:val="auto"/>
                    </w:rPr>
                  </w:pPr>
                  <w:r>
                    <w:rPr>
                      <w:rFonts w:hint="eastAsia" w:ascii="仿宋_GB2312" w:hAnsi="仿宋_GB2312" w:eastAsia="仿宋_GB2312" w:cs="仿宋_GB2312"/>
                      <w:color w:val="auto"/>
                    </w:rPr>
                    <w:t>与结构和化学键相关的无机化学基础</w:t>
                  </w:r>
                </w:p>
                <w:p>
                  <w:pPr>
                    <w:pStyle w:val="11"/>
                    <w:numPr>
                      <w:ilvl w:val="0"/>
                      <w:numId w:val="8"/>
                    </w:numPr>
                    <w:adjustRightInd/>
                    <w:ind w:left="773" w:hanging="278"/>
                    <w:jc w:val="both"/>
                    <w:rPr>
                      <w:rFonts w:ascii="仿宋_GB2312" w:hAnsi="仿宋_GB2312" w:eastAsia="仿宋_GB2312" w:cs="仿宋_GB2312"/>
                      <w:color w:val="auto"/>
                    </w:rPr>
                  </w:pPr>
                  <w:r>
                    <w:rPr>
                      <w:rFonts w:hint="eastAsia" w:ascii="仿宋_GB2312" w:hAnsi="仿宋_GB2312" w:eastAsia="仿宋_GB2312" w:cs="仿宋_GB2312"/>
                      <w:color w:val="auto"/>
                    </w:rPr>
                    <w:t>重要元素及其化合物的基本知识</w:t>
                  </w:r>
                </w:p>
                <w:p>
                  <w:pPr>
                    <w:pStyle w:val="11"/>
                    <w:numPr>
                      <w:ilvl w:val="0"/>
                      <w:numId w:val="8"/>
                    </w:numPr>
                    <w:adjustRightInd/>
                    <w:ind w:left="773" w:hanging="278"/>
                    <w:jc w:val="both"/>
                    <w:rPr>
                      <w:rFonts w:ascii="仿宋_GB2312" w:hAnsi="仿宋_GB2312" w:eastAsia="仿宋_GB2312" w:cs="仿宋_GB2312"/>
                      <w:color w:val="auto"/>
                    </w:rPr>
                  </w:pPr>
                  <w:r>
                    <w:rPr>
                      <w:rFonts w:hint="eastAsia" w:ascii="仿宋_GB2312" w:hAnsi="仿宋_GB2312" w:eastAsia="仿宋_GB2312" w:cs="仿宋_GB2312"/>
                      <w:color w:val="auto"/>
                    </w:rPr>
                    <w:t>有机化学原理和实验技术</w:t>
                  </w:r>
                </w:p>
                <w:p>
                  <w:pPr>
                    <w:pStyle w:val="11"/>
                    <w:numPr>
                      <w:ilvl w:val="0"/>
                      <w:numId w:val="8"/>
                    </w:numPr>
                    <w:adjustRightInd/>
                    <w:ind w:left="773" w:hanging="278"/>
                    <w:jc w:val="both"/>
                    <w:rPr>
                      <w:rFonts w:ascii="仿宋_GB2312" w:hAnsi="仿宋_GB2312" w:eastAsia="仿宋_GB2312" w:cs="仿宋_GB2312"/>
                      <w:color w:val="auto"/>
                    </w:rPr>
                  </w:pPr>
                  <w:r>
                    <w:rPr>
                      <w:rFonts w:hint="eastAsia" w:ascii="仿宋_GB2312" w:hAnsi="仿宋_GB2312" w:eastAsia="仿宋_GB2312" w:cs="仿宋_GB2312"/>
                      <w:color w:val="auto"/>
                    </w:rPr>
                    <w:t>反应机理和官能团转化</w:t>
                  </w:r>
                </w:p>
                <w:p>
                  <w:pPr>
                    <w:pStyle w:val="11"/>
                    <w:numPr>
                      <w:ilvl w:val="0"/>
                      <w:numId w:val="8"/>
                    </w:numPr>
                    <w:adjustRightInd/>
                    <w:ind w:left="773" w:hanging="278"/>
                    <w:jc w:val="both"/>
                    <w:rPr>
                      <w:rFonts w:ascii="仿宋_GB2312" w:hAnsi="仿宋_GB2312" w:eastAsia="仿宋_GB2312" w:cs="仿宋_GB2312"/>
                      <w:color w:val="auto"/>
                    </w:rPr>
                  </w:pPr>
                  <w:r>
                    <w:rPr>
                      <w:rFonts w:hint="eastAsia" w:ascii="仿宋_GB2312" w:hAnsi="仿宋_GB2312" w:eastAsia="仿宋_GB2312" w:cs="仿宋_GB2312"/>
                      <w:color w:val="auto"/>
                    </w:rPr>
                    <w:t>物理化学的概念和实验技术，包括热力学、反应动力学、传导率、电化学电池和电解</w:t>
                  </w:r>
                </w:p>
                <w:p>
                  <w:pPr>
                    <w:pStyle w:val="11"/>
                    <w:numPr>
                      <w:ilvl w:val="0"/>
                      <w:numId w:val="8"/>
                    </w:numPr>
                    <w:adjustRightInd/>
                    <w:ind w:left="773" w:hanging="278"/>
                    <w:jc w:val="both"/>
                    <w:rPr>
                      <w:rFonts w:ascii="仿宋_GB2312" w:hAnsi="仿宋_GB2312" w:eastAsia="仿宋_GB2312" w:cs="仿宋_GB2312"/>
                      <w:color w:val="auto"/>
                    </w:rPr>
                  </w:pPr>
                  <w:r>
                    <w:rPr>
                      <w:rFonts w:hint="eastAsia" w:ascii="仿宋_GB2312" w:hAnsi="仿宋_GB2312" w:eastAsia="仿宋_GB2312" w:cs="仿宋_GB2312"/>
                      <w:color w:val="auto"/>
                    </w:rPr>
                    <w:t>实验室技术和科学实验的原则</w:t>
                  </w:r>
                </w:p>
                <w:p>
                  <w:pPr>
                    <w:pStyle w:val="11"/>
                    <w:numPr>
                      <w:ilvl w:val="0"/>
                      <w:numId w:val="8"/>
                    </w:numPr>
                    <w:adjustRightInd/>
                    <w:ind w:left="773" w:hanging="278"/>
                    <w:jc w:val="both"/>
                    <w:rPr>
                      <w:rFonts w:ascii="仿宋_GB2312" w:hAnsi="仿宋_GB2312" w:eastAsia="仿宋_GB2312" w:cs="仿宋_GB2312"/>
                      <w:color w:val="auto"/>
                    </w:rPr>
                  </w:pPr>
                  <w:r>
                    <w:rPr>
                      <w:rFonts w:hint="eastAsia" w:ascii="仿宋_GB2312" w:hAnsi="仿宋_GB2312" w:eastAsia="仿宋_GB2312" w:cs="仿宋_GB2312"/>
                      <w:color w:val="auto"/>
                    </w:rPr>
                    <w:t>项目管理原则以及如何应用于实验室工作</w:t>
                  </w:r>
                </w:p>
                <w:p>
                  <w:pPr>
                    <w:pStyle w:val="11"/>
                    <w:numPr>
                      <w:ilvl w:val="0"/>
                      <w:numId w:val="8"/>
                    </w:numPr>
                    <w:adjustRightInd/>
                    <w:ind w:left="773" w:hanging="278"/>
                    <w:jc w:val="both"/>
                    <w:rPr>
                      <w:rFonts w:ascii="仿宋_GB2312" w:hAnsi="仿宋_GB2312" w:eastAsia="仿宋_GB2312" w:cs="仿宋_GB2312"/>
                      <w:color w:val="auto"/>
                    </w:rPr>
                  </w:pPr>
                  <w:r>
                    <w:rPr>
                      <w:rFonts w:hint="eastAsia" w:ascii="仿宋_GB2312" w:hAnsi="仿宋_GB2312" w:eastAsia="仿宋_GB2312" w:cs="仿宋_GB2312"/>
                      <w:color w:val="auto"/>
                    </w:rPr>
                    <w:t>分析方法和仪器的开发、验证要求，包括合适的制样方法</w:t>
                  </w:r>
                </w:p>
                <w:p>
                  <w:pPr>
                    <w:pStyle w:val="11"/>
                    <w:numPr>
                      <w:ilvl w:val="0"/>
                      <w:numId w:val="8"/>
                    </w:numPr>
                    <w:adjustRightInd/>
                    <w:ind w:left="773" w:hanging="278"/>
                    <w:jc w:val="both"/>
                    <w:rPr>
                      <w:rFonts w:ascii="仿宋_GB2312" w:hAnsi="仿宋_GB2312" w:eastAsia="仿宋_GB2312" w:cs="仿宋_GB2312"/>
                      <w:color w:val="auto"/>
                    </w:rPr>
                  </w:pPr>
                  <w:r>
                    <w:rPr>
                      <w:rFonts w:hint="eastAsia" w:ascii="仿宋_GB2312" w:hAnsi="仿宋_GB2312" w:eastAsia="仿宋_GB2312" w:cs="仿宋_GB2312"/>
                      <w:color w:val="auto"/>
                    </w:rPr>
                    <w:t>实验室常用设备、试剂和耗材的最新趋势和具体应用</w:t>
                  </w:r>
                </w:p>
              </w:tc>
            </w:tr>
          </w:tbl>
          <w:p>
            <w:pPr>
              <w:rPr>
                <w:rFonts w:ascii="仿宋_GB2312" w:hAnsi="仿宋_GB2312" w:eastAsia="仿宋_GB2312" w:cs="仿宋_GB2312"/>
                <w:sz w:val="24"/>
                <w:szCs w:val="24"/>
              </w:rPr>
            </w:pPr>
          </w:p>
        </w:tc>
        <w:tc>
          <w:tcPr>
            <w:tcW w:w="1275" w:type="dxa"/>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tcBorders>
              <w:bottom w:val="single" w:color="auto" w:sz="4" w:space="0"/>
            </w:tcBorders>
          </w:tcPr>
          <w:p>
            <w:pPr>
              <w:rPr>
                <w:rFonts w:ascii="仿宋_GB2312" w:hAnsi="仿宋_GB2312" w:eastAsia="仿宋_GB2312" w:cs="仿宋_GB2312"/>
                <w:sz w:val="24"/>
                <w:szCs w:val="24"/>
              </w:rPr>
            </w:pPr>
          </w:p>
        </w:tc>
        <w:tc>
          <w:tcPr>
            <w:tcW w:w="7326" w:type="dxa"/>
            <w:tcBorders>
              <w:bottom w:val="single" w:color="auto" w:sz="4" w:space="0"/>
            </w:tcBorders>
          </w:tcPr>
          <w:tbl>
            <w:tblPr>
              <w:tblStyle w:val="8"/>
              <w:tblW w:w="11472" w:type="dxa"/>
              <w:tblInd w:w="108" w:type="dxa"/>
              <w:tblLayout w:type="fixed"/>
              <w:tblCellMar>
                <w:top w:w="0" w:type="dxa"/>
                <w:left w:w="108" w:type="dxa"/>
                <w:bottom w:w="0" w:type="dxa"/>
                <w:right w:w="108" w:type="dxa"/>
              </w:tblCellMar>
            </w:tblPr>
            <w:tblGrid>
              <w:gridCol w:w="11472"/>
            </w:tblGrid>
            <w:tr>
              <w:tblPrEx>
                <w:tblLayout w:type="fixed"/>
                <w:tblCellMar>
                  <w:top w:w="0" w:type="dxa"/>
                  <w:left w:w="108" w:type="dxa"/>
                  <w:bottom w:w="0" w:type="dxa"/>
                  <w:right w:w="108" w:type="dxa"/>
                </w:tblCellMar>
              </w:tblPrEx>
              <w:trPr>
                <w:trHeight w:val="99" w:hRule="atLeast"/>
              </w:trPr>
              <w:tc>
                <w:tcPr>
                  <w:tcW w:w="11472" w:type="dxa"/>
                </w:tcPr>
                <w:p>
                  <w:pPr>
                    <w:pStyle w:val="11"/>
                    <w:adjustRightInd/>
                    <w:ind w:right="3754" w:rightChars="1788"/>
                    <w:jc w:val="both"/>
                    <w:rPr>
                      <w:rFonts w:ascii="仿宋_GB2312" w:hAnsi="仿宋_GB2312" w:eastAsia="仿宋_GB2312" w:cs="仿宋_GB2312"/>
                      <w:color w:val="auto"/>
                    </w:rPr>
                  </w:pPr>
                  <w:r>
                    <w:rPr>
                      <w:rFonts w:hint="eastAsia" w:ascii="仿宋_GB2312" w:hAnsi="仿宋_GB2312" w:eastAsia="仿宋_GB2312" w:cs="仿宋_GB2312"/>
                      <w:color w:val="auto"/>
                    </w:rPr>
                    <w:t xml:space="preserve">选手应能够： </w:t>
                  </w:r>
                </w:p>
                <w:p>
                  <w:pPr>
                    <w:pStyle w:val="11"/>
                    <w:numPr>
                      <w:ilvl w:val="0"/>
                      <w:numId w:val="9"/>
                    </w:numPr>
                    <w:adjustRightInd/>
                    <w:ind w:left="663" w:right="3754" w:rightChars="1788" w:hanging="278"/>
                    <w:jc w:val="both"/>
                    <w:rPr>
                      <w:rFonts w:ascii="仿宋_GB2312" w:hAnsi="仿宋_GB2312" w:eastAsia="仿宋_GB2312" w:cs="仿宋_GB2312"/>
                      <w:color w:val="auto"/>
                    </w:rPr>
                  </w:pPr>
                  <w:r>
                    <w:rPr>
                      <w:rFonts w:hint="eastAsia" w:ascii="仿宋_GB2312" w:hAnsi="仿宋_GB2312" w:eastAsia="仿宋_GB2312" w:cs="仿宋_GB2312"/>
                      <w:color w:val="auto"/>
                    </w:rPr>
                    <w:t>使用适当的科学技术、程序和方法，进行实验任务的相关准备</w:t>
                  </w:r>
                </w:p>
                <w:p>
                  <w:pPr>
                    <w:pStyle w:val="11"/>
                    <w:numPr>
                      <w:ilvl w:val="0"/>
                      <w:numId w:val="9"/>
                    </w:numPr>
                    <w:adjustRightInd/>
                    <w:ind w:left="663" w:right="3754" w:rightChars="1788" w:hanging="278"/>
                    <w:jc w:val="both"/>
                    <w:rPr>
                      <w:rFonts w:ascii="仿宋_GB2312" w:hAnsi="仿宋_GB2312" w:eastAsia="仿宋_GB2312" w:cs="仿宋_GB2312"/>
                      <w:color w:val="auto"/>
                    </w:rPr>
                  </w:pPr>
                  <w:r>
                    <w:rPr>
                      <w:rFonts w:hint="eastAsia" w:ascii="仿宋_GB2312" w:hAnsi="仿宋_GB2312" w:eastAsia="仿宋_GB2312" w:cs="仿宋_GB2312"/>
                      <w:color w:val="auto"/>
                    </w:rPr>
                    <w:t>使用指定的仪器和实验设备，包括必要的校准</w:t>
                  </w:r>
                </w:p>
                <w:p>
                  <w:pPr>
                    <w:pStyle w:val="11"/>
                    <w:numPr>
                      <w:ilvl w:val="0"/>
                      <w:numId w:val="9"/>
                    </w:numPr>
                    <w:adjustRightInd/>
                    <w:ind w:left="663" w:right="3754" w:rightChars="1788" w:hanging="278"/>
                    <w:jc w:val="both"/>
                    <w:rPr>
                      <w:rFonts w:ascii="仿宋_GB2312" w:hAnsi="仿宋_GB2312" w:eastAsia="仿宋_GB2312" w:cs="仿宋_GB2312"/>
                      <w:color w:val="auto"/>
                    </w:rPr>
                  </w:pPr>
                  <w:r>
                    <w:rPr>
                      <w:rFonts w:hint="eastAsia" w:ascii="仿宋_GB2312" w:hAnsi="仿宋_GB2312" w:eastAsia="仿宋_GB2312" w:cs="仿宋_GB2312"/>
                      <w:color w:val="auto"/>
                    </w:rPr>
                    <w:t>评价所用材料或产品的质量</w:t>
                  </w:r>
                </w:p>
                <w:p>
                  <w:pPr>
                    <w:pStyle w:val="11"/>
                    <w:numPr>
                      <w:ilvl w:val="0"/>
                      <w:numId w:val="9"/>
                    </w:numPr>
                    <w:adjustRightInd/>
                    <w:ind w:left="663" w:right="3754" w:rightChars="1788" w:hanging="278"/>
                    <w:jc w:val="both"/>
                    <w:rPr>
                      <w:rFonts w:ascii="仿宋_GB2312" w:hAnsi="仿宋_GB2312" w:eastAsia="仿宋_GB2312" w:cs="仿宋_GB2312"/>
                      <w:color w:val="auto"/>
                    </w:rPr>
                  </w:pPr>
                  <w:r>
                    <w:rPr>
                      <w:rFonts w:hint="eastAsia" w:ascii="仿宋_GB2312" w:hAnsi="仿宋_GB2312" w:eastAsia="仿宋_GB2312" w:cs="仿宋_GB2312"/>
                      <w:color w:val="auto"/>
                    </w:rPr>
                    <w:t>设计或制作支持新产品或新工艺开发的实验仪器设备</w:t>
                  </w:r>
                </w:p>
                <w:p>
                  <w:pPr>
                    <w:pStyle w:val="11"/>
                    <w:numPr>
                      <w:ilvl w:val="0"/>
                      <w:numId w:val="9"/>
                    </w:numPr>
                    <w:adjustRightInd/>
                    <w:ind w:left="663" w:right="3754" w:rightChars="1788" w:hanging="278"/>
                    <w:jc w:val="both"/>
                    <w:rPr>
                      <w:rFonts w:ascii="仿宋_GB2312" w:hAnsi="仿宋_GB2312" w:eastAsia="仿宋_GB2312" w:cs="仿宋_GB2312"/>
                      <w:color w:val="auto"/>
                    </w:rPr>
                  </w:pPr>
                  <w:r>
                    <w:rPr>
                      <w:rFonts w:hint="eastAsia" w:ascii="仿宋_GB2312" w:hAnsi="仿宋_GB2312" w:eastAsia="仿宋_GB2312" w:cs="仿宋_GB2312"/>
                      <w:color w:val="auto"/>
                    </w:rPr>
                    <w:t>使用指定的方法、标准操作程序完成实验任务</w:t>
                  </w:r>
                </w:p>
                <w:p>
                  <w:pPr>
                    <w:pStyle w:val="11"/>
                    <w:numPr>
                      <w:ilvl w:val="0"/>
                      <w:numId w:val="9"/>
                    </w:numPr>
                    <w:adjustRightInd/>
                    <w:ind w:left="663" w:right="3754" w:rightChars="1788" w:hanging="278"/>
                    <w:jc w:val="both"/>
                    <w:rPr>
                      <w:rFonts w:ascii="仿宋_GB2312" w:hAnsi="仿宋_GB2312" w:eastAsia="仿宋_GB2312" w:cs="仿宋_GB2312"/>
                      <w:color w:val="auto"/>
                    </w:rPr>
                  </w:pPr>
                  <w:r>
                    <w:rPr>
                      <w:rFonts w:hint="eastAsia" w:ascii="仿宋_GB2312" w:hAnsi="仿宋_GB2312" w:eastAsia="仿宋_GB2312" w:cs="仿宋_GB2312"/>
                      <w:color w:val="auto"/>
                    </w:rPr>
                    <w:t>开展特定的制样任务，包括样品的准备和处理，以及从液体、固体混合物的分离过程</w:t>
                  </w:r>
                </w:p>
                <w:p>
                  <w:pPr>
                    <w:pStyle w:val="11"/>
                    <w:numPr>
                      <w:ilvl w:val="0"/>
                      <w:numId w:val="9"/>
                    </w:numPr>
                    <w:adjustRightInd/>
                    <w:ind w:left="663" w:right="3754" w:rightChars="1788" w:hanging="278"/>
                    <w:jc w:val="both"/>
                    <w:rPr>
                      <w:rFonts w:ascii="仿宋_GB2312" w:hAnsi="仿宋_GB2312" w:eastAsia="仿宋_GB2312" w:cs="仿宋_GB2312"/>
                      <w:color w:val="auto"/>
                    </w:rPr>
                  </w:pPr>
                  <w:r>
                    <w:rPr>
                      <w:rFonts w:hint="eastAsia" w:ascii="仿宋_GB2312" w:hAnsi="仿宋_GB2312" w:eastAsia="仿宋_GB2312" w:cs="仿宋_GB2312"/>
                      <w:color w:val="auto"/>
                    </w:rPr>
                    <w:t>实施纯化和浓缩工艺，例如：蒸发、蒸馏、萃取、色谱</w:t>
                  </w:r>
                </w:p>
                <w:p>
                  <w:pPr>
                    <w:pStyle w:val="11"/>
                    <w:numPr>
                      <w:ilvl w:val="0"/>
                      <w:numId w:val="9"/>
                    </w:numPr>
                    <w:adjustRightInd/>
                    <w:ind w:left="663" w:right="3754" w:rightChars="1788" w:hanging="278"/>
                    <w:jc w:val="both"/>
                    <w:rPr>
                      <w:rFonts w:ascii="仿宋_GB2312" w:hAnsi="仿宋_GB2312" w:eastAsia="仿宋_GB2312" w:cs="仿宋_GB2312"/>
                      <w:color w:val="auto"/>
                    </w:rPr>
                  </w:pPr>
                  <w:r>
                    <w:rPr>
                      <w:rFonts w:hint="eastAsia" w:ascii="仿宋_GB2312" w:hAnsi="仿宋_GB2312" w:eastAsia="仿宋_GB2312" w:cs="仿宋_GB2312"/>
                      <w:color w:val="auto"/>
                    </w:rPr>
                    <w:t>使用滴定法、重量法</w:t>
                  </w:r>
                </w:p>
                <w:p>
                  <w:pPr>
                    <w:pStyle w:val="11"/>
                    <w:numPr>
                      <w:ilvl w:val="0"/>
                      <w:numId w:val="9"/>
                    </w:numPr>
                    <w:adjustRightInd/>
                    <w:ind w:left="663" w:right="3754" w:rightChars="1788" w:hanging="278"/>
                    <w:jc w:val="both"/>
                    <w:rPr>
                      <w:rFonts w:ascii="仿宋_GB2312" w:hAnsi="仿宋_GB2312" w:eastAsia="仿宋_GB2312" w:cs="仿宋_GB2312"/>
                      <w:color w:val="auto"/>
                    </w:rPr>
                  </w:pPr>
                  <w:r>
                    <w:rPr>
                      <w:rFonts w:hint="eastAsia" w:ascii="仿宋_GB2312" w:hAnsi="仿宋_GB2312" w:eastAsia="仿宋_GB2312" w:cs="仿宋_GB2312"/>
                      <w:color w:val="auto"/>
                    </w:rPr>
                    <w:t>使用仪器分析方法，如：光谱法、色谱法、电位分析法及电导分析法</w:t>
                  </w:r>
                </w:p>
                <w:p>
                  <w:pPr>
                    <w:pStyle w:val="11"/>
                    <w:numPr>
                      <w:ilvl w:val="0"/>
                      <w:numId w:val="9"/>
                    </w:numPr>
                    <w:adjustRightInd/>
                    <w:ind w:left="663" w:right="3754" w:rightChars="1788" w:hanging="278"/>
                    <w:jc w:val="both"/>
                    <w:rPr>
                      <w:rFonts w:ascii="仿宋_GB2312" w:hAnsi="仿宋_GB2312" w:eastAsia="仿宋_GB2312" w:cs="仿宋_GB2312"/>
                      <w:color w:val="auto"/>
                    </w:rPr>
                  </w:pPr>
                  <w:r>
                    <w:rPr>
                      <w:rFonts w:hint="eastAsia" w:ascii="仿宋_GB2312" w:hAnsi="仿宋_GB2312" w:eastAsia="仿宋_GB2312" w:cs="仿宋_GB2312"/>
                      <w:color w:val="auto"/>
                    </w:rPr>
                    <w:t>使用以下技术建立和进行实验、提取、试验和分析</w:t>
                  </w:r>
                </w:p>
                <w:p>
                  <w:pPr>
                    <w:pStyle w:val="11"/>
                    <w:numPr>
                      <w:ilvl w:val="0"/>
                      <w:numId w:val="10"/>
                    </w:numPr>
                    <w:adjustRightInd/>
                    <w:ind w:left="946" w:right="3754" w:rightChars="1788" w:hanging="230"/>
                    <w:jc w:val="both"/>
                    <w:rPr>
                      <w:rFonts w:ascii="仿宋_GB2312" w:hAnsi="仿宋_GB2312" w:eastAsia="仿宋_GB2312" w:cs="仿宋_GB2312"/>
                      <w:color w:val="auto"/>
                    </w:rPr>
                  </w:pPr>
                  <w:r>
                    <w:rPr>
                      <w:rFonts w:hint="eastAsia" w:ascii="仿宋_GB2312" w:hAnsi="仿宋_GB2312" w:eastAsia="仿宋_GB2312" w:cs="仿宋_GB2312"/>
                      <w:color w:val="auto"/>
                    </w:rPr>
                    <w:t>色谱法</w:t>
                  </w:r>
                </w:p>
                <w:p>
                  <w:pPr>
                    <w:pStyle w:val="11"/>
                    <w:numPr>
                      <w:ilvl w:val="0"/>
                      <w:numId w:val="10"/>
                    </w:numPr>
                    <w:adjustRightInd/>
                    <w:ind w:left="946" w:right="3754" w:rightChars="1788" w:hanging="230"/>
                    <w:jc w:val="both"/>
                    <w:rPr>
                      <w:rFonts w:ascii="仿宋_GB2312" w:hAnsi="仿宋_GB2312" w:eastAsia="仿宋_GB2312" w:cs="仿宋_GB2312"/>
                      <w:color w:val="auto"/>
                    </w:rPr>
                  </w:pPr>
                  <w:r>
                    <w:rPr>
                      <w:rFonts w:hint="eastAsia" w:ascii="仿宋_GB2312" w:hAnsi="仿宋_GB2312" w:eastAsia="仿宋_GB2312" w:cs="仿宋_GB2312"/>
                      <w:color w:val="auto"/>
                    </w:rPr>
                    <w:t>光谱法</w:t>
                  </w:r>
                </w:p>
                <w:p>
                  <w:pPr>
                    <w:pStyle w:val="11"/>
                    <w:numPr>
                      <w:ilvl w:val="0"/>
                      <w:numId w:val="10"/>
                    </w:numPr>
                    <w:adjustRightInd/>
                    <w:ind w:left="946" w:right="3754" w:rightChars="1788" w:hanging="230"/>
                    <w:jc w:val="both"/>
                    <w:rPr>
                      <w:rFonts w:ascii="仿宋_GB2312" w:hAnsi="仿宋_GB2312" w:eastAsia="仿宋_GB2312" w:cs="仿宋_GB2312"/>
                      <w:color w:val="auto"/>
                    </w:rPr>
                  </w:pPr>
                  <w:r>
                    <w:rPr>
                      <w:rFonts w:hint="eastAsia" w:ascii="仿宋_GB2312" w:hAnsi="仿宋_GB2312" w:eastAsia="仿宋_GB2312" w:cs="仿宋_GB2312"/>
                      <w:color w:val="auto"/>
                    </w:rPr>
                    <w:t>物理或化学分离技术</w:t>
                  </w:r>
                </w:p>
                <w:p>
                  <w:pPr>
                    <w:pStyle w:val="11"/>
                    <w:numPr>
                      <w:ilvl w:val="0"/>
                      <w:numId w:val="9"/>
                    </w:numPr>
                    <w:adjustRightInd/>
                    <w:ind w:left="663" w:right="3754" w:rightChars="1788" w:hanging="278"/>
                    <w:jc w:val="both"/>
                    <w:rPr>
                      <w:rFonts w:ascii="仿宋_GB2312" w:hAnsi="仿宋_GB2312" w:eastAsia="仿宋_GB2312" w:cs="仿宋_GB2312"/>
                      <w:color w:val="auto"/>
                    </w:rPr>
                  </w:pPr>
                  <w:r>
                    <w:rPr>
                      <w:rFonts w:hint="eastAsia" w:ascii="仿宋_GB2312" w:hAnsi="仿宋_GB2312" w:eastAsia="仿宋_GB2312" w:cs="仿宋_GB2312"/>
                      <w:color w:val="auto"/>
                    </w:rPr>
                    <w:t>确定无机或有机化合物的结构</w:t>
                  </w:r>
                </w:p>
                <w:p>
                  <w:pPr>
                    <w:pStyle w:val="13"/>
                    <w:widowControl w:val="0"/>
                    <w:numPr>
                      <w:ilvl w:val="0"/>
                      <w:numId w:val="11"/>
                    </w:numPr>
                    <w:autoSpaceDE w:val="0"/>
                    <w:autoSpaceDN w:val="0"/>
                    <w:spacing w:line="240" w:lineRule="auto"/>
                    <w:ind w:left="663" w:right="3754" w:rightChars="1788" w:hanging="278" w:firstLineChars="0"/>
                    <w:rPr>
                      <w:rFonts w:ascii="仿宋_GB2312" w:hAnsi="仿宋_GB2312" w:eastAsia="仿宋_GB2312" w:cs="仿宋_GB2312"/>
                      <w:sz w:val="24"/>
                    </w:rPr>
                  </w:pPr>
                  <w:r>
                    <w:rPr>
                      <w:rFonts w:hint="eastAsia" w:ascii="仿宋_GB2312" w:hAnsi="仿宋_GB2312" w:eastAsia="仿宋_GB2312" w:cs="仿宋_GB2312"/>
                      <w:sz w:val="24"/>
                    </w:rPr>
                    <w:t>运用合成技术合成无机物、有机物、聚合物</w:t>
                  </w:r>
                </w:p>
                <w:p>
                  <w:pPr>
                    <w:pStyle w:val="13"/>
                    <w:widowControl w:val="0"/>
                    <w:numPr>
                      <w:ilvl w:val="0"/>
                      <w:numId w:val="11"/>
                    </w:numPr>
                    <w:autoSpaceDE w:val="0"/>
                    <w:autoSpaceDN w:val="0"/>
                    <w:spacing w:line="240" w:lineRule="auto"/>
                    <w:ind w:left="663" w:right="3754" w:rightChars="1788" w:hanging="278" w:firstLineChars="0"/>
                    <w:rPr>
                      <w:rFonts w:ascii="仿宋_GB2312" w:hAnsi="仿宋_GB2312" w:eastAsia="仿宋_GB2312" w:cs="仿宋_GB2312"/>
                      <w:sz w:val="24"/>
                    </w:rPr>
                  </w:pPr>
                  <w:r>
                    <w:rPr>
                      <w:rFonts w:hint="eastAsia" w:ascii="仿宋_GB2312" w:hAnsi="仿宋_GB2312" w:eastAsia="仿宋_GB2312" w:cs="仿宋_GB2312"/>
                      <w:sz w:val="24"/>
                    </w:rPr>
                    <w:t>根据标准配方或者创建配方，为产品制备或工艺实现准备化学试剂和溶液</w:t>
                  </w:r>
                </w:p>
                <w:p>
                  <w:pPr>
                    <w:pStyle w:val="11"/>
                    <w:adjustRightInd/>
                    <w:ind w:right="3754" w:rightChars="1788"/>
                    <w:jc w:val="both"/>
                    <w:rPr>
                      <w:rFonts w:ascii="仿宋_GB2312" w:hAnsi="仿宋_GB2312" w:eastAsia="仿宋_GB2312" w:cs="仿宋_GB2312"/>
                      <w:color w:val="auto"/>
                    </w:rPr>
                  </w:pPr>
                  <w:r>
                    <w:rPr>
                      <w:rFonts w:hint="eastAsia" w:ascii="仿宋_GB2312" w:hAnsi="仿宋_GB2312" w:eastAsia="仿宋_GB2312" w:cs="仿宋_GB2312"/>
                    </w:rPr>
                    <w:t>考虑所采用的分析方法、程序和仪器设备，包括使用的制样方法,是否需要验证</w:t>
                  </w:r>
                </w:p>
              </w:tc>
            </w:tr>
          </w:tbl>
          <w:p>
            <w:pPr>
              <w:rPr>
                <w:rFonts w:ascii="仿宋_GB2312" w:hAnsi="仿宋_GB2312" w:eastAsia="仿宋_GB2312" w:cs="仿宋_GB2312"/>
                <w:sz w:val="24"/>
                <w:szCs w:val="24"/>
              </w:rPr>
            </w:pPr>
          </w:p>
        </w:tc>
        <w:tc>
          <w:tcPr>
            <w:tcW w:w="1275" w:type="dxa"/>
            <w:tcBorders>
              <w:bottom w:val="single" w:color="auto" w:sz="4" w:space="0"/>
            </w:tcBorders>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shd w:val="clear" w:color="auto" w:fill="EEECE1"/>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7326" w:type="dxa"/>
            <w:shd w:val="clear" w:color="auto" w:fill="EEECE1"/>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数据处理和记录保存</w:t>
            </w:r>
          </w:p>
        </w:tc>
        <w:tc>
          <w:tcPr>
            <w:tcW w:w="1275" w:type="dxa"/>
            <w:shd w:val="clear" w:color="auto" w:fill="EEECE1"/>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tcPr>
          <w:p>
            <w:pPr>
              <w:rPr>
                <w:rFonts w:ascii="仿宋_GB2312" w:hAnsi="仿宋_GB2312" w:eastAsia="仿宋_GB2312" w:cs="仿宋_GB2312"/>
                <w:sz w:val="24"/>
                <w:szCs w:val="24"/>
              </w:rPr>
            </w:pPr>
          </w:p>
        </w:tc>
        <w:tc>
          <w:tcPr>
            <w:tcW w:w="7326" w:type="dxa"/>
          </w:tcPr>
          <w:tbl>
            <w:tblPr>
              <w:tblStyle w:val="8"/>
              <w:tblW w:w="7647" w:type="dxa"/>
              <w:tblInd w:w="0" w:type="dxa"/>
              <w:tblLayout w:type="fixed"/>
              <w:tblCellMar>
                <w:top w:w="0" w:type="dxa"/>
                <w:left w:w="108" w:type="dxa"/>
                <w:bottom w:w="0" w:type="dxa"/>
                <w:right w:w="108" w:type="dxa"/>
              </w:tblCellMar>
            </w:tblPr>
            <w:tblGrid>
              <w:gridCol w:w="7647"/>
            </w:tblGrid>
            <w:tr>
              <w:tblPrEx>
                <w:tblLayout w:type="fixed"/>
                <w:tblCellMar>
                  <w:top w:w="0" w:type="dxa"/>
                  <w:left w:w="108" w:type="dxa"/>
                  <w:bottom w:w="0" w:type="dxa"/>
                  <w:right w:w="108" w:type="dxa"/>
                </w:tblCellMar>
              </w:tblPrEx>
              <w:trPr>
                <w:trHeight w:val="99" w:hRule="atLeast"/>
              </w:trPr>
              <w:tc>
                <w:tcPr>
                  <w:tcW w:w="7647" w:type="dxa"/>
                </w:tcPr>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 xml:space="preserve">选手应了解和理解： </w:t>
                  </w:r>
                </w:p>
              </w:tc>
            </w:tr>
            <w:tr>
              <w:tblPrEx>
                <w:tblLayout w:type="fixed"/>
                <w:tblCellMar>
                  <w:top w:w="0" w:type="dxa"/>
                  <w:left w:w="108" w:type="dxa"/>
                  <w:bottom w:w="0" w:type="dxa"/>
                  <w:right w:w="108" w:type="dxa"/>
                </w:tblCellMar>
              </w:tblPrEx>
              <w:trPr>
                <w:trHeight w:val="2114" w:hRule="atLeast"/>
              </w:trPr>
              <w:tc>
                <w:tcPr>
                  <w:tcW w:w="7647" w:type="dxa"/>
                </w:tcPr>
                <w:p>
                  <w:pPr>
                    <w:pStyle w:val="11"/>
                    <w:numPr>
                      <w:ilvl w:val="0"/>
                      <w:numId w:val="12"/>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与记录保存、可追溯性和保密性相关的规定</w:t>
                  </w:r>
                </w:p>
                <w:p>
                  <w:pPr>
                    <w:pStyle w:val="11"/>
                    <w:numPr>
                      <w:ilvl w:val="0"/>
                      <w:numId w:val="12"/>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保证实验室记录和数据安全性的程序</w:t>
                  </w:r>
                </w:p>
                <w:p>
                  <w:pPr>
                    <w:pStyle w:val="11"/>
                    <w:numPr>
                      <w:ilvl w:val="0"/>
                      <w:numId w:val="12"/>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用于记录和显示数据的软件功能</w:t>
                  </w:r>
                </w:p>
                <w:p>
                  <w:pPr>
                    <w:pStyle w:val="11"/>
                    <w:numPr>
                      <w:ilvl w:val="0"/>
                      <w:numId w:val="12"/>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 xml:space="preserve">确保信息准确性的流程 </w:t>
                  </w:r>
                </w:p>
                <w:p>
                  <w:pPr>
                    <w:pStyle w:val="11"/>
                    <w:numPr>
                      <w:ilvl w:val="0"/>
                      <w:numId w:val="12"/>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误差和不确定性的含义</w:t>
                  </w:r>
                </w:p>
                <w:p>
                  <w:pPr>
                    <w:pStyle w:val="11"/>
                    <w:numPr>
                      <w:ilvl w:val="0"/>
                      <w:numId w:val="12"/>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引用和引证所需的方法</w:t>
                  </w:r>
                </w:p>
              </w:tc>
            </w:tr>
          </w:tbl>
          <w:p>
            <w:pPr>
              <w:rPr>
                <w:rFonts w:ascii="仿宋_GB2312" w:hAnsi="仿宋_GB2312" w:eastAsia="仿宋_GB2312" w:cs="仿宋_GB2312"/>
                <w:sz w:val="24"/>
                <w:szCs w:val="24"/>
              </w:rPr>
            </w:pPr>
          </w:p>
        </w:tc>
        <w:tc>
          <w:tcPr>
            <w:tcW w:w="1275" w:type="dxa"/>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tcBorders>
              <w:bottom w:val="single" w:color="auto" w:sz="4" w:space="0"/>
            </w:tcBorders>
          </w:tcPr>
          <w:p>
            <w:pPr>
              <w:rPr>
                <w:rFonts w:ascii="仿宋_GB2312" w:hAnsi="仿宋_GB2312" w:eastAsia="仿宋_GB2312" w:cs="仿宋_GB2312"/>
                <w:sz w:val="24"/>
                <w:szCs w:val="24"/>
              </w:rPr>
            </w:pPr>
          </w:p>
        </w:tc>
        <w:tc>
          <w:tcPr>
            <w:tcW w:w="7326" w:type="dxa"/>
            <w:tcBorders>
              <w:bottom w:val="single" w:color="auto" w:sz="4" w:space="0"/>
            </w:tcBorders>
          </w:tcPr>
          <w:tbl>
            <w:tblPr>
              <w:tblStyle w:val="8"/>
              <w:tblW w:w="7647" w:type="dxa"/>
              <w:tblInd w:w="0" w:type="dxa"/>
              <w:tblLayout w:type="fixed"/>
              <w:tblCellMar>
                <w:top w:w="0" w:type="dxa"/>
                <w:left w:w="108" w:type="dxa"/>
                <w:bottom w:w="0" w:type="dxa"/>
                <w:right w:w="108" w:type="dxa"/>
              </w:tblCellMar>
            </w:tblPr>
            <w:tblGrid>
              <w:gridCol w:w="7647"/>
            </w:tblGrid>
            <w:tr>
              <w:tblPrEx>
                <w:tblLayout w:type="fixed"/>
                <w:tblCellMar>
                  <w:top w:w="0" w:type="dxa"/>
                  <w:left w:w="108" w:type="dxa"/>
                  <w:bottom w:w="0" w:type="dxa"/>
                  <w:right w:w="108" w:type="dxa"/>
                </w:tblCellMar>
              </w:tblPrEx>
              <w:trPr>
                <w:trHeight w:val="99" w:hRule="atLeast"/>
              </w:trPr>
              <w:tc>
                <w:tcPr>
                  <w:tcW w:w="7647" w:type="dxa"/>
                </w:tcPr>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 xml:space="preserve">选手应能够： </w:t>
                  </w:r>
                </w:p>
              </w:tc>
            </w:tr>
            <w:tr>
              <w:tblPrEx>
                <w:tblLayout w:type="fixed"/>
                <w:tblCellMar>
                  <w:top w:w="0" w:type="dxa"/>
                  <w:left w:w="108" w:type="dxa"/>
                  <w:bottom w:w="0" w:type="dxa"/>
                  <w:right w:w="108" w:type="dxa"/>
                </w:tblCellMar>
              </w:tblPrEx>
              <w:trPr>
                <w:trHeight w:val="2801" w:hRule="atLeast"/>
              </w:trPr>
              <w:tc>
                <w:tcPr>
                  <w:tcW w:w="7647" w:type="dxa"/>
                </w:tcPr>
                <w:p>
                  <w:pPr>
                    <w:pStyle w:val="11"/>
                    <w:numPr>
                      <w:ilvl w:val="0"/>
                      <w:numId w:val="13"/>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对实验工作进行记录并保留文档，包括使用给定的模板、计算机信息技术和统计方法</w:t>
                  </w:r>
                </w:p>
                <w:p>
                  <w:pPr>
                    <w:pStyle w:val="11"/>
                    <w:numPr>
                      <w:ilvl w:val="0"/>
                      <w:numId w:val="13"/>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处理和整理来自实验室软件/处理工作站的数字化信息，得到可靠的、准确的数据</w:t>
                  </w:r>
                </w:p>
                <w:p>
                  <w:pPr>
                    <w:pStyle w:val="11"/>
                    <w:numPr>
                      <w:ilvl w:val="0"/>
                      <w:numId w:val="13"/>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 xml:space="preserve">以书面和口头形式清晰简明地呈现实验工作和问题解决的结果 </w:t>
                  </w:r>
                </w:p>
                <w:p>
                  <w:pPr>
                    <w:pStyle w:val="11"/>
                    <w:numPr>
                      <w:ilvl w:val="0"/>
                      <w:numId w:val="14"/>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适当地使用图表撰写技术报告</w:t>
                  </w:r>
                </w:p>
                <w:p>
                  <w:pPr>
                    <w:pStyle w:val="11"/>
                    <w:numPr>
                      <w:ilvl w:val="0"/>
                      <w:numId w:val="14"/>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检查自身工作，包括汇编整理、分类、计算、制作表格和完整性</w:t>
                  </w:r>
                </w:p>
                <w:p>
                  <w:pPr>
                    <w:pStyle w:val="11"/>
                    <w:numPr>
                      <w:ilvl w:val="0"/>
                      <w:numId w:val="14"/>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及时发现存在的错误、不准确和不足</w:t>
                  </w:r>
                </w:p>
                <w:p>
                  <w:pPr>
                    <w:pStyle w:val="11"/>
                    <w:numPr>
                      <w:ilvl w:val="0"/>
                      <w:numId w:val="14"/>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对信息或数据进行验证或审核</w:t>
                  </w:r>
                </w:p>
                <w:p>
                  <w:pPr>
                    <w:pStyle w:val="11"/>
                    <w:numPr>
                      <w:ilvl w:val="0"/>
                      <w:numId w:val="14"/>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存档文件</w:t>
                  </w:r>
                </w:p>
              </w:tc>
            </w:tr>
          </w:tbl>
          <w:p>
            <w:pPr>
              <w:rPr>
                <w:rFonts w:ascii="仿宋_GB2312" w:hAnsi="仿宋_GB2312" w:eastAsia="仿宋_GB2312" w:cs="仿宋_GB2312"/>
                <w:sz w:val="24"/>
                <w:szCs w:val="24"/>
              </w:rPr>
            </w:pPr>
          </w:p>
        </w:tc>
        <w:tc>
          <w:tcPr>
            <w:tcW w:w="1275" w:type="dxa"/>
            <w:tcBorders>
              <w:bottom w:val="single" w:color="auto" w:sz="4" w:space="0"/>
            </w:tcBorders>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shd w:val="clear" w:color="auto" w:fill="EEECE1"/>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7326" w:type="dxa"/>
            <w:shd w:val="clear" w:color="auto" w:fill="EEECE1"/>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分析、解释和评价</w:t>
            </w:r>
          </w:p>
        </w:tc>
        <w:tc>
          <w:tcPr>
            <w:tcW w:w="1275" w:type="dxa"/>
            <w:shd w:val="clear" w:color="auto" w:fill="EEECE1"/>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tcPr>
          <w:p>
            <w:pPr>
              <w:rPr>
                <w:rFonts w:ascii="仿宋_GB2312" w:hAnsi="仿宋_GB2312" w:eastAsia="仿宋_GB2312" w:cs="仿宋_GB2312"/>
                <w:sz w:val="24"/>
                <w:szCs w:val="24"/>
              </w:rPr>
            </w:pPr>
          </w:p>
        </w:tc>
        <w:tc>
          <w:tcPr>
            <w:tcW w:w="7326" w:type="dxa"/>
          </w:tcPr>
          <w:tbl>
            <w:tblPr>
              <w:tblStyle w:val="8"/>
              <w:tblW w:w="7647" w:type="dxa"/>
              <w:tblInd w:w="0" w:type="dxa"/>
              <w:tblLayout w:type="fixed"/>
              <w:tblCellMar>
                <w:top w:w="0" w:type="dxa"/>
                <w:left w:w="108" w:type="dxa"/>
                <w:bottom w:w="0" w:type="dxa"/>
                <w:right w:w="108" w:type="dxa"/>
              </w:tblCellMar>
            </w:tblPr>
            <w:tblGrid>
              <w:gridCol w:w="7647"/>
            </w:tblGrid>
            <w:tr>
              <w:tblPrEx>
                <w:tblLayout w:type="fixed"/>
                <w:tblCellMar>
                  <w:top w:w="0" w:type="dxa"/>
                  <w:left w:w="108" w:type="dxa"/>
                  <w:bottom w:w="0" w:type="dxa"/>
                  <w:right w:w="108" w:type="dxa"/>
                </w:tblCellMar>
              </w:tblPrEx>
              <w:trPr>
                <w:trHeight w:val="99" w:hRule="atLeast"/>
              </w:trPr>
              <w:tc>
                <w:tcPr>
                  <w:tcW w:w="7647" w:type="dxa"/>
                </w:tcPr>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 xml:space="preserve">选手应了解和理解： </w:t>
                  </w:r>
                </w:p>
              </w:tc>
            </w:tr>
            <w:tr>
              <w:tblPrEx>
                <w:tblLayout w:type="fixed"/>
                <w:tblCellMar>
                  <w:top w:w="0" w:type="dxa"/>
                  <w:left w:w="108" w:type="dxa"/>
                  <w:bottom w:w="0" w:type="dxa"/>
                  <w:right w:w="108" w:type="dxa"/>
                </w:tblCellMar>
              </w:tblPrEx>
              <w:trPr>
                <w:trHeight w:val="2547" w:hRule="atLeast"/>
              </w:trPr>
              <w:tc>
                <w:tcPr>
                  <w:tcW w:w="7647" w:type="dxa"/>
                </w:tcPr>
                <w:p>
                  <w:pPr>
                    <w:pStyle w:val="11"/>
                    <w:numPr>
                      <w:ilvl w:val="0"/>
                      <w:numId w:val="14"/>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 xml:space="preserve">质量管理原则 </w:t>
                  </w:r>
                </w:p>
                <w:p>
                  <w:pPr>
                    <w:pStyle w:val="11"/>
                    <w:numPr>
                      <w:ilvl w:val="0"/>
                      <w:numId w:val="14"/>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质量管理在生产过程中的应用</w:t>
                  </w:r>
                </w:p>
                <w:p>
                  <w:pPr>
                    <w:pStyle w:val="11"/>
                    <w:numPr>
                      <w:ilvl w:val="0"/>
                      <w:numId w:val="14"/>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 xml:space="preserve">科学数据分析中使用的数学和统计方法 </w:t>
                  </w:r>
                </w:p>
                <w:p>
                  <w:pPr>
                    <w:pStyle w:val="11"/>
                    <w:numPr>
                      <w:ilvl w:val="0"/>
                      <w:numId w:val="14"/>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误差的性质、概率、来源和类型</w:t>
                  </w:r>
                </w:p>
                <w:p>
                  <w:pPr>
                    <w:pStyle w:val="11"/>
                    <w:numPr>
                      <w:ilvl w:val="0"/>
                      <w:numId w:val="14"/>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 xml:space="preserve">质量控制的原则和方法 </w:t>
                  </w:r>
                </w:p>
                <w:p>
                  <w:pPr>
                    <w:pStyle w:val="11"/>
                    <w:numPr>
                      <w:ilvl w:val="0"/>
                      <w:numId w:val="14"/>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 xml:space="preserve">持续改进的原则和应用 </w:t>
                  </w:r>
                </w:p>
                <w:p>
                  <w:pPr>
                    <w:pStyle w:val="11"/>
                    <w:numPr>
                      <w:ilvl w:val="0"/>
                      <w:numId w:val="14"/>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工作角色对身体健康的要求</w:t>
                  </w:r>
                </w:p>
              </w:tc>
            </w:tr>
          </w:tbl>
          <w:p>
            <w:pPr>
              <w:rPr>
                <w:rFonts w:ascii="仿宋_GB2312" w:hAnsi="仿宋_GB2312" w:eastAsia="仿宋_GB2312" w:cs="仿宋_GB2312"/>
                <w:sz w:val="24"/>
                <w:szCs w:val="24"/>
              </w:rPr>
            </w:pPr>
          </w:p>
        </w:tc>
        <w:tc>
          <w:tcPr>
            <w:tcW w:w="1275" w:type="dxa"/>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tcBorders>
              <w:bottom w:val="single" w:color="auto" w:sz="4" w:space="0"/>
            </w:tcBorders>
          </w:tcPr>
          <w:p>
            <w:pPr>
              <w:rPr>
                <w:rFonts w:ascii="仿宋_GB2312" w:hAnsi="仿宋_GB2312" w:eastAsia="仿宋_GB2312" w:cs="仿宋_GB2312"/>
                <w:sz w:val="24"/>
                <w:szCs w:val="24"/>
              </w:rPr>
            </w:pPr>
          </w:p>
        </w:tc>
        <w:tc>
          <w:tcPr>
            <w:tcW w:w="7326" w:type="dxa"/>
            <w:tcBorders>
              <w:bottom w:val="single" w:color="auto" w:sz="4" w:space="0"/>
            </w:tcBorders>
          </w:tcPr>
          <w:tbl>
            <w:tblPr>
              <w:tblStyle w:val="8"/>
              <w:tblW w:w="7647" w:type="dxa"/>
              <w:tblInd w:w="0" w:type="dxa"/>
              <w:tblLayout w:type="fixed"/>
              <w:tblCellMar>
                <w:top w:w="0" w:type="dxa"/>
                <w:left w:w="108" w:type="dxa"/>
                <w:bottom w:w="0" w:type="dxa"/>
                <w:right w:w="108" w:type="dxa"/>
              </w:tblCellMar>
            </w:tblPr>
            <w:tblGrid>
              <w:gridCol w:w="7647"/>
            </w:tblGrid>
            <w:tr>
              <w:tblPrEx>
                <w:tblLayout w:type="fixed"/>
                <w:tblCellMar>
                  <w:top w:w="0" w:type="dxa"/>
                  <w:left w:w="108" w:type="dxa"/>
                  <w:bottom w:w="0" w:type="dxa"/>
                  <w:right w:w="108" w:type="dxa"/>
                </w:tblCellMar>
              </w:tblPrEx>
              <w:trPr>
                <w:trHeight w:val="148" w:hRule="atLeast"/>
              </w:trPr>
              <w:tc>
                <w:tcPr>
                  <w:tcW w:w="7647" w:type="dxa"/>
                </w:tcPr>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 xml:space="preserve">选手应能够： </w:t>
                  </w:r>
                </w:p>
              </w:tc>
            </w:tr>
            <w:tr>
              <w:tblPrEx>
                <w:tblLayout w:type="fixed"/>
                <w:tblCellMar>
                  <w:top w:w="0" w:type="dxa"/>
                  <w:left w:w="108" w:type="dxa"/>
                  <w:bottom w:w="0" w:type="dxa"/>
                  <w:right w:w="108" w:type="dxa"/>
                </w:tblCellMar>
              </w:tblPrEx>
              <w:trPr>
                <w:trHeight w:val="2979" w:hRule="atLeast"/>
              </w:trPr>
              <w:tc>
                <w:tcPr>
                  <w:tcW w:w="7647" w:type="dxa"/>
                </w:tcPr>
                <w:p>
                  <w:pPr>
                    <w:pStyle w:val="11"/>
                    <w:numPr>
                      <w:ilvl w:val="0"/>
                      <w:numId w:val="14"/>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保持工作角色所需的体能素质</w:t>
                  </w:r>
                </w:p>
                <w:p>
                  <w:pPr>
                    <w:pStyle w:val="11"/>
                    <w:numPr>
                      <w:ilvl w:val="0"/>
                      <w:numId w:val="14"/>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通过自我调节保持持续的注意力</w:t>
                  </w:r>
                </w:p>
                <w:p>
                  <w:pPr>
                    <w:pStyle w:val="11"/>
                    <w:numPr>
                      <w:ilvl w:val="0"/>
                      <w:numId w:val="14"/>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遵循程序以满足工作场所的质量标准</w:t>
                  </w:r>
                </w:p>
                <w:p>
                  <w:pPr>
                    <w:pStyle w:val="11"/>
                    <w:numPr>
                      <w:ilvl w:val="0"/>
                      <w:numId w:val="14"/>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分析、解释和评价数据，并确定需要进一步核查的结果</w:t>
                  </w:r>
                </w:p>
                <w:p>
                  <w:pPr>
                    <w:pStyle w:val="11"/>
                    <w:numPr>
                      <w:ilvl w:val="0"/>
                      <w:numId w:val="14"/>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评价信息以确定是否符合标准</w:t>
                  </w:r>
                </w:p>
                <w:p>
                  <w:pPr>
                    <w:pStyle w:val="11"/>
                    <w:numPr>
                      <w:ilvl w:val="0"/>
                      <w:numId w:val="14"/>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在给定角色的工作范围内独立开展工作</w:t>
                  </w:r>
                </w:p>
                <w:p>
                  <w:pPr>
                    <w:pStyle w:val="11"/>
                    <w:numPr>
                      <w:ilvl w:val="0"/>
                      <w:numId w:val="14"/>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判断所使用分析方法获得的结果是否可靠，并评估其重要性</w:t>
                  </w:r>
                </w:p>
                <w:p>
                  <w:pPr>
                    <w:pStyle w:val="11"/>
                    <w:numPr>
                      <w:ilvl w:val="0"/>
                      <w:numId w:val="14"/>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使用正确的计算、统计和数学方法或公式来解决问题</w:t>
                  </w:r>
                </w:p>
                <w:p>
                  <w:pPr>
                    <w:pStyle w:val="11"/>
                    <w:numPr>
                      <w:ilvl w:val="0"/>
                      <w:numId w:val="14"/>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通过分析确定最终结果的基本原则、原因或事实</w:t>
                  </w:r>
                </w:p>
              </w:tc>
            </w:tr>
          </w:tbl>
          <w:p>
            <w:pPr>
              <w:rPr>
                <w:rFonts w:ascii="仿宋_GB2312" w:hAnsi="仿宋_GB2312" w:eastAsia="仿宋_GB2312" w:cs="仿宋_GB2312"/>
                <w:sz w:val="24"/>
                <w:szCs w:val="24"/>
              </w:rPr>
            </w:pPr>
          </w:p>
        </w:tc>
        <w:tc>
          <w:tcPr>
            <w:tcW w:w="1275" w:type="dxa"/>
            <w:tcBorders>
              <w:bottom w:val="single" w:color="auto" w:sz="4" w:space="0"/>
            </w:tcBorders>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shd w:val="clear" w:color="auto" w:fill="EEECE1"/>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7326" w:type="dxa"/>
            <w:shd w:val="clear" w:color="auto" w:fill="EEECE1"/>
            <w:vAlign w:val="center"/>
          </w:tcPr>
          <w:p>
            <w:pPr>
              <w:ind w:left="1"/>
              <w:rPr>
                <w:rFonts w:ascii="仿宋_GB2312" w:hAnsi="仿宋_GB2312" w:eastAsia="仿宋_GB2312" w:cs="仿宋_GB2312"/>
                <w:sz w:val="24"/>
                <w:szCs w:val="24"/>
              </w:rPr>
            </w:pPr>
            <w:r>
              <w:rPr>
                <w:rFonts w:hint="eastAsia" w:ascii="仿宋_GB2312" w:hAnsi="仿宋_GB2312" w:eastAsia="仿宋_GB2312" w:cs="仿宋_GB2312"/>
                <w:sz w:val="24"/>
                <w:szCs w:val="24"/>
              </w:rPr>
              <w:t>应用科学方法解决问题</w:t>
            </w:r>
          </w:p>
        </w:tc>
        <w:tc>
          <w:tcPr>
            <w:tcW w:w="1275" w:type="dxa"/>
            <w:shd w:val="clear" w:color="auto" w:fill="EEECE1"/>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tcPr>
          <w:p>
            <w:pPr>
              <w:rPr>
                <w:rFonts w:ascii="仿宋_GB2312" w:hAnsi="仿宋_GB2312" w:eastAsia="仿宋_GB2312" w:cs="仿宋_GB2312"/>
                <w:sz w:val="24"/>
                <w:szCs w:val="24"/>
              </w:rPr>
            </w:pPr>
          </w:p>
        </w:tc>
        <w:tc>
          <w:tcPr>
            <w:tcW w:w="7326" w:type="dxa"/>
          </w:tcPr>
          <w:tbl>
            <w:tblPr>
              <w:tblStyle w:val="8"/>
              <w:tblW w:w="7647" w:type="dxa"/>
              <w:tblInd w:w="0" w:type="dxa"/>
              <w:tblLayout w:type="fixed"/>
              <w:tblCellMar>
                <w:top w:w="0" w:type="dxa"/>
                <w:left w:w="108" w:type="dxa"/>
                <w:bottom w:w="0" w:type="dxa"/>
                <w:right w:w="108" w:type="dxa"/>
              </w:tblCellMar>
            </w:tblPr>
            <w:tblGrid>
              <w:gridCol w:w="7647"/>
            </w:tblGrid>
            <w:tr>
              <w:tblPrEx>
                <w:tblLayout w:type="fixed"/>
                <w:tblCellMar>
                  <w:top w:w="0" w:type="dxa"/>
                  <w:left w:w="108" w:type="dxa"/>
                  <w:bottom w:w="0" w:type="dxa"/>
                  <w:right w:w="108" w:type="dxa"/>
                </w:tblCellMar>
              </w:tblPrEx>
              <w:trPr>
                <w:trHeight w:val="99" w:hRule="atLeast"/>
              </w:trPr>
              <w:tc>
                <w:tcPr>
                  <w:tcW w:w="7647" w:type="dxa"/>
                </w:tcPr>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 xml:space="preserve">选手应了解和理解： </w:t>
                  </w:r>
                </w:p>
              </w:tc>
            </w:tr>
            <w:tr>
              <w:tblPrEx>
                <w:tblLayout w:type="fixed"/>
                <w:tblCellMar>
                  <w:top w:w="0" w:type="dxa"/>
                  <w:left w:w="108" w:type="dxa"/>
                  <w:bottom w:w="0" w:type="dxa"/>
                  <w:right w:w="108" w:type="dxa"/>
                </w:tblCellMar>
              </w:tblPrEx>
              <w:trPr>
                <w:trHeight w:val="1095" w:hRule="atLeast"/>
              </w:trPr>
              <w:tc>
                <w:tcPr>
                  <w:tcW w:w="7647" w:type="dxa"/>
                </w:tcPr>
                <w:p>
                  <w:pPr>
                    <w:pStyle w:val="11"/>
                    <w:numPr>
                      <w:ilvl w:val="0"/>
                      <w:numId w:val="14"/>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解决问题的科学规则和方法的原理和应用</w:t>
                  </w:r>
                </w:p>
                <w:p>
                  <w:pPr>
                    <w:pStyle w:val="11"/>
                    <w:numPr>
                      <w:ilvl w:val="0"/>
                      <w:numId w:val="14"/>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批判性思维和复杂问题解决的原则</w:t>
                  </w:r>
                </w:p>
                <w:p>
                  <w:pPr>
                    <w:pStyle w:val="11"/>
                    <w:numPr>
                      <w:ilvl w:val="0"/>
                      <w:numId w:val="14"/>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个人角色的范围和局限，以及自身对解决问题的理解和专业知识</w:t>
                  </w:r>
                </w:p>
              </w:tc>
            </w:tr>
          </w:tbl>
          <w:p>
            <w:pPr>
              <w:rPr>
                <w:rFonts w:ascii="仿宋_GB2312" w:hAnsi="仿宋_GB2312" w:eastAsia="仿宋_GB2312" w:cs="仿宋_GB2312"/>
                <w:sz w:val="24"/>
                <w:szCs w:val="24"/>
              </w:rPr>
            </w:pPr>
          </w:p>
        </w:tc>
        <w:tc>
          <w:tcPr>
            <w:tcW w:w="1275" w:type="dxa"/>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tcBorders>
              <w:bottom w:val="single" w:color="auto" w:sz="4" w:space="0"/>
            </w:tcBorders>
          </w:tcPr>
          <w:p>
            <w:pPr>
              <w:rPr>
                <w:rFonts w:ascii="仿宋_GB2312" w:hAnsi="仿宋_GB2312" w:eastAsia="仿宋_GB2312" w:cs="仿宋_GB2312"/>
                <w:sz w:val="24"/>
                <w:szCs w:val="24"/>
              </w:rPr>
            </w:pPr>
          </w:p>
        </w:tc>
        <w:tc>
          <w:tcPr>
            <w:tcW w:w="7326" w:type="dxa"/>
            <w:tcBorders>
              <w:bottom w:val="single" w:color="auto" w:sz="4" w:space="0"/>
            </w:tcBorders>
          </w:tcPr>
          <w:tbl>
            <w:tblPr>
              <w:tblStyle w:val="8"/>
              <w:tblW w:w="7647" w:type="dxa"/>
              <w:tblInd w:w="0" w:type="dxa"/>
              <w:tblLayout w:type="fixed"/>
              <w:tblCellMar>
                <w:top w:w="0" w:type="dxa"/>
                <w:left w:w="108" w:type="dxa"/>
                <w:bottom w:w="0" w:type="dxa"/>
                <w:right w:w="108" w:type="dxa"/>
              </w:tblCellMar>
            </w:tblPr>
            <w:tblGrid>
              <w:gridCol w:w="7647"/>
            </w:tblGrid>
            <w:tr>
              <w:tblPrEx>
                <w:tblLayout w:type="fixed"/>
                <w:tblCellMar>
                  <w:top w:w="0" w:type="dxa"/>
                  <w:left w:w="108" w:type="dxa"/>
                  <w:bottom w:w="0" w:type="dxa"/>
                  <w:right w:w="108" w:type="dxa"/>
                </w:tblCellMar>
              </w:tblPrEx>
              <w:trPr>
                <w:trHeight w:val="99" w:hRule="atLeast"/>
              </w:trPr>
              <w:tc>
                <w:tcPr>
                  <w:tcW w:w="7647" w:type="dxa"/>
                </w:tcPr>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 xml:space="preserve">选手应能够： </w:t>
                  </w:r>
                </w:p>
              </w:tc>
            </w:tr>
            <w:tr>
              <w:tblPrEx>
                <w:tblLayout w:type="fixed"/>
                <w:tblCellMar>
                  <w:top w:w="0" w:type="dxa"/>
                  <w:left w:w="108" w:type="dxa"/>
                  <w:bottom w:w="0" w:type="dxa"/>
                  <w:right w:w="108" w:type="dxa"/>
                </w:tblCellMar>
              </w:tblPrEx>
              <w:trPr>
                <w:trHeight w:val="4092" w:hRule="atLeast"/>
              </w:trPr>
              <w:tc>
                <w:tcPr>
                  <w:tcW w:w="7647" w:type="dxa"/>
                </w:tcPr>
                <w:p>
                  <w:pPr>
                    <w:pStyle w:val="11"/>
                    <w:numPr>
                      <w:ilvl w:val="0"/>
                      <w:numId w:val="14"/>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识别何时出现问题或出现问题的可能性</w:t>
                  </w:r>
                </w:p>
                <w:p>
                  <w:pPr>
                    <w:pStyle w:val="11"/>
                    <w:numPr>
                      <w:ilvl w:val="0"/>
                      <w:numId w:val="14"/>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识别和确定谱图中的明显干扰</w:t>
                  </w:r>
                </w:p>
                <w:p>
                  <w:pPr>
                    <w:pStyle w:val="11"/>
                    <w:numPr>
                      <w:ilvl w:val="0"/>
                      <w:numId w:val="14"/>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 xml:space="preserve">应用适当的科学方法，确定原因并获得解决方案 </w:t>
                  </w:r>
                </w:p>
                <w:p>
                  <w:pPr>
                    <w:pStyle w:val="11"/>
                    <w:numPr>
                      <w:ilvl w:val="0"/>
                      <w:numId w:val="14"/>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使用逻辑和推理，识别问题的替代解决方案、结论和方法的优缺点，例如</w:t>
                  </w:r>
                </w:p>
                <w:p>
                  <w:pPr>
                    <w:pStyle w:val="11"/>
                    <w:numPr>
                      <w:ilvl w:val="0"/>
                      <w:numId w:val="15"/>
                    </w:numPr>
                    <w:adjustRightInd/>
                    <w:ind w:left="1056" w:hanging="220"/>
                    <w:jc w:val="both"/>
                    <w:rPr>
                      <w:rFonts w:ascii="仿宋_GB2312" w:hAnsi="仿宋_GB2312" w:eastAsia="仿宋_GB2312" w:cs="仿宋_GB2312"/>
                      <w:color w:val="auto"/>
                    </w:rPr>
                  </w:pPr>
                  <w:r>
                    <w:rPr>
                      <w:rFonts w:hint="eastAsia" w:ascii="仿宋_GB2312" w:hAnsi="仿宋_GB2312" w:eastAsia="仿宋_GB2312" w:cs="仿宋_GB2312"/>
                      <w:color w:val="auto"/>
                    </w:rPr>
                    <w:t xml:space="preserve">将一般规则应用于具体问题，得出合理结论 </w:t>
                  </w:r>
                </w:p>
                <w:p>
                  <w:pPr>
                    <w:pStyle w:val="11"/>
                    <w:numPr>
                      <w:ilvl w:val="0"/>
                      <w:numId w:val="15"/>
                    </w:numPr>
                    <w:adjustRightInd/>
                    <w:ind w:left="1056" w:hanging="220"/>
                    <w:jc w:val="both"/>
                    <w:rPr>
                      <w:rFonts w:ascii="仿宋_GB2312" w:hAnsi="仿宋_GB2312" w:eastAsia="仿宋_GB2312" w:cs="仿宋_GB2312"/>
                      <w:color w:val="auto"/>
                    </w:rPr>
                  </w:pPr>
                  <w:r>
                    <w:rPr>
                      <w:rFonts w:hint="eastAsia" w:ascii="仿宋_GB2312" w:hAnsi="仿宋_GB2312" w:eastAsia="仿宋_GB2312" w:cs="仿宋_GB2312"/>
                      <w:color w:val="auto"/>
                    </w:rPr>
                    <w:t xml:space="preserve">组合信息片段，以形成合理的结论或规则 </w:t>
                  </w:r>
                </w:p>
                <w:p>
                  <w:pPr>
                    <w:pStyle w:val="11"/>
                    <w:numPr>
                      <w:ilvl w:val="0"/>
                      <w:numId w:val="14"/>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应用创造性思维和问题求解来验证所提的假设与创新，并基于现有观点提出新的建议</w:t>
                  </w:r>
                </w:p>
                <w:p>
                  <w:pPr>
                    <w:pStyle w:val="11"/>
                    <w:numPr>
                      <w:ilvl w:val="0"/>
                      <w:numId w:val="14"/>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酌情向专家和同事寻求建议</w:t>
                  </w:r>
                </w:p>
                <w:p>
                  <w:pPr>
                    <w:pStyle w:val="11"/>
                    <w:numPr>
                      <w:ilvl w:val="0"/>
                      <w:numId w:val="14"/>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提出改进工作流程或科学解决方案的建议</w:t>
                  </w:r>
                </w:p>
                <w:p>
                  <w:pPr>
                    <w:pStyle w:val="11"/>
                    <w:numPr>
                      <w:ilvl w:val="0"/>
                      <w:numId w:val="14"/>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支持所有分析任务的新调查和后续实验</w:t>
                  </w:r>
                </w:p>
                <w:p>
                  <w:pPr>
                    <w:pStyle w:val="11"/>
                    <w:numPr>
                      <w:ilvl w:val="0"/>
                      <w:numId w:val="14"/>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承担自身发展的责任，确定学习和自我完善的目标</w:t>
                  </w:r>
                </w:p>
              </w:tc>
            </w:tr>
          </w:tbl>
          <w:p>
            <w:pPr>
              <w:pStyle w:val="11"/>
              <w:adjustRightInd/>
              <w:ind w:left="880"/>
              <w:jc w:val="both"/>
              <w:rPr>
                <w:rFonts w:ascii="仿宋_GB2312" w:hAnsi="仿宋_GB2312" w:eastAsia="仿宋_GB2312" w:cs="仿宋_GB2312"/>
                <w:color w:val="auto"/>
              </w:rPr>
            </w:pPr>
          </w:p>
        </w:tc>
        <w:tc>
          <w:tcPr>
            <w:tcW w:w="1275" w:type="dxa"/>
            <w:tcBorders>
              <w:bottom w:val="single" w:color="auto" w:sz="4" w:space="0"/>
            </w:tcBorders>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tcBorders>
              <w:top w:val="single" w:color="auto" w:sz="4" w:space="0"/>
              <w:left w:val="single" w:color="auto" w:sz="4" w:space="0"/>
              <w:bottom w:val="single" w:color="auto" w:sz="4" w:space="0"/>
              <w:right w:val="single" w:color="auto" w:sz="4" w:space="0"/>
            </w:tcBorders>
            <w:shd w:val="clear" w:color="auto" w:fill="EEECE1"/>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7326" w:type="dxa"/>
            <w:tcBorders>
              <w:top w:val="single" w:color="auto" w:sz="4" w:space="0"/>
              <w:left w:val="single" w:color="auto" w:sz="4" w:space="0"/>
              <w:bottom w:val="single" w:color="auto" w:sz="4" w:space="0"/>
              <w:right w:val="single" w:color="auto" w:sz="4" w:space="0"/>
            </w:tcBorders>
            <w:shd w:val="clear" w:color="auto" w:fill="EEECE1"/>
            <w:vAlign w:val="center"/>
          </w:tcPr>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应用化学发展趋势</w:t>
            </w:r>
          </w:p>
        </w:tc>
        <w:tc>
          <w:tcPr>
            <w:tcW w:w="1275" w:type="dxa"/>
            <w:tcBorders>
              <w:top w:val="single" w:color="auto" w:sz="4" w:space="0"/>
              <w:left w:val="single" w:color="auto" w:sz="4" w:space="0"/>
              <w:bottom w:val="single" w:color="auto" w:sz="4" w:space="0"/>
              <w:right w:val="single" w:color="auto" w:sz="4" w:space="0"/>
            </w:tcBorders>
            <w:shd w:val="clear" w:color="auto" w:fill="EEECE1"/>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tcBorders>
              <w:top w:val="single" w:color="auto" w:sz="4" w:space="0"/>
            </w:tcBorders>
          </w:tcPr>
          <w:p>
            <w:pPr>
              <w:rPr>
                <w:rFonts w:ascii="仿宋_GB2312" w:hAnsi="仿宋_GB2312" w:eastAsia="仿宋_GB2312" w:cs="仿宋_GB2312"/>
                <w:sz w:val="24"/>
                <w:szCs w:val="24"/>
              </w:rPr>
            </w:pPr>
          </w:p>
        </w:tc>
        <w:tc>
          <w:tcPr>
            <w:tcW w:w="7326" w:type="dxa"/>
            <w:tcBorders>
              <w:top w:val="single" w:color="auto" w:sz="4" w:space="0"/>
            </w:tcBorders>
          </w:tcPr>
          <w:tbl>
            <w:tblPr>
              <w:tblStyle w:val="8"/>
              <w:tblW w:w="7647" w:type="dxa"/>
              <w:tblInd w:w="0" w:type="dxa"/>
              <w:tblLayout w:type="fixed"/>
              <w:tblCellMar>
                <w:top w:w="0" w:type="dxa"/>
                <w:left w:w="108" w:type="dxa"/>
                <w:bottom w:w="0" w:type="dxa"/>
                <w:right w:w="108" w:type="dxa"/>
              </w:tblCellMar>
            </w:tblPr>
            <w:tblGrid>
              <w:gridCol w:w="7647"/>
            </w:tblGrid>
            <w:tr>
              <w:tblPrEx>
                <w:tblLayout w:type="fixed"/>
                <w:tblCellMar>
                  <w:top w:w="0" w:type="dxa"/>
                  <w:left w:w="108" w:type="dxa"/>
                  <w:bottom w:w="0" w:type="dxa"/>
                  <w:right w:w="108" w:type="dxa"/>
                </w:tblCellMar>
              </w:tblPrEx>
              <w:trPr>
                <w:trHeight w:val="157" w:hRule="atLeast"/>
              </w:trPr>
              <w:tc>
                <w:tcPr>
                  <w:tcW w:w="7647" w:type="dxa"/>
                </w:tcPr>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 xml:space="preserve">选手应了解和理解： </w:t>
                  </w:r>
                </w:p>
              </w:tc>
            </w:tr>
            <w:tr>
              <w:tblPrEx>
                <w:tblLayout w:type="fixed"/>
                <w:tblCellMar>
                  <w:top w:w="0" w:type="dxa"/>
                  <w:left w:w="108" w:type="dxa"/>
                  <w:bottom w:w="0" w:type="dxa"/>
                  <w:right w:w="108" w:type="dxa"/>
                </w:tblCellMar>
              </w:tblPrEx>
              <w:trPr>
                <w:trHeight w:val="1602" w:hRule="atLeast"/>
              </w:trPr>
              <w:tc>
                <w:tcPr>
                  <w:tcW w:w="7647" w:type="dxa"/>
                </w:tcPr>
                <w:p>
                  <w:pPr>
                    <w:pStyle w:val="11"/>
                    <w:numPr>
                      <w:ilvl w:val="0"/>
                      <w:numId w:val="14"/>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跨学科科学性质</w:t>
                  </w:r>
                </w:p>
                <w:p>
                  <w:pPr>
                    <w:pStyle w:val="11"/>
                    <w:numPr>
                      <w:ilvl w:val="0"/>
                      <w:numId w:val="14"/>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应用化学在科学发展中的作用</w:t>
                  </w:r>
                </w:p>
                <w:p>
                  <w:pPr>
                    <w:pStyle w:val="11"/>
                    <w:numPr>
                      <w:ilvl w:val="0"/>
                      <w:numId w:val="14"/>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数字化的影响越来越大</w:t>
                  </w:r>
                </w:p>
                <w:p>
                  <w:pPr>
                    <w:pStyle w:val="11"/>
                    <w:numPr>
                      <w:ilvl w:val="0"/>
                      <w:numId w:val="14"/>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可持续发展越来越重要</w:t>
                  </w:r>
                </w:p>
                <w:p>
                  <w:pPr>
                    <w:pStyle w:val="11"/>
                    <w:numPr>
                      <w:ilvl w:val="0"/>
                      <w:numId w:val="14"/>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科学发展中可能出现的新道德问题</w:t>
                  </w:r>
                </w:p>
              </w:tc>
            </w:tr>
          </w:tbl>
          <w:p>
            <w:pPr>
              <w:pStyle w:val="11"/>
              <w:adjustRightInd/>
              <w:ind w:left="880"/>
              <w:jc w:val="both"/>
              <w:rPr>
                <w:rFonts w:ascii="仿宋_GB2312" w:hAnsi="仿宋_GB2312" w:eastAsia="仿宋_GB2312" w:cs="仿宋_GB2312"/>
                <w:color w:val="auto"/>
              </w:rPr>
            </w:pPr>
          </w:p>
        </w:tc>
        <w:tc>
          <w:tcPr>
            <w:tcW w:w="1275" w:type="dxa"/>
            <w:tcBorders>
              <w:top w:val="single" w:color="auto" w:sz="4" w:space="0"/>
            </w:tcBorders>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tcBorders>
              <w:bottom w:val="single" w:color="auto" w:sz="4" w:space="0"/>
            </w:tcBorders>
          </w:tcPr>
          <w:p>
            <w:pPr>
              <w:rPr>
                <w:rFonts w:ascii="仿宋_GB2312" w:hAnsi="仿宋_GB2312" w:eastAsia="仿宋_GB2312" w:cs="仿宋_GB2312"/>
                <w:sz w:val="24"/>
                <w:szCs w:val="24"/>
              </w:rPr>
            </w:pPr>
          </w:p>
        </w:tc>
        <w:tc>
          <w:tcPr>
            <w:tcW w:w="7326" w:type="dxa"/>
            <w:tcBorders>
              <w:bottom w:val="single" w:color="auto" w:sz="4" w:space="0"/>
            </w:tcBorders>
          </w:tcPr>
          <w:tbl>
            <w:tblPr>
              <w:tblStyle w:val="8"/>
              <w:tblW w:w="7647" w:type="dxa"/>
              <w:tblInd w:w="0" w:type="dxa"/>
              <w:tblLayout w:type="fixed"/>
              <w:tblCellMar>
                <w:top w:w="0" w:type="dxa"/>
                <w:left w:w="108" w:type="dxa"/>
                <w:bottom w:w="0" w:type="dxa"/>
                <w:right w:w="108" w:type="dxa"/>
              </w:tblCellMar>
            </w:tblPr>
            <w:tblGrid>
              <w:gridCol w:w="7647"/>
            </w:tblGrid>
            <w:tr>
              <w:tblPrEx>
                <w:tblLayout w:type="fixed"/>
                <w:tblCellMar>
                  <w:top w:w="0" w:type="dxa"/>
                  <w:left w:w="108" w:type="dxa"/>
                  <w:bottom w:w="0" w:type="dxa"/>
                  <w:right w:w="108" w:type="dxa"/>
                </w:tblCellMar>
              </w:tblPrEx>
              <w:trPr>
                <w:trHeight w:val="99" w:hRule="atLeast"/>
              </w:trPr>
              <w:tc>
                <w:tcPr>
                  <w:tcW w:w="7647" w:type="dxa"/>
                </w:tcPr>
                <w:p>
                  <w:pPr>
                    <w:pStyle w:val="11"/>
                    <w:adjustRightInd/>
                    <w:jc w:val="both"/>
                    <w:rPr>
                      <w:rFonts w:ascii="仿宋_GB2312" w:hAnsi="仿宋_GB2312" w:eastAsia="仿宋_GB2312" w:cs="仿宋_GB2312"/>
                      <w:color w:val="auto"/>
                    </w:rPr>
                  </w:pPr>
                  <w:r>
                    <w:rPr>
                      <w:rFonts w:hint="eastAsia" w:ascii="仿宋_GB2312" w:hAnsi="仿宋_GB2312" w:eastAsia="仿宋_GB2312" w:cs="仿宋_GB2312"/>
                      <w:color w:val="auto"/>
                    </w:rPr>
                    <w:t>选手应能够：</w:t>
                  </w:r>
                </w:p>
              </w:tc>
            </w:tr>
            <w:tr>
              <w:tblPrEx>
                <w:tblLayout w:type="fixed"/>
                <w:tblCellMar>
                  <w:top w:w="0" w:type="dxa"/>
                  <w:left w:w="108" w:type="dxa"/>
                  <w:bottom w:w="0" w:type="dxa"/>
                  <w:right w:w="108" w:type="dxa"/>
                </w:tblCellMar>
              </w:tblPrEx>
              <w:trPr>
                <w:trHeight w:val="2696" w:hRule="atLeast"/>
              </w:trPr>
              <w:tc>
                <w:tcPr>
                  <w:tcW w:w="7647" w:type="dxa"/>
                </w:tcPr>
                <w:p>
                  <w:pPr>
                    <w:pStyle w:val="11"/>
                    <w:numPr>
                      <w:ilvl w:val="0"/>
                      <w:numId w:val="14"/>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安装、调试和测试自动化实验室系统</w:t>
                  </w:r>
                </w:p>
                <w:p>
                  <w:pPr>
                    <w:pStyle w:val="11"/>
                    <w:numPr>
                      <w:ilvl w:val="0"/>
                      <w:numId w:val="14"/>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 xml:space="preserve">安装和配置程序 </w:t>
                  </w:r>
                </w:p>
                <w:p>
                  <w:pPr>
                    <w:pStyle w:val="11"/>
                    <w:numPr>
                      <w:ilvl w:val="0"/>
                      <w:numId w:val="14"/>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开发简单的程序</w:t>
                  </w:r>
                </w:p>
                <w:p>
                  <w:pPr>
                    <w:pStyle w:val="11"/>
                    <w:numPr>
                      <w:ilvl w:val="0"/>
                      <w:numId w:val="14"/>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打开、关闭和操作自动化实验室系统</w:t>
                  </w:r>
                </w:p>
                <w:p>
                  <w:pPr>
                    <w:pStyle w:val="11"/>
                    <w:numPr>
                      <w:ilvl w:val="0"/>
                      <w:numId w:val="14"/>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优化和实施自动化实验室系统的调整和变更</w:t>
                  </w:r>
                </w:p>
                <w:p>
                  <w:pPr>
                    <w:pStyle w:val="11"/>
                    <w:numPr>
                      <w:ilvl w:val="0"/>
                      <w:numId w:val="14"/>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 xml:space="preserve">维护和保养自动化实验室系统 </w:t>
                  </w:r>
                </w:p>
                <w:p>
                  <w:pPr>
                    <w:pStyle w:val="11"/>
                    <w:numPr>
                      <w:ilvl w:val="0"/>
                      <w:numId w:val="14"/>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系统地搜索、定位和消除自动化实验室系统的错误、缺陷和故障</w:t>
                  </w:r>
                </w:p>
                <w:p>
                  <w:pPr>
                    <w:pStyle w:val="11"/>
                    <w:numPr>
                      <w:ilvl w:val="0"/>
                      <w:numId w:val="14"/>
                    </w:numPr>
                    <w:adjustRightInd/>
                    <w:ind w:left="773" w:hanging="318"/>
                    <w:jc w:val="both"/>
                    <w:rPr>
                      <w:rFonts w:ascii="仿宋_GB2312" w:hAnsi="仿宋_GB2312" w:eastAsia="仿宋_GB2312" w:cs="仿宋_GB2312"/>
                      <w:color w:val="auto"/>
                    </w:rPr>
                  </w:pPr>
                  <w:r>
                    <w:rPr>
                      <w:rFonts w:hint="eastAsia" w:ascii="仿宋_GB2312" w:hAnsi="仿宋_GB2312" w:eastAsia="仿宋_GB2312" w:cs="仿宋_GB2312"/>
                      <w:color w:val="auto"/>
                    </w:rPr>
                    <w:t>适当响应变更并改变管理流程</w:t>
                  </w:r>
                </w:p>
              </w:tc>
            </w:tr>
          </w:tbl>
          <w:p>
            <w:pPr>
              <w:rPr>
                <w:rFonts w:ascii="仿宋_GB2312" w:hAnsi="仿宋_GB2312" w:eastAsia="仿宋_GB2312" w:cs="仿宋_GB2312"/>
                <w:sz w:val="24"/>
                <w:szCs w:val="24"/>
              </w:rPr>
            </w:pPr>
          </w:p>
        </w:tc>
        <w:tc>
          <w:tcPr>
            <w:tcW w:w="1275" w:type="dxa"/>
            <w:tcBorders>
              <w:bottom w:val="single" w:color="auto" w:sz="4" w:space="0"/>
            </w:tcBorders>
          </w:tcPr>
          <w:p>
            <w:pP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shd w:val="clear" w:color="auto" w:fill="EEECE1"/>
            <w:vAlign w:val="center"/>
          </w:tcPr>
          <w:p>
            <w:pPr>
              <w:rPr>
                <w:rFonts w:ascii="仿宋_GB2312" w:hAnsi="仿宋_GB2312" w:eastAsia="仿宋_GB2312" w:cs="仿宋_GB2312"/>
                <w:sz w:val="24"/>
                <w:szCs w:val="24"/>
              </w:rPr>
            </w:pPr>
          </w:p>
        </w:tc>
        <w:tc>
          <w:tcPr>
            <w:tcW w:w="7326" w:type="dxa"/>
            <w:shd w:val="clear" w:color="auto" w:fill="EEECE1"/>
            <w:vAlign w:val="center"/>
          </w:tcPr>
          <w:p>
            <w:pPr>
              <w:ind w:left="1"/>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1275" w:type="dxa"/>
            <w:shd w:val="clear" w:color="auto" w:fill="EEECE1"/>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w:t>
            </w:r>
          </w:p>
        </w:tc>
      </w:tr>
    </w:tbl>
    <w:p>
      <w:pPr>
        <w:rPr>
          <w:rFonts w:eastAsia="PMingLiU"/>
          <w:lang w:eastAsia="zh-TW"/>
        </w:rPr>
      </w:pPr>
    </w:p>
    <w:p>
      <w:pPr>
        <w:widowControl/>
        <w:jc w:val="left"/>
        <w:rPr>
          <w:rFonts w:eastAsia="PMingLiU"/>
          <w:lang w:eastAsia="zh-TW"/>
        </w:rPr>
      </w:pPr>
      <w:r>
        <w:rPr>
          <w:rFonts w:eastAsia="PMingLiU"/>
          <w:lang w:eastAsia="zh-TW"/>
        </w:rPr>
        <w:br w:type="page"/>
      </w:r>
    </w:p>
    <w:p>
      <w:pPr>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lang w:eastAsia="zh-TW"/>
        </w:rPr>
        <w:t>附件</w:t>
      </w:r>
      <w:r>
        <w:rPr>
          <w:rFonts w:hint="eastAsia" w:ascii="仿宋_GB2312" w:hAnsi="仿宋_GB2312" w:eastAsia="仿宋_GB2312" w:cs="仿宋_GB2312"/>
          <w:b w:val="0"/>
          <w:bCs/>
          <w:sz w:val="30"/>
          <w:szCs w:val="30"/>
        </w:rPr>
        <w:t xml:space="preserve">2 </w:t>
      </w:r>
    </w:p>
    <w:p>
      <w:pPr>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竞赛样题</w:t>
      </w:r>
    </w:p>
    <w:p>
      <w:pPr>
        <w:pStyle w:val="2"/>
        <w:pageBreakBefore w:val="0"/>
        <w:kinsoku/>
        <w:wordWrap/>
        <w:overflowPunct/>
        <w:topLinePunct w:val="0"/>
        <w:autoSpaceDE/>
        <w:autoSpaceDN/>
        <w:bidi w:val="0"/>
        <w:spacing w:line="560" w:lineRule="exact"/>
        <w:jc w:val="center"/>
        <w:textAlignment w:val="auto"/>
        <w:rPr>
          <w:rFonts w:hint="eastAsia" w:ascii="黑体" w:hAnsi="黑体" w:eastAsia="黑体"/>
          <w:b w:val="0"/>
          <w:sz w:val="30"/>
          <w:szCs w:val="30"/>
        </w:rPr>
      </w:pPr>
      <w:r>
        <w:rPr>
          <w:rFonts w:hint="eastAsia" w:ascii="黑体" w:hAnsi="黑体" w:eastAsia="黑体"/>
          <w:b w:val="0"/>
          <w:sz w:val="30"/>
          <w:szCs w:val="30"/>
        </w:rPr>
        <w:t>A模块：样品中金属组分（钴或镍）含量的测定</w:t>
      </w:r>
    </w:p>
    <w:p>
      <w:pPr>
        <w:pStyle w:val="4"/>
        <w:keepNext w:val="0"/>
        <w:keepLines w:val="0"/>
        <w:pageBreakBefore w:val="0"/>
        <w:widowControl w:val="0"/>
        <w:numPr>
          <w:ilvl w:val="0"/>
          <w:numId w:val="16"/>
        </w:numPr>
        <w:kinsoku/>
        <w:wordWrap/>
        <w:overflowPunct/>
        <w:topLinePunct w:val="0"/>
        <w:autoSpaceDE/>
        <w:autoSpaceDN/>
        <w:bidi w:val="0"/>
        <w:adjustRightInd w:val="0"/>
        <w:snapToGrid w:val="0"/>
        <w:spacing w:after="0" w:line="560" w:lineRule="exact"/>
        <w:textAlignment w:val="auto"/>
        <w:rPr>
          <w:rFonts w:ascii="仿宋_GB2312" w:hAnsi="宋体" w:eastAsia="仿宋_GB2312" w:cs="宋体"/>
          <w:sz w:val="30"/>
          <w:szCs w:val="30"/>
        </w:rPr>
      </w:pPr>
      <w:r>
        <w:rPr>
          <w:rFonts w:hint="eastAsia" w:ascii="仿宋_GB2312" w:hAnsi="宋体" w:eastAsia="仿宋_GB2312" w:cs="宋体"/>
          <w:sz w:val="30"/>
          <w:szCs w:val="30"/>
        </w:rPr>
        <w:t>健康和安全</w:t>
      </w:r>
    </w:p>
    <w:p>
      <w:pPr>
        <w:pStyle w:val="4"/>
        <w:keepNext w:val="0"/>
        <w:keepLines w:val="0"/>
        <w:pageBreakBefore w:val="0"/>
        <w:kinsoku/>
        <w:wordWrap/>
        <w:overflowPunct/>
        <w:topLinePunct w:val="0"/>
        <w:autoSpaceDE/>
        <w:autoSpaceDN/>
        <w:bidi w:val="0"/>
        <w:adjustRightInd w:val="0"/>
        <w:snapToGrid w:val="0"/>
        <w:spacing w:line="560" w:lineRule="exact"/>
        <w:ind w:left="405" w:leftChars="193" w:firstLine="600" w:firstLineChars="200"/>
        <w:textAlignment w:val="auto"/>
        <w:rPr>
          <w:rFonts w:ascii="仿宋_GB2312" w:hAnsi="宋体" w:eastAsia="仿宋_GB2312" w:cs="宋体"/>
          <w:sz w:val="30"/>
          <w:szCs w:val="30"/>
        </w:rPr>
      </w:pPr>
      <w:r>
        <w:rPr>
          <w:rFonts w:hint="eastAsia" w:ascii="仿宋_GB2312" w:hAnsi="宋体" w:eastAsia="仿宋_GB2312" w:cs="宋体"/>
          <w:sz w:val="30"/>
          <w:szCs w:val="30"/>
        </w:rPr>
        <w:t>请描述本模块涉及的健康和安全问题及预防措施。</w:t>
      </w:r>
    </w:p>
    <w:p>
      <w:pPr>
        <w:pStyle w:val="4"/>
        <w:keepNext w:val="0"/>
        <w:keepLines w:val="0"/>
        <w:pageBreakBefore w:val="0"/>
        <w:widowControl w:val="0"/>
        <w:numPr>
          <w:ilvl w:val="0"/>
          <w:numId w:val="16"/>
        </w:numPr>
        <w:kinsoku/>
        <w:wordWrap/>
        <w:overflowPunct/>
        <w:topLinePunct w:val="0"/>
        <w:autoSpaceDE/>
        <w:autoSpaceDN/>
        <w:bidi w:val="0"/>
        <w:adjustRightInd w:val="0"/>
        <w:snapToGrid w:val="0"/>
        <w:spacing w:after="0" w:line="560" w:lineRule="exact"/>
        <w:textAlignment w:val="auto"/>
        <w:rPr>
          <w:rFonts w:ascii="仿宋_GB2312" w:hAnsi="宋体" w:eastAsia="仿宋_GB2312" w:cs="宋体"/>
          <w:sz w:val="30"/>
          <w:szCs w:val="30"/>
        </w:rPr>
      </w:pPr>
      <w:r>
        <w:rPr>
          <w:rFonts w:hint="eastAsia" w:ascii="仿宋_GB2312" w:hAnsi="宋体" w:eastAsia="仿宋_GB2312" w:cs="宋体"/>
          <w:sz w:val="30"/>
          <w:szCs w:val="30"/>
        </w:rPr>
        <w:t>环保</w:t>
      </w:r>
    </w:p>
    <w:p>
      <w:pPr>
        <w:pStyle w:val="4"/>
        <w:keepNext w:val="0"/>
        <w:keepLines w:val="0"/>
        <w:pageBreakBefore w:val="0"/>
        <w:kinsoku/>
        <w:wordWrap/>
        <w:overflowPunct/>
        <w:topLinePunct w:val="0"/>
        <w:autoSpaceDE/>
        <w:autoSpaceDN/>
        <w:bidi w:val="0"/>
        <w:adjustRightInd w:val="0"/>
        <w:snapToGrid w:val="0"/>
        <w:spacing w:line="560" w:lineRule="exact"/>
        <w:ind w:left="405" w:leftChars="193" w:firstLine="600" w:firstLineChars="200"/>
        <w:textAlignment w:val="auto"/>
        <w:rPr>
          <w:rFonts w:ascii="仿宋_GB2312" w:hAnsi="宋体" w:eastAsia="仿宋_GB2312" w:cs="宋体"/>
          <w:sz w:val="30"/>
          <w:szCs w:val="30"/>
        </w:rPr>
      </w:pPr>
      <w:r>
        <w:rPr>
          <w:rFonts w:hint="eastAsia" w:ascii="仿宋_GB2312" w:hAnsi="宋体" w:eastAsia="仿宋_GB2312" w:cs="宋体"/>
          <w:sz w:val="30"/>
          <w:szCs w:val="30"/>
        </w:rPr>
        <w:t>请描述本模块可能产生的环保隐患和所需采取的预防措施。</w:t>
      </w:r>
    </w:p>
    <w:p>
      <w:pPr>
        <w:pStyle w:val="4"/>
        <w:keepNext w:val="0"/>
        <w:keepLines w:val="0"/>
        <w:pageBreakBefore w:val="0"/>
        <w:widowControl w:val="0"/>
        <w:numPr>
          <w:ilvl w:val="0"/>
          <w:numId w:val="16"/>
        </w:numPr>
        <w:kinsoku/>
        <w:wordWrap/>
        <w:overflowPunct/>
        <w:topLinePunct w:val="0"/>
        <w:autoSpaceDE/>
        <w:autoSpaceDN/>
        <w:bidi w:val="0"/>
        <w:adjustRightInd w:val="0"/>
        <w:snapToGrid w:val="0"/>
        <w:spacing w:after="0" w:line="560" w:lineRule="exact"/>
        <w:textAlignment w:val="auto"/>
        <w:rPr>
          <w:rFonts w:ascii="仿宋_GB2312" w:hAnsi="宋体" w:eastAsia="仿宋_GB2312" w:cs="宋体"/>
          <w:sz w:val="30"/>
          <w:szCs w:val="30"/>
        </w:rPr>
      </w:pPr>
      <w:r>
        <w:rPr>
          <w:rFonts w:hint="eastAsia" w:ascii="仿宋_GB2312" w:hAnsi="宋体" w:eastAsia="仿宋_GB2312" w:cs="宋体"/>
          <w:sz w:val="30"/>
          <w:szCs w:val="30"/>
        </w:rPr>
        <w:t>基本原理</w:t>
      </w:r>
    </w:p>
    <w:p>
      <w:pPr>
        <w:pStyle w:val="4"/>
        <w:keepNext w:val="0"/>
        <w:keepLines w:val="0"/>
        <w:pageBreakBefore w:val="0"/>
        <w:kinsoku/>
        <w:wordWrap/>
        <w:overflowPunct/>
        <w:topLinePunct w:val="0"/>
        <w:autoSpaceDE/>
        <w:autoSpaceDN/>
        <w:bidi w:val="0"/>
        <w:adjustRightInd w:val="0"/>
        <w:snapToGrid w:val="0"/>
        <w:spacing w:line="560" w:lineRule="exact"/>
        <w:ind w:left="405" w:leftChars="193" w:firstLine="600" w:firstLineChars="200"/>
        <w:textAlignment w:val="auto"/>
        <w:rPr>
          <w:rFonts w:ascii="仿宋_GB2312" w:hAnsi="宋体" w:eastAsia="仿宋_GB2312" w:cs="宋体"/>
          <w:sz w:val="30"/>
          <w:szCs w:val="30"/>
        </w:rPr>
      </w:pPr>
      <w:r>
        <w:rPr>
          <w:rFonts w:hint="eastAsia" w:ascii="仿宋_GB2312" w:hAnsi="宋体" w:eastAsia="仿宋_GB2312" w:cs="宋体"/>
          <w:sz w:val="30"/>
          <w:szCs w:val="30"/>
        </w:rPr>
        <w:t>在碱性条件下，以紫脲酸铵为指示剂，用乙二胺四乙酸二钠标准滴定溶液对样品中的金属组分（钴或镍）含量进行定量测定。</w:t>
      </w:r>
    </w:p>
    <w:p>
      <w:pPr>
        <w:pStyle w:val="4"/>
        <w:keepNext w:val="0"/>
        <w:keepLines w:val="0"/>
        <w:pageBreakBefore w:val="0"/>
        <w:widowControl w:val="0"/>
        <w:numPr>
          <w:ilvl w:val="0"/>
          <w:numId w:val="16"/>
        </w:numPr>
        <w:kinsoku/>
        <w:wordWrap/>
        <w:overflowPunct/>
        <w:topLinePunct w:val="0"/>
        <w:autoSpaceDE/>
        <w:autoSpaceDN/>
        <w:bidi w:val="0"/>
        <w:adjustRightInd w:val="0"/>
        <w:snapToGrid w:val="0"/>
        <w:spacing w:after="0" w:line="560" w:lineRule="exact"/>
        <w:textAlignment w:val="auto"/>
        <w:rPr>
          <w:rFonts w:ascii="仿宋_GB2312" w:hAnsi="宋体" w:eastAsia="仿宋_GB2312" w:cs="宋体"/>
          <w:sz w:val="30"/>
          <w:szCs w:val="30"/>
        </w:rPr>
      </w:pPr>
      <w:r>
        <w:rPr>
          <w:rFonts w:hint="eastAsia" w:ascii="仿宋_GB2312" w:hAnsi="宋体" w:eastAsia="仿宋_GB2312" w:cs="宋体"/>
          <w:sz w:val="30"/>
          <w:szCs w:val="30"/>
        </w:rPr>
        <w:t>目标</w:t>
      </w:r>
    </w:p>
    <w:p>
      <w:pPr>
        <w:pStyle w:val="4"/>
        <w:keepNext w:val="0"/>
        <w:keepLines w:val="0"/>
        <w:pageBreakBefore w:val="0"/>
        <w:widowControl w:val="0"/>
        <w:numPr>
          <w:ilvl w:val="0"/>
          <w:numId w:val="17"/>
        </w:numPr>
        <w:kinsoku/>
        <w:wordWrap/>
        <w:overflowPunct/>
        <w:topLinePunct w:val="0"/>
        <w:autoSpaceDE/>
        <w:autoSpaceDN/>
        <w:bidi w:val="0"/>
        <w:adjustRightInd w:val="0"/>
        <w:snapToGrid w:val="0"/>
        <w:spacing w:after="0" w:line="560" w:lineRule="exact"/>
        <w:ind w:left="1276" w:hanging="283"/>
        <w:textAlignment w:val="auto"/>
        <w:rPr>
          <w:rFonts w:ascii="仿宋_GB2312" w:hAnsi="宋体" w:eastAsia="仿宋_GB2312" w:cs="宋体"/>
          <w:sz w:val="30"/>
          <w:szCs w:val="30"/>
        </w:rPr>
      </w:pPr>
      <w:r>
        <w:rPr>
          <w:rFonts w:hint="eastAsia" w:ascii="仿宋_GB2312" w:hAnsi="宋体" w:eastAsia="仿宋_GB2312" w:cs="宋体"/>
          <w:sz w:val="30"/>
          <w:szCs w:val="30"/>
        </w:rPr>
        <w:t>配制指定的实验试剂溶液</w:t>
      </w:r>
    </w:p>
    <w:p>
      <w:pPr>
        <w:pStyle w:val="4"/>
        <w:keepNext w:val="0"/>
        <w:keepLines w:val="0"/>
        <w:pageBreakBefore w:val="0"/>
        <w:widowControl w:val="0"/>
        <w:numPr>
          <w:ilvl w:val="0"/>
          <w:numId w:val="17"/>
        </w:numPr>
        <w:kinsoku/>
        <w:wordWrap/>
        <w:overflowPunct/>
        <w:topLinePunct w:val="0"/>
        <w:autoSpaceDE/>
        <w:autoSpaceDN/>
        <w:bidi w:val="0"/>
        <w:adjustRightInd w:val="0"/>
        <w:snapToGrid w:val="0"/>
        <w:spacing w:after="0" w:line="560" w:lineRule="exact"/>
        <w:ind w:left="1276" w:hanging="283"/>
        <w:textAlignment w:val="auto"/>
        <w:rPr>
          <w:rFonts w:ascii="仿宋_GB2312" w:hAnsi="宋体" w:eastAsia="仿宋_GB2312" w:cs="宋体"/>
          <w:sz w:val="30"/>
          <w:szCs w:val="30"/>
        </w:rPr>
      </w:pPr>
      <w:r>
        <w:rPr>
          <w:rFonts w:hint="eastAsia" w:ascii="仿宋_GB2312" w:hAnsi="宋体" w:eastAsia="仿宋_GB2312" w:cs="宋体"/>
          <w:sz w:val="30"/>
          <w:szCs w:val="30"/>
        </w:rPr>
        <w:t>标定乙二胺四乙酸二钠标准滴定溶液</w:t>
      </w:r>
    </w:p>
    <w:p>
      <w:pPr>
        <w:pStyle w:val="4"/>
        <w:keepNext w:val="0"/>
        <w:keepLines w:val="0"/>
        <w:pageBreakBefore w:val="0"/>
        <w:widowControl w:val="0"/>
        <w:numPr>
          <w:ilvl w:val="0"/>
          <w:numId w:val="17"/>
        </w:numPr>
        <w:kinsoku/>
        <w:wordWrap/>
        <w:overflowPunct/>
        <w:topLinePunct w:val="0"/>
        <w:autoSpaceDE/>
        <w:autoSpaceDN/>
        <w:bidi w:val="0"/>
        <w:adjustRightInd w:val="0"/>
        <w:snapToGrid w:val="0"/>
        <w:spacing w:after="0" w:line="560" w:lineRule="exact"/>
        <w:ind w:left="1276" w:hanging="283"/>
        <w:textAlignment w:val="auto"/>
        <w:rPr>
          <w:rFonts w:ascii="仿宋_GB2312" w:hAnsi="宋体" w:eastAsia="仿宋_GB2312" w:cs="宋体"/>
          <w:sz w:val="30"/>
          <w:szCs w:val="30"/>
        </w:rPr>
      </w:pPr>
      <w:r>
        <w:rPr>
          <w:rFonts w:hint="eastAsia" w:ascii="仿宋_GB2312" w:hAnsi="宋体" w:eastAsia="仿宋_GB2312" w:cs="宋体"/>
          <w:sz w:val="30"/>
          <w:szCs w:val="30"/>
        </w:rPr>
        <w:t>测定样品中的金属组分（钴或镍）含量</w:t>
      </w:r>
    </w:p>
    <w:p>
      <w:pPr>
        <w:pStyle w:val="4"/>
        <w:keepNext w:val="0"/>
        <w:keepLines w:val="0"/>
        <w:pageBreakBefore w:val="0"/>
        <w:widowControl w:val="0"/>
        <w:numPr>
          <w:ilvl w:val="0"/>
          <w:numId w:val="17"/>
        </w:numPr>
        <w:kinsoku/>
        <w:wordWrap/>
        <w:overflowPunct/>
        <w:topLinePunct w:val="0"/>
        <w:autoSpaceDE/>
        <w:autoSpaceDN/>
        <w:bidi w:val="0"/>
        <w:adjustRightInd w:val="0"/>
        <w:snapToGrid w:val="0"/>
        <w:spacing w:after="0" w:line="560" w:lineRule="exact"/>
        <w:ind w:left="1276" w:hanging="283"/>
        <w:textAlignment w:val="auto"/>
        <w:rPr>
          <w:rFonts w:ascii="仿宋_GB2312" w:hAnsi="宋体" w:eastAsia="仿宋_GB2312" w:cs="宋体"/>
          <w:sz w:val="30"/>
          <w:szCs w:val="30"/>
        </w:rPr>
      </w:pPr>
      <w:r>
        <w:rPr>
          <w:rFonts w:hint="eastAsia" w:ascii="仿宋_GB2312" w:hAnsi="宋体" w:eastAsia="仿宋_GB2312" w:cs="宋体"/>
          <w:sz w:val="30"/>
          <w:szCs w:val="30"/>
        </w:rPr>
        <w:t>完成报告</w:t>
      </w:r>
    </w:p>
    <w:p>
      <w:pPr>
        <w:pStyle w:val="4"/>
        <w:keepNext w:val="0"/>
        <w:keepLines w:val="0"/>
        <w:pageBreakBefore w:val="0"/>
        <w:kinsoku/>
        <w:wordWrap/>
        <w:overflowPunct/>
        <w:topLinePunct w:val="0"/>
        <w:autoSpaceDE/>
        <w:autoSpaceDN/>
        <w:bidi w:val="0"/>
        <w:adjustRightInd w:val="0"/>
        <w:snapToGrid w:val="0"/>
        <w:spacing w:line="560" w:lineRule="exact"/>
        <w:ind w:left="405" w:leftChars="193" w:firstLine="600" w:firstLineChars="200"/>
        <w:textAlignment w:val="auto"/>
        <w:rPr>
          <w:rFonts w:ascii="仿宋_GB2312" w:eastAsia="仿宋_GB2312"/>
          <w:sz w:val="30"/>
          <w:szCs w:val="30"/>
        </w:rPr>
      </w:pPr>
      <w:r>
        <w:rPr>
          <w:rFonts w:hint="eastAsia" w:ascii="仿宋_GB2312" w:eastAsia="仿宋_GB2312"/>
          <w:sz w:val="30"/>
          <w:szCs w:val="30"/>
        </w:rPr>
        <w:t>完成工作的总时间210分钟。</w:t>
      </w:r>
    </w:p>
    <w:p>
      <w:pPr>
        <w:pStyle w:val="4"/>
        <w:keepNext w:val="0"/>
        <w:keepLines w:val="0"/>
        <w:pageBreakBefore w:val="0"/>
        <w:widowControl w:val="0"/>
        <w:numPr>
          <w:ilvl w:val="0"/>
          <w:numId w:val="16"/>
        </w:numPr>
        <w:kinsoku/>
        <w:wordWrap/>
        <w:overflowPunct/>
        <w:topLinePunct w:val="0"/>
        <w:autoSpaceDE/>
        <w:autoSpaceDN/>
        <w:bidi w:val="0"/>
        <w:adjustRightInd w:val="0"/>
        <w:snapToGrid w:val="0"/>
        <w:spacing w:after="0" w:line="560" w:lineRule="exact"/>
        <w:textAlignment w:val="auto"/>
        <w:rPr>
          <w:rFonts w:ascii="仿宋_GB2312" w:eastAsia="仿宋_GB2312"/>
          <w:sz w:val="30"/>
          <w:szCs w:val="30"/>
        </w:rPr>
      </w:pPr>
      <w:r>
        <w:rPr>
          <w:rFonts w:hint="eastAsia" w:ascii="仿宋_GB2312" w:eastAsia="仿宋_GB2312"/>
          <w:sz w:val="30"/>
          <w:szCs w:val="30"/>
        </w:rPr>
        <w:t>仪器设备、试剂和解决方案</w:t>
      </w:r>
    </w:p>
    <w:p>
      <w:pPr>
        <w:pStyle w:val="4"/>
        <w:keepNext w:val="0"/>
        <w:keepLines w:val="0"/>
        <w:pageBreakBefore w:val="0"/>
        <w:kinsoku/>
        <w:wordWrap/>
        <w:overflowPunct/>
        <w:topLinePunct w:val="0"/>
        <w:autoSpaceDE/>
        <w:autoSpaceDN/>
        <w:bidi w:val="0"/>
        <w:adjustRightInd w:val="0"/>
        <w:snapToGrid w:val="0"/>
        <w:spacing w:line="560" w:lineRule="exact"/>
        <w:ind w:left="405" w:leftChars="193" w:firstLine="600" w:firstLineChars="200"/>
        <w:textAlignment w:val="auto"/>
        <w:outlineLvl w:val="0"/>
        <w:rPr>
          <w:rFonts w:ascii="楷体_GB2312" w:eastAsia="楷体_GB2312"/>
          <w:bCs/>
          <w:sz w:val="30"/>
          <w:szCs w:val="30"/>
        </w:rPr>
      </w:pPr>
      <w:bookmarkStart w:id="10" w:name="_Toc30659"/>
      <w:r>
        <w:rPr>
          <w:rFonts w:hint="eastAsia" w:ascii="楷体_GB2312" w:eastAsia="楷体_GB2312"/>
          <w:bCs/>
          <w:sz w:val="30"/>
          <w:szCs w:val="30"/>
        </w:rPr>
        <w:t>1.仪器设备、试剂清单</w:t>
      </w:r>
      <w:bookmarkEnd w:id="10"/>
    </w:p>
    <w:tbl>
      <w:tblPr>
        <w:tblStyle w:val="8"/>
        <w:tblW w:w="88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Align w:val="center"/>
          </w:tcPr>
          <w:p>
            <w:pPr>
              <w:tabs>
                <w:tab w:val="left" w:pos="1134"/>
              </w:tabs>
              <w:adjustRightInd w:val="0"/>
              <w:snapToGrid w:val="0"/>
              <w:jc w:val="center"/>
              <w:textAlignment w:val="baseline"/>
              <w:rPr>
                <w:rFonts w:hint="eastAsia" w:ascii="黑体" w:hAnsi="黑体" w:eastAsia="黑体" w:cs="黑体"/>
                <w:bCs/>
                <w:spacing w:val="1"/>
                <w:kern w:val="0"/>
                <w:sz w:val="24"/>
                <w:szCs w:val="24"/>
              </w:rPr>
            </w:pPr>
            <w:r>
              <w:rPr>
                <w:rFonts w:hint="eastAsia" w:ascii="黑体" w:hAnsi="黑体" w:eastAsia="黑体" w:cs="黑体"/>
                <w:bCs/>
                <w:spacing w:val="1"/>
                <w:kern w:val="0"/>
                <w:sz w:val="24"/>
                <w:szCs w:val="24"/>
              </w:rPr>
              <w:t>主要设备</w:t>
            </w:r>
          </w:p>
        </w:tc>
        <w:tc>
          <w:tcPr>
            <w:tcW w:w="7316" w:type="dxa"/>
            <w:vAlign w:val="center"/>
          </w:tcPr>
          <w:p>
            <w:pPr>
              <w:pStyle w:val="17"/>
              <w:shd w:val="clear" w:color="auto" w:fill="FFFFFF"/>
              <w:tabs>
                <w:tab w:val="left" w:pos="1134"/>
              </w:tabs>
              <w:adjustRightInd w:val="0"/>
              <w:snapToGrid w:val="0"/>
              <w:spacing w:before="0" w:beforeAutospacing="0" w:after="0" w:afterAutospacing="0"/>
              <w:ind w:left="26"/>
              <w:jc w:val="both"/>
              <w:textAlignment w:val="baseline"/>
              <w:rPr>
                <w:rFonts w:hint="eastAsia" w:ascii="黑体" w:hAnsi="黑体" w:eastAsia="黑体" w:cs="黑体"/>
                <w:bCs/>
                <w:spacing w:val="1"/>
                <w:lang w:val="en-US" w:eastAsia="zh-CN"/>
              </w:rPr>
            </w:pPr>
            <w:r>
              <w:rPr>
                <w:rFonts w:hint="eastAsia" w:ascii="黑体" w:hAnsi="黑体" w:eastAsia="黑体" w:cs="黑体"/>
                <w:bCs/>
                <w:spacing w:val="1"/>
                <w:lang w:val="en-US" w:eastAsia="zh-CN"/>
              </w:rPr>
              <w:t>分析天平（精度0.1mg）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restart"/>
            <w:vAlign w:val="center"/>
          </w:tcPr>
          <w:p>
            <w:pPr>
              <w:tabs>
                <w:tab w:val="left" w:pos="1134"/>
              </w:tabs>
              <w:adjustRightInd w:val="0"/>
              <w:snapToGrid w:val="0"/>
              <w:jc w:val="center"/>
              <w:textAlignment w:val="baseline"/>
              <w:rPr>
                <w:rFonts w:ascii="仿宋_GB2312" w:eastAsia="仿宋_GB2312"/>
                <w:bCs/>
                <w:color w:val="000000"/>
                <w:spacing w:val="2"/>
                <w:kern w:val="0"/>
                <w:sz w:val="24"/>
                <w:szCs w:val="24"/>
              </w:rPr>
            </w:pPr>
            <w:r>
              <w:rPr>
                <w:rFonts w:hint="eastAsia" w:ascii="仿宋_GB2312" w:eastAsia="仿宋_GB2312"/>
                <w:bCs/>
                <w:color w:val="000000"/>
                <w:spacing w:val="2"/>
                <w:kern w:val="0"/>
                <w:sz w:val="24"/>
                <w:szCs w:val="24"/>
              </w:rPr>
              <w:t>玻璃器皿</w:t>
            </w:r>
          </w:p>
        </w:tc>
        <w:tc>
          <w:tcPr>
            <w:tcW w:w="7316" w:type="dxa"/>
            <w:vAlign w:val="center"/>
          </w:tcPr>
          <w:p>
            <w:pPr>
              <w:widowControl/>
              <w:shd w:val="clear" w:color="auto" w:fill="FFFFFF"/>
              <w:adjustRightInd w:val="0"/>
              <w:snapToGrid w:val="0"/>
              <w:ind w:left="26"/>
              <w:jc w:val="left"/>
              <w:textAlignment w:val="baseline"/>
              <w:rPr>
                <w:rFonts w:ascii="仿宋_GB2312" w:eastAsia="仿宋_GB2312"/>
                <w:sz w:val="24"/>
                <w:szCs w:val="24"/>
              </w:rPr>
            </w:pPr>
            <w:r>
              <w:rPr>
                <w:rFonts w:hint="eastAsia" w:ascii="仿宋_GB2312" w:hAnsi="仿宋" w:eastAsia="仿宋_GB2312" w:cs="仿宋"/>
                <w:color w:val="000000"/>
                <w:kern w:val="0"/>
                <w:sz w:val="24"/>
                <w:szCs w:val="24"/>
                <w:lang w:bidi="ar"/>
              </w:rPr>
              <w:t xml:space="preserve">容量瓶（250mL，4 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vAlign w:val="center"/>
          </w:tcPr>
          <w:p>
            <w:pPr>
              <w:tabs>
                <w:tab w:val="left" w:pos="1134"/>
              </w:tabs>
              <w:adjustRightInd w:val="0"/>
              <w:snapToGrid w:val="0"/>
              <w:jc w:val="center"/>
              <w:textAlignment w:val="baseline"/>
              <w:rPr>
                <w:rFonts w:ascii="仿宋_GB2312" w:eastAsia="仿宋_GB2312"/>
                <w:b/>
                <w:color w:val="000000"/>
                <w:spacing w:val="2"/>
                <w:kern w:val="0"/>
                <w:sz w:val="24"/>
                <w:szCs w:val="24"/>
              </w:rPr>
            </w:pPr>
          </w:p>
        </w:tc>
        <w:tc>
          <w:tcPr>
            <w:tcW w:w="7316" w:type="dxa"/>
            <w:vAlign w:val="center"/>
          </w:tcPr>
          <w:p>
            <w:pPr>
              <w:widowControl/>
              <w:shd w:val="clear" w:color="auto" w:fill="FFFFFF"/>
              <w:adjustRightInd w:val="0"/>
              <w:snapToGrid w:val="0"/>
              <w:ind w:left="26"/>
              <w:jc w:val="left"/>
              <w:textAlignment w:val="baseline"/>
              <w:rPr>
                <w:rFonts w:ascii="仿宋_GB2312" w:eastAsia="仿宋_GB2312"/>
                <w:sz w:val="24"/>
                <w:szCs w:val="24"/>
              </w:rPr>
            </w:pPr>
            <w:r>
              <w:rPr>
                <w:rFonts w:hint="eastAsia" w:ascii="仿宋_GB2312" w:hAnsi="仿宋" w:eastAsia="仿宋_GB2312" w:cs="仿宋"/>
                <w:color w:val="000000"/>
                <w:kern w:val="0"/>
                <w:sz w:val="24"/>
                <w:szCs w:val="24"/>
                <w:lang w:bidi="ar"/>
              </w:rPr>
              <w:t xml:space="preserve">滴定管（50mL，聚四氟乙烯塞，1 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vAlign w:val="center"/>
          </w:tcPr>
          <w:p>
            <w:pPr>
              <w:tabs>
                <w:tab w:val="left" w:pos="1134"/>
              </w:tabs>
              <w:adjustRightInd w:val="0"/>
              <w:snapToGrid w:val="0"/>
              <w:jc w:val="center"/>
              <w:textAlignment w:val="baseline"/>
              <w:rPr>
                <w:rFonts w:ascii="仿宋_GB2312" w:eastAsia="仿宋_GB2312"/>
                <w:b/>
                <w:color w:val="000000"/>
                <w:spacing w:val="2"/>
                <w:kern w:val="0"/>
                <w:sz w:val="24"/>
                <w:szCs w:val="24"/>
              </w:rPr>
            </w:pPr>
          </w:p>
        </w:tc>
        <w:tc>
          <w:tcPr>
            <w:tcW w:w="7316" w:type="dxa"/>
            <w:vAlign w:val="center"/>
          </w:tcPr>
          <w:p>
            <w:pPr>
              <w:widowControl/>
              <w:shd w:val="clear" w:color="auto" w:fill="FFFFFF"/>
              <w:adjustRightInd w:val="0"/>
              <w:snapToGrid w:val="0"/>
              <w:ind w:left="26"/>
              <w:jc w:val="left"/>
              <w:textAlignment w:val="baseline"/>
              <w:rPr>
                <w:rFonts w:ascii="仿宋_GB2312" w:eastAsia="仿宋_GB2312"/>
                <w:sz w:val="24"/>
                <w:szCs w:val="24"/>
              </w:rPr>
            </w:pPr>
            <w:r>
              <w:rPr>
                <w:rFonts w:hint="eastAsia" w:ascii="仿宋_GB2312" w:hAnsi="仿宋" w:eastAsia="仿宋_GB2312" w:cs="仿宋"/>
                <w:color w:val="000000"/>
                <w:kern w:val="0"/>
                <w:sz w:val="24"/>
                <w:szCs w:val="24"/>
                <w:lang w:bidi="ar"/>
              </w:rPr>
              <w:t xml:space="preserve">单标线吸量管（5mL、10mL、25mL，各 1 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vAlign w:val="center"/>
          </w:tcPr>
          <w:p>
            <w:pPr>
              <w:tabs>
                <w:tab w:val="left" w:pos="1134"/>
              </w:tabs>
              <w:adjustRightInd w:val="0"/>
              <w:snapToGrid w:val="0"/>
              <w:jc w:val="center"/>
              <w:textAlignment w:val="baseline"/>
              <w:rPr>
                <w:rFonts w:ascii="仿宋_GB2312" w:eastAsia="仿宋_GB2312"/>
                <w:b/>
                <w:color w:val="000000"/>
                <w:spacing w:val="2"/>
                <w:kern w:val="0"/>
                <w:sz w:val="24"/>
                <w:szCs w:val="24"/>
              </w:rPr>
            </w:pPr>
          </w:p>
        </w:tc>
        <w:tc>
          <w:tcPr>
            <w:tcW w:w="7316" w:type="dxa"/>
            <w:vAlign w:val="center"/>
          </w:tcPr>
          <w:p>
            <w:pPr>
              <w:widowControl/>
              <w:shd w:val="clear" w:color="auto" w:fill="FFFFFF"/>
              <w:adjustRightInd w:val="0"/>
              <w:snapToGrid w:val="0"/>
              <w:ind w:left="26"/>
              <w:jc w:val="left"/>
              <w:textAlignment w:val="baseline"/>
              <w:rPr>
                <w:rFonts w:ascii="仿宋_GB2312" w:eastAsia="仿宋_GB2312"/>
                <w:sz w:val="24"/>
                <w:szCs w:val="24"/>
              </w:rPr>
            </w:pPr>
            <w:r>
              <w:rPr>
                <w:rFonts w:hint="eastAsia" w:ascii="仿宋_GB2312" w:hAnsi="仿宋" w:eastAsia="仿宋_GB2312" w:cs="仿宋"/>
                <w:color w:val="000000"/>
                <w:kern w:val="0"/>
                <w:sz w:val="24"/>
                <w:szCs w:val="24"/>
                <w:lang w:bidi="ar"/>
              </w:rPr>
              <w:t xml:space="preserve">锥形瓶（250mL，8 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vAlign w:val="center"/>
          </w:tcPr>
          <w:p>
            <w:pPr>
              <w:tabs>
                <w:tab w:val="left" w:pos="1134"/>
              </w:tabs>
              <w:adjustRightInd w:val="0"/>
              <w:snapToGrid w:val="0"/>
              <w:jc w:val="center"/>
              <w:textAlignment w:val="baseline"/>
              <w:rPr>
                <w:rFonts w:ascii="仿宋_GB2312" w:eastAsia="仿宋_GB2312"/>
                <w:b/>
                <w:color w:val="000000"/>
                <w:spacing w:val="2"/>
                <w:kern w:val="0"/>
                <w:sz w:val="24"/>
                <w:szCs w:val="24"/>
              </w:rPr>
            </w:pPr>
          </w:p>
        </w:tc>
        <w:tc>
          <w:tcPr>
            <w:tcW w:w="7316" w:type="dxa"/>
            <w:vAlign w:val="center"/>
          </w:tcPr>
          <w:p>
            <w:pPr>
              <w:widowControl/>
              <w:shd w:val="clear" w:color="auto" w:fill="FFFFFF"/>
              <w:adjustRightInd w:val="0"/>
              <w:snapToGrid w:val="0"/>
              <w:ind w:left="26"/>
              <w:jc w:val="left"/>
              <w:textAlignment w:val="baseline"/>
              <w:rPr>
                <w:rFonts w:ascii="仿宋_GB2312" w:eastAsia="仿宋_GB2312"/>
                <w:sz w:val="24"/>
                <w:szCs w:val="24"/>
              </w:rPr>
            </w:pPr>
            <w:r>
              <w:rPr>
                <w:rFonts w:hint="eastAsia" w:ascii="仿宋_GB2312" w:hAnsi="仿宋" w:eastAsia="仿宋_GB2312" w:cs="仿宋"/>
                <w:color w:val="000000"/>
                <w:kern w:val="0"/>
                <w:sz w:val="24"/>
                <w:szCs w:val="24"/>
                <w:lang w:bidi="ar"/>
              </w:rPr>
              <w:t xml:space="preserve">量筒（5mL、10mL、25mL、100mL，各 1 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vAlign w:val="center"/>
          </w:tcPr>
          <w:p>
            <w:pPr>
              <w:tabs>
                <w:tab w:val="left" w:pos="1134"/>
              </w:tabs>
              <w:adjustRightInd w:val="0"/>
              <w:snapToGrid w:val="0"/>
              <w:jc w:val="center"/>
              <w:textAlignment w:val="baseline"/>
              <w:rPr>
                <w:rFonts w:ascii="仿宋_GB2312" w:eastAsia="仿宋_GB2312"/>
                <w:b/>
                <w:color w:val="000000"/>
                <w:spacing w:val="2"/>
                <w:kern w:val="0"/>
                <w:sz w:val="24"/>
                <w:szCs w:val="24"/>
              </w:rPr>
            </w:pPr>
          </w:p>
        </w:tc>
        <w:tc>
          <w:tcPr>
            <w:tcW w:w="7316" w:type="dxa"/>
            <w:vAlign w:val="center"/>
          </w:tcPr>
          <w:p>
            <w:pPr>
              <w:widowControl/>
              <w:shd w:val="clear" w:color="auto" w:fill="FFFFFF"/>
              <w:adjustRightInd w:val="0"/>
              <w:snapToGrid w:val="0"/>
              <w:ind w:left="26"/>
              <w:jc w:val="left"/>
              <w:textAlignment w:val="baseline"/>
              <w:rPr>
                <w:rFonts w:ascii="仿宋_GB2312" w:eastAsia="仿宋_GB2312"/>
                <w:sz w:val="24"/>
                <w:szCs w:val="24"/>
              </w:rPr>
            </w:pPr>
            <w:r>
              <w:rPr>
                <w:rFonts w:hint="eastAsia" w:ascii="仿宋_GB2312" w:hAnsi="仿宋" w:eastAsia="仿宋_GB2312" w:cs="仿宋"/>
                <w:color w:val="000000"/>
                <w:kern w:val="0"/>
                <w:sz w:val="24"/>
                <w:szCs w:val="24"/>
                <w:lang w:bidi="ar"/>
              </w:rPr>
              <w:t xml:space="preserve">烧杯（100mL，6 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exact"/>
          <w:jc w:val="center"/>
        </w:trPr>
        <w:tc>
          <w:tcPr>
            <w:tcW w:w="1555" w:type="dxa"/>
            <w:vMerge w:val="continue"/>
            <w:vAlign w:val="center"/>
          </w:tcPr>
          <w:p>
            <w:pPr>
              <w:tabs>
                <w:tab w:val="left" w:pos="1134"/>
              </w:tabs>
              <w:adjustRightInd w:val="0"/>
              <w:snapToGrid w:val="0"/>
              <w:jc w:val="center"/>
              <w:textAlignment w:val="baseline"/>
              <w:rPr>
                <w:rFonts w:ascii="仿宋_GB2312" w:eastAsia="仿宋_GB2312"/>
                <w:b/>
                <w:color w:val="000000"/>
                <w:spacing w:val="2"/>
                <w:kern w:val="0"/>
                <w:sz w:val="24"/>
                <w:szCs w:val="24"/>
              </w:rPr>
            </w:pPr>
          </w:p>
        </w:tc>
        <w:tc>
          <w:tcPr>
            <w:tcW w:w="7316" w:type="dxa"/>
            <w:vAlign w:val="center"/>
          </w:tcPr>
          <w:p>
            <w:pPr>
              <w:widowControl/>
              <w:shd w:val="clear" w:color="auto" w:fill="FFFFFF"/>
              <w:adjustRightInd w:val="0"/>
              <w:snapToGrid w:val="0"/>
              <w:ind w:left="26"/>
              <w:jc w:val="left"/>
              <w:textAlignment w:val="baseline"/>
              <w:rPr>
                <w:rFonts w:ascii="仿宋_GB2312" w:eastAsia="仿宋_GB2312"/>
                <w:sz w:val="24"/>
                <w:szCs w:val="24"/>
              </w:rPr>
            </w:pPr>
            <w:r>
              <w:rPr>
                <w:rFonts w:hint="eastAsia" w:ascii="仿宋_GB2312" w:hAnsi="仿宋" w:eastAsia="仿宋_GB2312" w:cs="仿宋"/>
                <w:color w:val="000000"/>
                <w:kern w:val="0"/>
                <w:sz w:val="24"/>
                <w:szCs w:val="24"/>
                <w:lang w:bidi="ar"/>
              </w:rPr>
              <w:t>实验室常见其他玻璃仪器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restart"/>
            <w:vAlign w:val="center"/>
          </w:tcPr>
          <w:p>
            <w:pPr>
              <w:tabs>
                <w:tab w:val="left" w:pos="1134"/>
              </w:tabs>
              <w:adjustRightInd w:val="0"/>
              <w:snapToGrid w:val="0"/>
              <w:jc w:val="center"/>
              <w:textAlignment w:val="baseline"/>
              <w:rPr>
                <w:rFonts w:ascii="仿宋_GB2312" w:eastAsia="仿宋_GB2312"/>
                <w:bCs/>
                <w:color w:val="000000"/>
                <w:spacing w:val="2"/>
                <w:kern w:val="0"/>
                <w:sz w:val="24"/>
                <w:szCs w:val="24"/>
              </w:rPr>
            </w:pPr>
            <w:r>
              <w:rPr>
                <w:rFonts w:hint="eastAsia" w:ascii="仿宋_GB2312" w:eastAsia="仿宋_GB2312"/>
                <w:bCs/>
                <w:color w:val="000000"/>
                <w:spacing w:val="2"/>
                <w:kern w:val="0"/>
                <w:sz w:val="24"/>
                <w:szCs w:val="24"/>
              </w:rPr>
              <w:t>试剂和溶液</w:t>
            </w:r>
          </w:p>
        </w:tc>
        <w:tc>
          <w:tcPr>
            <w:tcW w:w="7316" w:type="dxa"/>
            <w:vAlign w:val="center"/>
          </w:tcPr>
          <w:p>
            <w:pPr>
              <w:widowControl/>
              <w:shd w:val="clear" w:color="auto" w:fill="FFFFFF"/>
              <w:adjustRightInd w:val="0"/>
              <w:snapToGrid w:val="0"/>
              <w:ind w:left="26"/>
              <w:jc w:val="left"/>
              <w:textAlignment w:val="baseline"/>
              <w:rPr>
                <w:rFonts w:ascii="仿宋_GB2312" w:eastAsia="仿宋_GB2312"/>
                <w:color w:val="000000"/>
                <w:sz w:val="24"/>
                <w:szCs w:val="24"/>
              </w:rPr>
            </w:pPr>
            <w:r>
              <w:rPr>
                <w:rFonts w:hint="eastAsia" w:ascii="仿宋_GB2312" w:hAnsi="仿宋" w:eastAsia="仿宋_GB2312" w:cs="仿宋"/>
                <w:color w:val="000000"/>
                <w:kern w:val="0"/>
                <w:sz w:val="24"/>
                <w:szCs w:val="24"/>
                <w:lang w:bidi="ar"/>
              </w:rPr>
              <w:t xml:space="preserve">基准试剂氧化锌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tcPr>
          <w:p>
            <w:pPr>
              <w:tabs>
                <w:tab w:val="left" w:pos="1134"/>
              </w:tabs>
              <w:adjustRightInd w:val="0"/>
              <w:snapToGrid w:val="0"/>
              <w:textAlignment w:val="baseline"/>
              <w:rPr>
                <w:rFonts w:ascii="仿宋_GB2312" w:eastAsia="仿宋_GB2312"/>
                <w:b/>
                <w:color w:val="000000"/>
                <w:spacing w:val="2"/>
                <w:kern w:val="0"/>
                <w:sz w:val="24"/>
                <w:szCs w:val="24"/>
              </w:rPr>
            </w:pPr>
          </w:p>
        </w:tc>
        <w:tc>
          <w:tcPr>
            <w:tcW w:w="7316" w:type="dxa"/>
            <w:vAlign w:val="center"/>
          </w:tcPr>
          <w:p>
            <w:pPr>
              <w:widowControl/>
              <w:shd w:val="clear" w:color="auto" w:fill="FFFFFF"/>
              <w:adjustRightInd w:val="0"/>
              <w:snapToGrid w:val="0"/>
              <w:ind w:left="26"/>
              <w:jc w:val="left"/>
              <w:textAlignment w:val="baseline"/>
              <w:rPr>
                <w:rFonts w:ascii="仿宋_GB2312" w:eastAsia="仿宋_GB2312"/>
                <w:color w:val="000000"/>
                <w:sz w:val="24"/>
                <w:szCs w:val="24"/>
              </w:rPr>
            </w:pPr>
            <w:r>
              <w:rPr>
                <w:rFonts w:hint="eastAsia" w:ascii="仿宋_GB2312" w:hAnsi="仿宋" w:eastAsia="仿宋_GB2312" w:cs="仿宋"/>
                <w:color w:val="000000"/>
                <w:kern w:val="0"/>
                <w:sz w:val="24"/>
                <w:szCs w:val="24"/>
                <w:lang w:bidi="ar"/>
              </w:rPr>
              <w:t xml:space="preserve">盐酸溶液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tcPr>
          <w:p>
            <w:pPr>
              <w:tabs>
                <w:tab w:val="left" w:pos="1134"/>
              </w:tabs>
              <w:adjustRightInd w:val="0"/>
              <w:snapToGrid w:val="0"/>
              <w:textAlignment w:val="baseline"/>
              <w:rPr>
                <w:rFonts w:ascii="仿宋_GB2312" w:eastAsia="仿宋_GB2312"/>
                <w:b/>
                <w:color w:val="000000"/>
                <w:spacing w:val="2"/>
                <w:kern w:val="0"/>
                <w:sz w:val="24"/>
                <w:szCs w:val="24"/>
              </w:rPr>
            </w:pPr>
          </w:p>
        </w:tc>
        <w:tc>
          <w:tcPr>
            <w:tcW w:w="7316" w:type="dxa"/>
            <w:vAlign w:val="center"/>
          </w:tcPr>
          <w:p>
            <w:pPr>
              <w:widowControl/>
              <w:shd w:val="clear" w:color="auto" w:fill="FFFFFF"/>
              <w:adjustRightInd w:val="0"/>
              <w:snapToGrid w:val="0"/>
              <w:ind w:left="26"/>
              <w:jc w:val="left"/>
              <w:textAlignment w:val="baseline"/>
              <w:rPr>
                <w:rFonts w:ascii="仿宋_GB2312" w:eastAsia="仿宋_GB2312"/>
                <w:color w:val="000000"/>
                <w:sz w:val="24"/>
                <w:szCs w:val="24"/>
              </w:rPr>
            </w:pPr>
            <w:r>
              <w:rPr>
                <w:rFonts w:hint="eastAsia" w:ascii="仿宋_GB2312" w:hAnsi="仿宋" w:eastAsia="仿宋_GB2312" w:cs="仿宋"/>
                <w:color w:val="000000"/>
                <w:kern w:val="0"/>
                <w:sz w:val="24"/>
                <w:szCs w:val="24"/>
                <w:lang w:bidi="ar"/>
              </w:rPr>
              <w:t xml:space="preserve">乙二胺四乙酸二钠标准滴定溶液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tcPr>
          <w:p>
            <w:pPr>
              <w:tabs>
                <w:tab w:val="left" w:pos="1134"/>
              </w:tabs>
              <w:adjustRightInd w:val="0"/>
              <w:snapToGrid w:val="0"/>
              <w:textAlignment w:val="baseline"/>
              <w:rPr>
                <w:rFonts w:ascii="仿宋_GB2312" w:eastAsia="仿宋_GB2312"/>
                <w:b/>
                <w:color w:val="000000"/>
                <w:spacing w:val="2"/>
                <w:kern w:val="0"/>
                <w:sz w:val="24"/>
                <w:szCs w:val="24"/>
              </w:rPr>
            </w:pPr>
          </w:p>
        </w:tc>
        <w:tc>
          <w:tcPr>
            <w:tcW w:w="7316" w:type="dxa"/>
            <w:vAlign w:val="center"/>
          </w:tcPr>
          <w:p>
            <w:pPr>
              <w:widowControl/>
              <w:shd w:val="clear" w:color="auto" w:fill="FFFFFF"/>
              <w:adjustRightInd w:val="0"/>
              <w:snapToGrid w:val="0"/>
              <w:ind w:left="26"/>
              <w:jc w:val="left"/>
              <w:textAlignment w:val="baseline"/>
              <w:rPr>
                <w:rFonts w:ascii="仿宋_GB2312" w:eastAsia="仿宋_GB2312"/>
                <w:color w:val="000000"/>
                <w:sz w:val="24"/>
                <w:szCs w:val="24"/>
              </w:rPr>
            </w:pPr>
            <w:r>
              <w:rPr>
                <w:rFonts w:hint="eastAsia" w:ascii="仿宋_GB2312" w:hAnsi="仿宋" w:eastAsia="仿宋_GB2312" w:cs="仿宋"/>
                <w:color w:val="000000"/>
                <w:kern w:val="0"/>
                <w:sz w:val="24"/>
                <w:szCs w:val="24"/>
                <w:lang w:bidi="ar"/>
              </w:rPr>
              <w:t xml:space="preserve">氨水溶液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tcPr>
          <w:p>
            <w:pPr>
              <w:tabs>
                <w:tab w:val="left" w:pos="1134"/>
              </w:tabs>
              <w:adjustRightInd w:val="0"/>
              <w:snapToGrid w:val="0"/>
              <w:textAlignment w:val="baseline"/>
              <w:rPr>
                <w:rFonts w:ascii="仿宋_GB2312" w:eastAsia="仿宋_GB2312"/>
                <w:b/>
                <w:color w:val="000000"/>
                <w:spacing w:val="2"/>
                <w:kern w:val="0"/>
                <w:sz w:val="24"/>
                <w:szCs w:val="24"/>
              </w:rPr>
            </w:pPr>
          </w:p>
        </w:tc>
        <w:tc>
          <w:tcPr>
            <w:tcW w:w="7316" w:type="dxa"/>
            <w:vAlign w:val="center"/>
          </w:tcPr>
          <w:p>
            <w:pPr>
              <w:widowControl/>
              <w:shd w:val="clear" w:color="auto" w:fill="FFFFFF"/>
              <w:adjustRightInd w:val="0"/>
              <w:snapToGrid w:val="0"/>
              <w:ind w:left="26"/>
              <w:jc w:val="left"/>
              <w:textAlignment w:val="baseline"/>
              <w:rPr>
                <w:rFonts w:ascii="仿宋_GB2312" w:eastAsia="仿宋_GB2312"/>
                <w:color w:val="000000"/>
                <w:sz w:val="24"/>
                <w:szCs w:val="24"/>
              </w:rPr>
            </w:pPr>
            <w:r>
              <w:rPr>
                <w:rFonts w:hint="eastAsia" w:ascii="仿宋_GB2312" w:hAnsi="仿宋" w:eastAsia="仿宋_GB2312" w:cs="仿宋"/>
                <w:color w:val="000000"/>
                <w:kern w:val="0"/>
                <w:sz w:val="24"/>
                <w:szCs w:val="24"/>
                <w:lang w:bidi="ar"/>
              </w:rPr>
              <w:t>氨-氯化铵缓冲溶液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tcPr>
          <w:p>
            <w:pPr>
              <w:tabs>
                <w:tab w:val="left" w:pos="1134"/>
              </w:tabs>
              <w:adjustRightInd w:val="0"/>
              <w:snapToGrid w:val="0"/>
              <w:textAlignment w:val="baseline"/>
              <w:rPr>
                <w:rFonts w:ascii="仿宋_GB2312" w:eastAsia="仿宋_GB2312"/>
                <w:b/>
                <w:color w:val="000000"/>
                <w:spacing w:val="2"/>
                <w:kern w:val="0"/>
                <w:sz w:val="24"/>
                <w:szCs w:val="24"/>
              </w:rPr>
            </w:pPr>
          </w:p>
        </w:tc>
        <w:tc>
          <w:tcPr>
            <w:tcW w:w="7316" w:type="dxa"/>
            <w:vAlign w:val="center"/>
          </w:tcPr>
          <w:p>
            <w:pPr>
              <w:widowControl/>
              <w:shd w:val="clear" w:color="auto" w:fill="FFFFFF"/>
              <w:adjustRightInd w:val="0"/>
              <w:snapToGrid w:val="0"/>
              <w:ind w:left="26"/>
              <w:jc w:val="left"/>
              <w:textAlignment w:val="baseline"/>
              <w:rPr>
                <w:rFonts w:ascii="仿宋_GB2312" w:eastAsia="仿宋_GB2312"/>
                <w:color w:val="000000"/>
                <w:sz w:val="24"/>
                <w:szCs w:val="24"/>
              </w:rPr>
            </w:pPr>
            <w:r>
              <w:rPr>
                <w:rFonts w:hint="eastAsia" w:ascii="仿宋_GB2312" w:hAnsi="仿宋" w:eastAsia="仿宋_GB2312" w:cs="仿宋"/>
                <w:color w:val="000000"/>
                <w:kern w:val="0"/>
                <w:sz w:val="24"/>
                <w:szCs w:val="24"/>
                <w:lang w:bidi="ar"/>
              </w:rPr>
              <w:t xml:space="preserve">铬黑 T 指示剂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tcPr>
          <w:p>
            <w:pPr>
              <w:tabs>
                <w:tab w:val="left" w:pos="1134"/>
              </w:tabs>
              <w:adjustRightInd w:val="0"/>
              <w:snapToGrid w:val="0"/>
              <w:textAlignment w:val="baseline"/>
              <w:rPr>
                <w:rFonts w:ascii="仿宋_GB2312" w:eastAsia="仿宋_GB2312"/>
                <w:b/>
                <w:color w:val="000000"/>
                <w:spacing w:val="2"/>
                <w:kern w:val="0"/>
                <w:sz w:val="24"/>
                <w:szCs w:val="24"/>
              </w:rPr>
            </w:pPr>
          </w:p>
        </w:tc>
        <w:tc>
          <w:tcPr>
            <w:tcW w:w="7316" w:type="dxa"/>
            <w:vAlign w:val="center"/>
          </w:tcPr>
          <w:p>
            <w:pPr>
              <w:widowControl/>
              <w:shd w:val="clear" w:color="auto" w:fill="FFFFFF"/>
              <w:adjustRightInd w:val="0"/>
              <w:snapToGrid w:val="0"/>
              <w:ind w:left="26"/>
              <w:jc w:val="left"/>
              <w:textAlignment w:val="baseline"/>
              <w:rPr>
                <w:rFonts w:ascii="仿宋_GB2312" w:eastAsia="仿宋_GB2312"/>
                <w:color w:val="000000"/>
                <w:sz w:val="24"/>
                <w:szCs w:val="24"/>
              </w:rPr>
            </w:pPr>
            <w:r>
              <w:rPr>
                <w:rFonts w:hint="eastAsia" w:ascii="仿宋_GB2312" w:hAnsi="仿宋" w:eastAsia="仿宋_GB2312" w:cs="仿宋"/>
                <w:color w:val="000000"/>
                <w:kern w:val="0"/>
                <w:sz w:val="24"/>
                <w:szCs w:val="24"/>
                <w:lang w:bidi="ar"/>
              </w:rPr>
              <w:t xml:space="preserve">含金属组分（钴或镍）的溶液样品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tcPr>
          <w:p>
            <w:pPr>
              <w:tabs>
                <w:tab w:val="left" w:pos="1134"/>
              </w:tabs>
              <w:adjustRightInd w:val="0"/>
              <w:snapToGrid w:val="0"/>
              <w:textAlignment w:val="baseline"/>
              <w:rPr>
                <w:rFonts w:ascii="仿宋_GB2312" w:eastAsia="仿宋_GB2312"/>
                <w:b/>
                <w:color w:val="000000"/>
                <w:spacing w:val="2"/>
                <w:kern w:val="0"/>
                <w:sz w:val="24"/>
                <w:szCs w:val="24"/>
              </w:rPr>
            </w:pPr>
          </w:p>
        </w:tc>
        <w:tc>
          <w:tcPr>
            <w:tcW w:w="7316" w:type="dxa"/>
            <w:vAlign w:val="center"/>
          </w:tcPr>
          <w:p>
            <w:pPr>
              <w:widowControl/>
              <w:shd w:val="clear" w:color="auto" w:fill="FFFFFF"/>
              <w:adjustRightInd w:val="0"/>
              <w:snapToGrid w:val="0"/>
              <w:ind w:left="26"/>
              <w:jc w:val="left"/>
              <w:textAlignment w:val="baseline"/>
              <w:rPr>
                <w:rFonts w:ascii="仿宋_GB2312" w:eastAsia="仿宋_GB2312"/>
                <w:color w:val="000000"/>
                <w:sz w:val="24"/>
                <w:szCs w:val="24"/>
              </w:rPr>
            </w:pPr>
            <w:r>
              <w:rPr>
                <w:rFonts w:hint="eastAsia" w:ascii="仿宋_GB2312" w:hAnsi="仿宋" w:eastAsia="仿宋_GB2312" w:cs="仿宋"/>
                <w:color w:val="000000"/>
                <w:kern w:val="0"/>
                <w:sz w:val="24"/>
                <w:szCs w:val="24"/>
                <w:lang w:bidi="ar"/>
              </w:rPr>
              <w:t xml:space="preserve">紫脲酸铵指示剂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tcPr>
          <w:p>
            <w:pPr>
              <w:tabs>
                <w:tab w:val="left" w:pos="1134"/>
              </w:tabs>
              <w:adjustRightInd w:val="0"/>
              <w:snapToGrid w:val="0"/>
              <w:textAlignment w:val="baseline"/>
              <w:rPr>
                <w:rFonts w:ascii="仿宋_GB2312" w:eastAsia="仿宋_GB2312"/>
                <w:b/>
                <w:color w:val="000000"/>
                <w:spacing w:val="2"/>
                <w:kern w:val="0"/>
                <w:sz w:val="24"/>
                <w:szCs w:val="24"/>
              </w:rPr>
            </w:pPr>
          </w:p>
        </w:tc>
        <w:tc>
          <w:tcPr>
            <w:tcW w:w="7316" w:type="dxa"/>
            <w:vAlign w:val="center"/>
          </w:tcPr>
          <w:p>
            <w:pPr>
              <w:widowControl/>
              <w:shd w:val="clear" w:color="auto" w:fill="FFFFFF"/>
              <w:adjustRightInd w:val="0"/>
              <w:snapToGrid w:val="0"/>
              <w:ind w:left="26"/>
              <w:jc w:val="left"/>
              <w:textAlignment w:val="baseline"/>
              <w:rPr>
                <w:rFonts w:ascii="仿宋_GB2312" w:eastAsia="仿宋_GB2312"/>
                <w:color w:val="000000"/>
                <w:sz w:val="24"/>
                <w:szCs w:val="24"/>
              </w:rPr>
            </w:pPr>
            <w:r>
              <w:rPr>
                <w:rFonts w:hint="eastAsia" w:ascii="仿宋_GB2312" w:hAnsi="仿宋" w:eastAsia="仿宋_GB2312" w:cs="仿宋"/>
                <w:color w:val="000000"/>
                <w:kern w:val="0"/>
                <w:sz w:val="24"/>
                <w:szCs w:val="24"/>
                <w:lang w:bidi="ar"/>
              </w:rPr>
              <w:t xml:space="preserve">去离子水 </w:t>
            </w:r>
          </w:p>
        </w:tc>
      </w:tr>
    </w:tbl>
    <w:p>
      <w:pPr>
        <w:pStyle w:val="4"/>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00" w:firstLineChars="200"/>
        <w:textAlignment w:val="auto"/>
        <w:outlineLvl w:val="0"/>
        <w:rPr>
          <w:rFonts w:hint="eastAsia" w:ascii="楷体_GB2312" w:eastAsia="楷体_GB2312"/>
          <w:bCs/>
          <w:sz w:val="30"/>
          <w:szCs w:val="30"/>
        </w:rPr>
      </w:pPr>
      <w:bookmarkStart w:id="11" w:name="_Toc18256"/>
      <w:r>
        <w:rPr>
          <w:rFonts w:hint="eastAsia" w:ascii="楷体_GB2312" w:eastAsia="楷体_GB2312"/>
          <w:bCs/>
          <w:sz w:val="30"/>
          <w:szCs w:val="30"/>
          <w:lang w:val="en-US" w:eastAsia="zh-CN"/>
        </w:rPr>
        <w:t>2.</w:t>
      </w:r>
      <w:r>
        <w:rPr>
          <w:rFonts w:hint="eastAsia" w:ascii="楷体_GB2312" w:eastAsia="楷体_GB2312"/>
          <w:bCs/>
          <w:sz w:val="30"/>
          <w:szCs w:val="30"/>
        </w:rPr>
        <w:t>溶液准备</w:t>
      </w:r>
      <w:bookmarkEnd w:id="11"/>
      <w:bookmarkStart w:id="12" w:name="_Toc720"/>
    </w:p>
    <w:p>
      <w:pPr>
        <w:pStyle w:val="4"/>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00" w:firstLineChars="200"/>
        <w:textAlignment w:val="auto"/>
        <w:outlineLvl w:val="0"/>
        <w:rPr>
          <w:rFonts w:ascii="仿宋_GB2312" w:eastAsia="仿宋_GB2312"/>
          <w:b/>
          <w:bCs/>
          <w:sz w:val="30"/>
          <w:szCs w:val="30"/>
        </w:rPr>
      </w:pPr>
      <w:r>
        <w:rPr>
          <w:rFonts w:hint="eastAsia" w:ascii="仿宋_GB2312" w:eastAsia="仿宋_GB2312"/>
          <w:sz w:val="30"/>
          <w:szCs w:val="30"/>
        </w:rPr>
        <w:t>按赛题要求配制指定的实验试剂溶液。</w:t>
      </w:r>
      <w:r>
        <w:rPr>
          <w:rFonts w:hint="eastAsia" w:ascii="仿宋_GB2312" w:eastAsia="仿宋_GB2312"/>
          <w:b/>
          <w:bCs/>
          <w:sz w:val="30"/>
          <w:szCs w:val="30"/>
        </w:rPr>
        <w:t xml:space="preserve"> </w:t>
      </w:r>
    </w:p>
    <w:p>
      <w:pPr>
        <w:pStyle w:val="4"/>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textAlignment w:val="auto"/>
        <w:outlineLvl w:val="0"/>
        <w:rPr>
          <w:rFonts w:ascii="楷体_GB2312" w:eastAsia="楷体_GB2312"/>
          <w:bCs/>
          <w:sz w:val="30"/>
          <w:szCs w:val="30"/>
        </w:rPr>
      </w:pPr>
      <w:r>
        <w:rPr>
          <w:rFonts w:hint="eastAsia" w:ascii="楷体_GB2312" w:eastAsia="楷体_GB2312"/>
          <w:bCs/>
          <w:sz w:val="30"/>
          <w:szCs w:val="30"/>
        </w:rPr>
        <w:t>3.实验</w:t>
      </w:r>
      <w:bookmarkEnd w:id="12"/>
    </w:p>
    <w:p>
      <w:pPr>
        <w:pStyle w:val="4"/>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textAlignment w:val="auto"/>
        <w:outlineLvl w:val="9"/>
        <w:rPr>
          <w:rFonts w:ascii="仿宋_GB2312" w:eastAsia="仿宋_GB2312"/>
          <w:sz w:val="30"/>
          <w:szCs w:val="30"/>
        </w:rPr>
      </w:pPr>
      <w:r>
        <w:rPr>
          <w:rFonts w:hint="eastAsia" w:ascii="仿宋_GB2312" w:eastAsia="仿宋_GB2312"/>
          <w:sz w:val="30"/>
          <w:szCs w:val="30"/>
        </w:rPr>
        <w:t>（1）用锌标准溶液标定乙二胺四乙酸二钠溶液</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ascii="仿宋_GB2312" w:hAnsi="Times New Roman" w:eastAsia="仿宋_GB2312"/>
          <w:kern w:val="0"/>
          <w:sz w:val="30"/>
          <w:szCs w:val="30"/>
        </w:rPr>
      </w:pPr>
      <w:r>
        <w:rPr>
          <w:rFonts w:hint="eastAsia" w:ascii="仿宋_GB2312" w:hAnsi="Times New Roman" w:eastAsia="仿宋_GB2312"/>
          <w:kern w:val="0"/>
          <w:sz w:val="30"/>
          <w:szCs w:val="30"/>
        </w:rPr>
        <w:t xml:space="preserve">减量法称取所需质量的基准试剂氧化锌，并用少量蒸馏水润湿，加入一定体积的盐酸溶液，搅拌，直到氧化锌完全溶解，然后定量转移至容量瓶中，用水稀释至刻度，摇匀。记为锌标准溶液。 </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_GB2312" w:hAnsi="Times New Roman" w:eastAsia="仿宋_GB2312"/>
          <w:kern w:val="0"/>
          <w:sz w:val="30"/>
          <w:szCs w:val="30"/>
        </w:rPr>
      </w:pPr>
      <w:r>
        <w:rPr>
          <w:rFonts w:hint="eastAsia" w:ascii="仿宋_GB2312" w:hAnsi="Times New Roman" w:eastAsia="仿宋_GB2312"/>
          <w:kern w:val="0"/>
          <w:sz w:val="30"/>
          <w:szCs w:val="30"/>
        </w:rPr>
        <w:t>移取一定体积的锌标准溶液于锥形瓶中，加入一定体积的去离子水，用氨水溶液将溶液 pH 值调为适当后，加入适量的氨-氯化铵缓冲溶液及铬黑 T 指示剂，用待标定的乙二胺四乙酸二钠溶液滴定至溶液由紫色变为纯蓝色。</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_GB2312" w:hAnsi="Times New Roman" w:eastAsia="仿宋_GB2312"/>
          <w:kern w:val="0"/>
          <w:sz w:val="30"/>
          <w:szCs w:val="30"/>
        </w:rPr>
      </w:pPr>
      <w:r>
        <w:rPr>
          <w:rFonts w:hint="eastAsia" w:ascii="仿宋_GB2312" w:hAnsi="Times New Roman" w:eastAsia="仿宋_GB2312"/>
          <w:kern w:val="0"/>
          <w:sz w:val="30"/>
          <w:szCs w:val="30"/>
        </w:rPr>
        <w:t xml:space="preserve">平行测定 3 次，同时做空白试验。 </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_GB2312" w:hAnsi="Times New Roman" w:eastAsia="仿宋_GB2312"/>
          <w:kern w:val="0"/>
          <w:sz w:val="30"/>
          <w:szCs w:val="30"/>
        </w:rPr>
      </w:pPr>
      <w:r>
        <w:rPr>
          <w:rFonts w:hint="eastAsia" w:ascii="仿宋_GB2312" w:hAnsi="Times New Roman" w:eastAsia="仿宋_GB2312"/>
          <w:kern w:val="0"/>
          <w:sz w:val="30"/>
          <w:szCs w:val="30"/>
        </w:rPr>
        <w:t xml:space="preserve">使用以下公式计算乙二胺四乙酸二钠标准滴定溶液的浓度(EDTA)，单位 mol/L。 </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_GB2312" w:hAnsi="Times New Roman" w:eastAsia="仿宋_GB2312"/>
          <w:kern w:val="0"/>
          <w:sz w:val="30"/>
          <w:szCs w:val="30"/>
        </w:rPr>
      </w:pPr>
      <w:r>
        <w:rPr>
          <w:rFonts w:hint="eastAsia" w:ascii="仿宋_GB2312" w:hAnsi="Times New Roman" w:eastAsia="仿宋_GB2312"/>
          <w:kern w:val="0"/>
          <w:sz w:val="30"/>
          <w:szCs w:val="30"/>
        </w:rPr>
        <w:t>取 3 次测定结果的算术平均值作为最终结果，结果保留 4 位有效数字。</w:t>
      </w:r>
    </w:p>
    <w:p>
      <w:pPr>
        <w:adjustRightInd w:val="0"/>
        <w:snapToGrid w:val="0"/>
        <w:jc w:val="center"/>
        <w:rPr>
          <w:rFonts w:ascii="仿宋_GB2312" w:eastAsia="仿宋_GB2312"/>
          <w:color w:val="000000"/>
          <w:sz w:val="28"/>
          <w:szCs w:val="28"/>
        </w:rPr>
      </w:pPr>
      <w:r>
        <w:pict>
          <v:shape id="_x0000_i1025" o:spt="75" type="#_x0000_t75" style="height:50.25pt;width:173.25pt;" filled="f" o:preferrelative="t" stroked="f" coordsize="21600,21600">
            <v:path/>
            <v:fill on="f" focussize="0,0"/>
            <v:stroke on="f" joinstyle="miter"/>
            <v:imagedata r:id="rId6" chromakey="#FFFFFF" o:title=""/>
            <o:lock v:ext="edit" aspectratio="t"/>
            <w10:wrap type="none"/>
            <w10:anchorlock/>
          </v:shape>
        </w:pict>
      </w:r>
    </w:p>
    <w:p>
      <w:pPr>
        <w:pStyle w:val="4"/>
        <w:keepNext w:val="0"/>
        <w:keepLines w:val="0"/>
        <w:pageBreakBefore w:val="0"/>
        <w:widowControl/>
        <w:kinsoku/>
        <w:wordWrap/>
        <w:overflowPunct/>
        <w:topLinePunct w:val="0"/>
        <w:autoSpaceDE/>
        <w:autoSpaceDN/>
        <w:bidi w:val="0"/>
        <w:adjustRightInd w:val="0"/>
        <w:snapToGrid w:val="0"/>
        <w:spacing w:line="560" w:lineRule="exact"/>
        <w:ind w:left="113" w:leftChars="54"/>
        <w:textAlignment w:val="auto"/>
        <w:rPr>
          <w:rFonts w:ascii="仿宋_GB2312" w:eastAsia="仿宋_GB2312"/>
          <w:sz w:val="30"/>
          <w:szCs w:val="30"/>
        </w:rPr>
      </w:pPr>
      <w:r>
        <w:rPr>
          <w:rFonts w:hint="eastAsia" w:ascii="仿宋_GB2312" w:eastAsia="仿宋_GB2312"/>
          <w:sz w:val="30"/>
          <w:szCs w:val="30"/>
        </w:rPr>
        <w:t>式中：</w:t>
      </w:r>
      <w:r>
        <w:rPr>
          <w:rFonts w:hint="eastAsia" w:ascii="仿宋_GB2312" w:eastAsia="仿宋_GB2312"/>
          <w:i/>
          <w:iCs/>
          <w:sz w:val="30"/>
          <w:szCs w:val="30"/>
        </w:rPr>
        <w:t xml:space="preserve">m </w:t>
      </w:r>
      <w:r>
        <w:rPr>
          <w:rFonts w:hint="eastAsia" w:ascii="仿宋_GB2312" w:eastAsia="仿宋_GB2312"/>
          <w:sz w:val="30"/>
          <w:szCs w:val="30"/>
        </w:rPr>
        <w:t>——氧化锌质量，单位为克（g）；</w:t>
      </w:r>
    </w:p>
    <w:p>
      <w:pPr>
        <w:pStyle w:val="4"/>
        <w:keepNext w:val="0"/>
        <w:keepLines w:val="0"/>
        <w:pageBreakBefore w:val="0"/>
        <w:widowControl/>
        <w:kinsoku/>
        <w:wordWrap/>
        <w:overflowPunct/>
        <w:topLinePunct w:val="0"/>
        <w:autoSpaceDE/>
        <w:autoSpaceDN/>
        <w:bidi w:val="0"/>
        <w:adjustRightInd w:val="0"/>
        <w:snapToGrid w:val="0"/>
        <w:spacing w:line="560" w:lineRule="exact"/>
        <w:ind w:left="113" w:leftChars="54" w:firstLine="900" w:firstLineChars="300"/>
        <w:textAlignment w:val="auto"/>
        <w:rPr>
          <w:rFonts w:ascii="仿宋_GB2312" w:eastAsia="仿宋_GB2312"/>
          <w:sz w:val="30"/>
          <w:szCs w:val="30"/>
        </w:rPr>
      </w:pPr>
      <w:r>
        <w:rPr>
          <w:rFonts w:hint="eastAsia" w:ascii="仿宋_GB2312" w:eastAsia="仿宋_GB2312"/>
          <w:i/>
          <w:iCs/>
          <w:sz w:val="30"/>
          <w:szCs w:val="30"/>
        </w:rPr>
        <w:t xml:space="preserve">V </w:t>
      </w:r>
      <w:r>
        <w:rPr>
          <w:rFonts w:hint="eastAsia" w:ascii="仿宋_GB2312" w:eastAsia="仿宋_GB2312"/>
          <w:sz w:val="30"/>
          <w:szCs w:val="30"/>
        </w:rPr>
        <w:t>——氧化锌定容后的体积，单位为毫升（mL）； </w:t>
      </w:r>
    </w:p>
    <w:p>
      <w:pPr>
        <w:pStyle w:val="4"/>
        <w:keepNext w:val="0"/>
        <w:keepLines w:val="0"/>
        <w:pageBreakBefore w:val="0"/>
        <w:widowControl/>
        <w:kinsoku/>
        <w:wordWrap/>
        <w:overflowPunct/>
        <w:topLinePunct w:val="0"/>
        <w:autoSpaceDE/>
        <w:autoSpaceDN/>
        <w:bidi w:val="0"/>
        <w:adjustRightInd w:val="0"/>
        <w:snapToGrid w:val="0"/>
        <w:spacing w:line="560" w:lineRule="exact"/>
        <w:ind w:left="113" w:leftChars="54" w:firstLine="900" w:firstLineChars="300"/>
        <w:textAlignment w:val="auto"/>
        <w:rPr>
          <w:rFonts w:ascii="仿宋_GB2312" w:eastAsia="仿宋_GB2312"/>
          <w:sz w:val="30"/>
          <w:szCs w:val="30"/>
        </w:rPr>
      </w:pPr>
      <w:r>
        <w:rPr>
          <w:rFonts w:hint="eastAsia" w:ascii="仿宋_GB2312" w:eastAsia="仿宋_GB2312"/>
          <w:i/>
          <w:iCs/>
          <w:sz w:val="30"/>
          <w:szCs w:val="30"/>
        </w:rPr>
        <w:t>V</w:t>
      </w:r>
      <w:r>
        <w:rPr>
          <w:rFonts w:hint="eastAsia" w:ascii="仿宋_GB2312" w:eastAsia="仿宋_GB2312"/>
          <w:i/>
          <w:iCs/>
          <w:sz w:val="30"/>
          <w:szCs w:val="30"/>
          <w:vertAlign w:val="subscript"/>
        </w:rPr>
        <w:t>1</w:t>
      </w:r>
      <w:r>
        <w:rPr>
          <w:rFonts w:hint="eastAsia" w:ascii="仿宋_GB2312" w:eastAsia="仿宋_GB2312"/>
          <w:sz w:val="30"/>
          <w:szCs w:val="30"/>
        </w:rPr>
        <w:t xml:space="preserve"> ——移取的氧化锌溶液体积，单位为毫升（mL）； </w:t>
      </w:r>
    </w:p>
    <w:p>
      <w:pPr>
        <w:pStyle w:val="4"/>
        <w:keepNext w:val="0"/>
        <w:keepLines w:val="0"/>
        <w:pageBreakBefore w:val="0"/>
        <w:widowControl/>
        <w:kinsoku/>
        <w:wordWrap/>
        <w:overflowPunct/>
        <w:topLinePunct w:val="0"/>
        <w:autoSpaceDE/>
        <w:autoSpaceDN/>
        <w:bidi w:val="0"/>
        <w:adjustRightInd w:val="0"/>
        <w:snapToGrid w:val="0"/>
        <w:spacing w:line="560" w:lineRule="exact"/>
        <w:ind w:left="405" w:leftChars="193" w:firstLine="600" w:firstLineChars="200"/>
        <w:textAlignment w:val="auto"/>
        <w:rPr>
          <w:rFonts w:ascii="仿宋_GB2312" w:eastAsia="仿宋_GB2312"/>
          <w:sz w:val="30"/>
          <w:szCs w:val="30"/>
        </w:rPr>
      </w:pPr>
      <w:r>
        <w:rPr>
          <w:rFonts w:hint="eastAsia" w:ascii="仿宋_GB2312" w:eastAsia="仿宋_GB2312"/>
          <w:i/>
          <w:iCs/>
          <w:sz w:val="30"/>
          <w:szCs w:val="30"/>
        </w:rPr>
        <w:t>V</w:t>
      </w:r>
      <w:r>
        <w:rPr>
          <w:rFonts w:hint="eastAsia" w:ascii="仿宋_GB2312" w:eastAsia="仿宋_GB2312"/>
          <w:i/>
          <w:iCs/>
          <w:sz w:val="30"/>
          <w:szCs w:val="30"/>
          <w:vertAlign w:val="subscript"/>
        </w:rPr>
        <w:t>2</w:t>
      </w:r>
      <w:r>
        <w:rPr>
          <w:rFonts w:hint="eastAsia" w:ascii="仿宋_GB2312" w:eastAsia="仿宋_GB2312"/>
          <w:sz w:val="30"/>
          <w:szCs w:val="30"/>
        </w:rPr>
        <w:t>——氧化锌消耗的乙二胺四乙酸二钠溶液体积，单位为毫升（mL）； </w:t>
      </w:r>
    </w:p>
    <w:p>
      <w:pPr>
        <w:pStyle w:val="4"/>
        <w:keepNext w:val="0"/>
        <w:keepLines w:val="0"/>
        <w:pageBreakBefore w:val="0"/>
        <w:widowControl/>
        <w:kinsoku/>
        <w:wordWrap/>
        <w:overflowPunct/>
        <w:topLinePunct w:val="0"/>
        <w:autoSpaceDE/>
        <w:autoSpaceDN/>
        <w:bidi w:val="0"/>
        <w:adjustRightInd w:val="0"/>
        <w:snapToGrid w:val="0"/>
        <w:spacing w:line="560" w:lineRule="exact"/>
        <w:ind w:left="405" w:leftChars="193" w:firstLine="600" w:firstLineChars="200"/>
        <w:textAlignment w:val="auto"/>
        <w:rPr>
          <w:rFonts w:ascii="仿宋_GB2312" w:eastAsia="仿宋_GB2312"/>
          <w:sz w:val="30"/>
          <w:szCs w:val="30"/>
        </w:rPr>
      </w:pPr>
      <w:r>
        <w:rPr>
          <w:rFonts w:hint="eastAsia" w:ascii="仿宋_GB2312" w:eastAsia="仿宋_GB2312"/>
          <w:i/>
          <w:iCs/>
          <w:sz w:val="30"/>
          <w:szCs w:val="30"/>
        </w:rPr>
        <w:t>V</w:t>
      </w:r>
      <w:r>
        <w:rPr>
          <w:rFonts w:hint="eastAsia" w:ascii="仿宋_GB2312" w:eastAsia="仿宋_GB2312"/>
          <w:i/>
          <w:iCs/>
          <w:sz w:val="30"/>
          <w:szCs w:val="30"/>
          <w:vertAlign w:val="subscript"/>
        </w:rPr>
        <w:t>3</w:t>
      </w:r>
      <w:r>
        <w:rPr>
          <w:rFonts w:hint="eastAsia" w:ascii="仿宋_GB2312" w:eastAsia="仿宋_GB2312"/>
          <w:sz w:val="30"/>
          <w:szCs w:val="30"/>
        </w:rPr>
        <w:t>——空白试验消耗的乙二胺四乙酸二钠溶液体积，单位为毫升（mL）； </w:t>
      </w:r>
    </w:p>
    <w:p>
      <w:pPr>
        <w:pStyle w:val="4"/>
        <w:keepNext w:val="0"/>
        <w:keepLines w:val="0"/>
        <w:pageBreakBefore w:val="0"/>
        <w:widowControl/>
        <w:kinsoku/>
        <w:wordWrap/>
        <w:overflowPunct/>
        <w:topLinePunct w:val="0"/>
        <w:autoSpaceDE/>
        <w:autoSpaceDN/>
        <w:bidi w:val="0"/>
        <w:adjustRightInd w:val="0"/>
        <w:snapToGrid w:val="0"/>
        <w:spacing w:line="560" w:lineRule="exact"/>
        <w:ind w:left="405" w:leftChars="193" w:firstLine="606" w:firstLineChars="202"/>
        <w:textAlignment w:val="auto"/>
        <w:rPr>
          <w:rFonts w:ascii="仿宋_GB2312" w:eastAsia="仿宋_GB2312"/>
          <w:sz w:val="30"/>
          <w:szCs w:val="30"/>
        </w:rPr>
      </w:pPr>
      <w:r>
        <w:rPr>
          <w:rFonts w:hint="eastAsia" w:ascii="仿宋_GB2312" w:eastAsia="仿宋_GB2312"/>
          <w:i/>
          <w:iCs/>
          <w:sz w:val="30"/>
          <w:szCs w:val="30"/>
        </w:rPr>
        <w:t>M</w:t>
      </w:r>
      <w:r>
        <w:rPr>
          <w:rFonts w:hint="eastAsia" w:ascii="仿宋_GB2312" w:eastAsia="仿宋_GB2312"/>
          <w:sz w:val="30"/>
          <w:szCs w:val="30"/>
        </w:rPr>
        <w:t xml:space="preserve"> ——氧化锌的摩尔质量，单位为克每摩尔（g/mo1）[</w:t>
      </w:r>
      <w:r>
        <w:rPr>
          <w:rFonts w:hint="eastAsia" w:ascii="仿宋_GB2312" w:eastAsia="仿宋_GB2312"/>
          <w:i/>
          <w:iCs/>
          <w:sz w:val="30"/>
          <w:szCs w:val="30"/>
        </w:rPr>
        <w:t>M(ZnO)</w:t>
      </w:r>
      <w:r>
        <w:rPr>
          <w:rFonts w:hint="eastAsia" w:ascii="仿宋_GB2312" w:eastAsia="仿宋_GB2312"/>
          <w:sz w:val="30"/>
          <w:szCs w:val="30"/>
        </w:rPr>
        <w:t>=81.408]。</w:t>
      </w:r>
    </w:p>
    <w:p>
      <w:pPr>
        <w:pStyle w:val="4"/>
        <w:keepNext w:val="0"/>
        <w:keepLines w:val="0"/>
        <w:pageBreakBefore w:val="0"/>
        <w:widowControl/>
        <w:kinsoku/>
        <w:wordWrap/>
        <w:overflowPunct/>
        <w:topLinePunct w:val="0"/>
        <w:autoSpaceDE/>
        <w:autoSpaceDN/>
        <w:bidi w:val="0"/>
        <w:adjustRightInd w:val="0"/>
        <w:snapToGrid w:val="0"/>
        <w:spacing w:after="0" w:line="560" w:lineRule="exact"/>
        <w:ind w:left="405" w:leftChars="193" w:firstLine="600" w:firstLineChars="200"/>
        <w:textAlignment w:val="auto"/>
        <w:rPr>
          <w:rFonts w:ascii="楷体_GB2312" w:eastAsia="楷体_GB2312"/>
          <w:sz w:val="30"/>
          <w:szCs w:val="30"/>
        </w:rPr>
      </w:pPr>
      <w:r>
        <w:rPr>
          <w:rFonts w:hint="eastAsia" w:ascii="楷体_GB2312" w:eastAsia="楷体_GB2312"/>
          <w:sz w:val="30"/>
          <w:szCs w:val="30"/>
        </w:rPr>
        <w:t>（2）含金属组分的溶液样品分析</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ascii="仿宋_GB2312" w:hAnsi="Times New Roman" w:eastAsia="仿宋_GB2312"/>
          <w:kern w:val="0"/>
          <w:sz w:val="30"/>
          <w:szCs w:val="30"/>
        </w:rPr>
      </w:pPr>
      <w:r>
        <w:rPr>
          <w:rFonts w:hint="eastAsia" w:ascii="仿宋_GB2312" w:hAnsi="Times New Roman" w:eastAsia="仿宋_GB2312"/>
          <w:kern w:val="0"/>
          <w:sz w:val="30"/>
          <w:szCs w:val="30"/>
        </w:rPr>
        <w:t xml:space="preserve">钴溶液样品分析：准确移取一定体积的钴溶液样品，加入适量蒸馏水，用盐酸溶液或氨水溶液调溶液 pH 为适当后，再用乙二胺四乙酸二钠标准滴定溶液滴定，在临近滴定终点前，加入一定体积氨-氯化铵缓冲溶液及紫脲酸铵指示剂，继续滴定至溶液呈紫红色。平行测定 3 次。允许预滴定一次。 </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_GB2312" w:hAnsi="Times New Roman" w:eastAsia="仿宋_GB2312"/>
          <w:kern w:val="0"/>
          <w:sz w:val="30"/>
          <w:szCs w:val="30"/>
        </w:rPr>
      </w:pPr>
      <w:r>
        <w:rPr>
          <w:rFonts w:hint="eastAsia" w:ascii="仿宋_GB2312" w:hAnsi="Times New Roman" w:eastAsia="仿宋_GB2312"/>
          <w:kern w:val="0"/>
          <w:sz w:val="30"/>
          <w:szCs w:val="30"/>
        </w:rPr>
        <w:t>镍溶液样品分析：准确称取一定质量的镍溶液样品，加入适量蒸馏水，再加入一定体积氨-氯化铵缓冲溶液及紫脲酸铵指示剂，然后用乙二胺四乙酸二钠标准滴定溶液滴定至溶液呈蓝紫色。</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_GB2312" w:hAnsi="Times New Roman" w:eastAsia="仿宋_GB2312"/>
          <w:kern w:val="0"/>
          <w:sz w:val="30"/>
          <w:szCs w:val="30"/>
        </w:rPr>
      </w:pPr>
      <w:r>
        <w:rPr>
          <w:rFonts w:hint="eastAsia" w:ascii="仿宋_GB2312" w:hAnsi="Times New Roman" w:eastAsia="仿宋_GB2312"/>
          <w:kern w:val="0"/>
          <w:sz w:val="30"/>
          <w:szCs w:val="30"/>
        </w:rPr>
        <w:t xml:space="preserve">平行测定 3 次。 </w:t>
      </w:r>
    </w:p>
    <w:p>
      <w:pPr>
        <w:pStyle w:val="4"/>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textAlignment w:val="auto"/>
        <w:outlineLvl w:val="0"/>
        <w:rPr>
          <w:rFonts w:ascii="楷体_GB2312" w:eastAsia="楷体_GB2312"/>
          <w:bCs/>
          <w:sz w:val="30"/>
          <w:szCs w:val="30"/>
        </w:rPr>
      </w:pPr>
      <w:bookmarkStart w:id="13" w:name="_Toc9737"/>
      <w:r>
        <w:rPr>
          <w:rFonts w:hint="eastAsia" w:ascii="楷体_GB2312" w:eastAsia="楷体_GB2312"/>
          <w:bCs/>
          <w:sz w:val="30"/>
          <w:szCs w:val="30"/>
        </w:rPr>
        <w:t>4.结果处理、分析和报告</w:t>
      </w:r>
      <w:bookmarkEnd w:id="13"/>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_GB2312" w:hAnsi="Times New Roman" w:eastAsia="仿宋_GB2312"/>
          <w:kern w:val="0"/>
          <w:sz w:val="30"/>
          <w:szCs w:val="30"/>
        </w:rPr>
      </w:pPr>
      <w:r>
        <w:rPr>
          <w:rFonts w:hint="eastAsia" w:ascii="仿宋_GB2312" w:hAnsi="Times New Roman" w:eastAsia="仿宋_GB2312"/>
          <w:kern w:val="0"/>
          <w:sz w:val="30"/>
          <w:szCs w:val="30"/>
        </w:rPr>
        <w:t xml:space="preserve">（1）金属组分的含量计算 </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_GB2312" w:hAnsi="Times New Roman" w:eastAsia="仿宋_GB2312"/>
          <w:kern w:val="0"/>
          <w:sz w:val="30"/>
          <w:szCs w:val="30"/>
        </w:rPr>
      </w:pPr>
      <w:r>
        <w:rPr>
          <w:rFonts w:hint="eastAsia" w:ascii="仿宋_GB2312" w:hAnsi="Times New Roman" w:eastAsia="仿宋_GB2312"/>
          <w:kern w:val="0"/>
          <w:sz w:val="30"/>
          <w:szCs w:val="30"/>
        </w:rPr>
        <w:t xml:space="preserve">按下式计算出溶液样品中金属组分的含量，计为浓度ρ，数值以 g/L 或 g/kg 表示。 </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_GB2312" w:hAnsi="Times New Roman" w:eastAsia="仿宋_GB2312"/>
          <w:kern w:val="0"/>
          <w:sz w:val="30"/>
          <w:szCs w:val="30"/>
        </w:rPr>
      </w:pPr>
      <w:r>
        <w:rPr>
          <w:rFonts w:hint="eastAsia" w:ascii="仿宋_GB2312" w:hAnsi="Times New Roman" w:eastAsia="仿宋_GB2312"/>
          <w:kern w:val="0"/>
          <w:sz w:val="30"/>
          <w:szCs w:val="30"/>
        </w:rPr>
        <w:t>取 3 次测定结果的算术平均值作为最终结果，结果保留 4 位有效数字。</w:t>
      </w:r>
    </w:p>
    <w:p>
      <w:pPr>
        <w:pStyle w:val="4"/>
        <w:adjustRightInd w:val="0"/>
        <w:snapToGrid w:val="0"/>
        <w:spacing w:line="240" w:lineRule="auto"/>
        <w:ind w:left="405" w:leftChars="193" w:firstLine="400" w:firstLineChars="200"/>
        <w:jc w:val="center"/>
        <w:rPr>
          <w:rFonts w:ascii="仿宋_GB2312" w:eastAsia="仿宋_GB2312"/>
          <w:color w:val="000000"/>
          <w:spacing w:val="2"/>
          <w:sz w:val="28"/>
          <w:szCs w:val="28"/>
        </w:rPr>
      </w:pPr>
      <w:r>
        <w:drawing>
          <wp:inline distT="0" distB="0" distL="0" distR="0">
            <wp:extent cx="1884045" cy="559435"/>
            <wp:effectExtent l="0" t="0" r="190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84045" cy="559435"/>
                    </a:xfrm>
                    <a:prstGeom prst="rect">
                      <a:avLst/>
                    </a:prstGeom>
                    <a:noFill/>
                    <a:ln>
                      <a:noFill/>
                    </a:ln>
                    <a:effectLst/>
                  </pic:spPr>
                </pic:pic>
              </a:graphicData>
            </a:graphic>
          </wp:inline>
        </w:drawing>
      </w:r>
    </w:p>
    <w:p>
      <w:pPr>
        <w:pStyle w:val="4"/>
        <w:keepNext w:val="0"/>
        <w:keepLines w:val="0"/>
        <w:pageBreakBefore w:val="0"/>
        <w:widowControl/>
        <w:kinsoku/>
        <w:wordWrap/>
        <w:overflowPunct/>
        <w:topLinePunct w:val="0"/>
        <w:autoSpaceDE/>
        <w:autoSpaceDN/>
        <w:bidi w:val="0"/>
        <w:adjustRightInd w:val="0"/>
        <w:snapToGrid w:val="0"/>
        <w:spacing w:line="560" w:lineRule="exact"/>
        <w:ind w:left="2055" w:leftChars="193" w:hanging="1650" w:hangingChars="550"/>
        <w:textAlignment w:val="auto"/>
        <w:outlineLvl w:val="9"/>
        <w:rPr>
          <w:rFonts w:ascii="仿宋_GB2312" w:eastAsia="仿宋_GB2312"/>
          <w:sz w:val="30"/>
          <w:szCs w:val="30"/>
        </w:rPr>
      </w:pPr>
      <w:r>
        <w:rPr>
          <w:rFonts w:hint="eastAsia" w:ascii="仿宋_GB2312" w:eastAsia="仿宋_GB2312"/>
          <w:sz w:val="30"/>
          <w:szCs w:val="30"/>
        </w:rPr>
        <w:t>式中：</w:t>
      </w:r>
      <w:r>
        <w:rPr>
          <w:rFonts w:hint="eastAsia" w:ascii="仿宋_GB2312" w:eastAsia="仿宋_GB2312"/>
          <w:i/>
          <w:iCs/>
          <w:sz w:val="30"/>
          <w:szCs w:val="30"/>
        </w:rPr>
        <w:t>c</w:t>
      </w:r>
      <w:r>
        <w:rPr>
          <w:rFonts w:hint="eastAsia" w:ascii="仿宋_GB2312" w:eastAsia="仿宋_GB2312"/>
          <w:sz w:val="30"/>
          <w:szCs w:val="30"/>
        </w:rPr>
        <w:t>——乙二胺四乙酸二钠标准滴定溶液浓度的准确数值，</w:t>
      </w:r>
    </w:p>
    <w:p>
      <w:pPr>
        <w:pStyle w:val="4"/>
        <w:keepNext w:val="0"/>
        <w:keepLines w:val="0"/>
        <w:pageBreakBefore w:val="0"/>
        <w:widowControl/>
        <w:kinsoku/>
        <w:wordWrap/>
        <w:overflowPunct/>
        <w:topLinePunct w:val="0"/>
        <w:autoSpaceDE/>
        <w:autoSpaceDN/>
        <w:bidi w:val="0"/>
        <w:adjustRightInd w:val="0"/>
        <w:snapToGrid w:val="0"/>
        <w:spacing w:line="560" w:lineRule="exact"/>
        <w:ind w:left="1877" w:leftChars="894"/>
        <w:textAlignment w:val="auto"/>
        <w:outlineLvl w:val="9"/>
        <w:rPr>
          <w:rFonts w:ascii="仿宋_GB2312" w:eastAsia="仿宋_GB2312"/>
          <w:sz w:val="30"/>
          <w:szCs w:val="30"/>
        </w:rPr>
      </w:pPr>
      <w:r>
        <w:rPr>
          <w:rFonts w:hint="eastAsia" w:ascii="仿宋_GB2312" w:eastAsia="仿宋_GB2312"/>
          <w:sz w:val="30"/>
          <w:szCs w:val="30"/>
        </w:rPr>
        <w:t>单位为摩尔/升（mol/L）； </w:t>
      </w:r>
    </w:p>
    <w:p>
      <w:pPr>
        <w:pStyle w:val="4"/>
        <w:keepNext w:val="0"/>
        <w:keepLines w:val="0"/>
        <w:pageBreakBefore w:val="0"/>
        <w:widowControl/>
        <w:kinsoku/>
        <w:wordWrap/>
        <w:overflowPunct/>
        <w:topLinePunct w:val="0"/>
        <w:autoSpaceDE/>
        <w:autoSpaceDN/>
        <w:bidi w:val="0"/>
        <w:adjustRightInd w:val="0"/>
        <w:snapToGrid w:val="0"/>
        <w:spacing w:line="560" w:lineRule="exact"/>
        <w:ind w:left="810" w:leftChars="386" w:firstLine="300" w:firstLineChars="100"/>
        <w:textAlignment w:val="auto"/>
        <w:outlineLvl w:val="9"/>
        <w:rPr>
          <w:rFonts w:ascii="仿宋_GB2312" w:eastAsia="仿宋_GB2312"/>
          <w:sz w:val="30"/>
          <w:szCs w:val="30"/>
        </w:rPr>
      </w:pPr>
      <w:r>
        <w:rPr>
          <w:rFonts w:hint="eastAsia" w:ascii="仿宋_GB2312" w:eastAsia="仿宋_GB2312"/>
          <w:i/>
          <w:iCs/>
          <w:sz w:val="30"/>
          <w:szCs w:val="30"/>
        </w:rPr>
        <w:t>V</w:t>
      </w:r>
      <w:r>
        <w:rPr>
          <w:rFonts w:hint="eastAsia" w:ascii="仿宋_GB2312" w:eastAsia="仿宋_GB2312"/>
          <w:sz w:val="30"/>
          <w:szCs w:val="30"/>
        </w:rPr>
        <w:t>——乙二胺四乙酸二钠标准滴定溶液浓度体积的数值，</w:t>
      </w:r>
    </w:p>
    <w:p>
      <w:pPr>
        <w:pStyle w:val="4"/>
        <w:keepNext w:val="0"/>
        <w:keepLines w:val="0"/>
        <w:pageBreakBefore w:val="0"/>
        <w:widowControl/>
        <w:kinsoku/>
        <w:wordWrap/>
        <w:overflowPunct/>
        <w:topLinePunct w:val="0"/>
        <w:autoSpaceDE/>
        <w:autoSpaceDN/>
        <w:bidi w:val="0"/>
        <w:adjustRightInd w:val="0"/>
        <w:snapToGrid w:val="0"/>
        <w:spacing w:line="560" w:lineRule="exact"/>
        <w:ind w:left="810" w:leftChars="386" w:firstLine="1050" w:firstLineChars="350"/>
        <w:textAlignment w:val="auto"/>
        <w:outlineLvl w:val="9"/>
        <w:rPr>
          <w:rFonts w:ascii="仿宋_GB2312" w:eastAsia="仿宋_GB2312"/>
          <w:sz w:val="30"/>
          <w:szCs w:val="30"/>
        </w:rPr>
      </w:pPr>
      <w:r>
        <w:rPr>
          <w:rFonts w:hint="eastAsia" w:ascii="仿宋_GB2312" w:eastAsia="仿宋_GB2312"/>
          <w:sz w:val="30"/>
          <w:szCs w:val="30"/>
        </w:rPr>
        <w:t>单位为毫升（mL）； </w:t>
      </w:r>
    </w:p>
    <w:p>
      <w:pPr>
        <w:keepNext w:val="0"/>
        <w:keepLines w:val="0"/>
        <w:pageBreakBefore w:val="0"/>
        <w:widowControl/>
        <w:kinsoku/>
        <w:wordWrap/>
        <w:overflowPunct/>
        <w:topLinePunct w:val="0"/>
        <w:autoSpaceDE/>
        <w:autoSpaceDN/>
        <w:bidi w:val="0"/>
        <w:spacing w:line="560" w:lineRule="exact"/>
        <w:ind w:firstLine="1200" w:firstLineChars="400"/>
        <w:jc w:val="left"/>
        <w:textAlignment w:val="auto"/>
        <w:outlineLvl w:val="9"/>
        <w:rPr>
          <w:rFonts w:ascii="仿宋_GB2312" w:eastAsia="仿宋_GB2312"/>
          <w:sz w:val="30"/>
          <w:szCs w:val="30"/>
        </w:rPr>
      </w:pPr>
      <w:r>
        <w:rPr>
          <w:rFonts w:hint="eastAsia" w:ascii="仿宋_GB2312" w:hAnsi="Times New Roman" w:eastAsia="仿宋_GB2312"/>
          <w:i/>
          <w:iCs/>
          <w:kern w:val="0"/>
          <w:sz w:val="30"/>
          <w:szCs w:val="30"/>
        </w:rPr>
        <w:t>S</w:t>
      </w:r>
      <w:r>
        <w:rPr>
          <w:rFonts w:hint="eastAsia" w:ascii="仿宋_GB2312" w:hAnsi="Times New Roman" w:eastAsia="仿宋_GB2312"/>
          <w:kern w:val="0"/>
          <w:sz w:val="30"/>
          <w:szCs w:val="30"/>
        </w:rPr>
        <w:t xml:space="preserve"> ——移取的样品体积，单位为毫升（mL）；或称取的样品质量，单位为克（g）；</w:t>
      </w:r>
      <w:r>
        <w:rPr>
          <w:rFonts w:hint="eastAsia" w:ascii="仿宋_GB2312" w:eastAsia="仿宋_GB2312"/>
          <w:sz w:val="30"/>
          <w:szCs w:val="30"/>
        </w:rPr>
        <w:t> </w:t>
      </w:r>
    </w:p>
    <w:p>
      <w:pPr>
        <w:pStyle w:val="4"/>
        <w:keepNext w:val="0"/>
        <w:keepLines w:val="0"/>
        <w:pageBreakBefore w:val="0"/>
        <w:widowControl/>
        <w:kinsoku/>
        <w:wordWrap/>
        <w:overflowPunct/>
        <w:topLinePunct w:val="0"/>
        <w:autoSpaceDE/>
        <w:autoSpaceDN/>
        <w:bidi w:val="0"/>
        <w:adjustRightInd w:val="0"/>
        <w:snapToGrid w:val="0"/>
        <w:spacing w:line="560" w:lineRule="exact"/>
        <w:ind w:left="113" w:leftChars="54" w:firstLine="1050" w:firstLineChars="350"/>
        <w:textAlignment w:val="auto"/>
        <w:outlineLvl w:val="9"/>
        <w:rPr>
          <w:rFonts w:ascii="仿宋_GB2312" w:eastAsia="仿宋_GB2312"/>
          <w:sz w:val="30"/>
          <w:szCs w:val="30"/>
        </w:rPr>
      </w:pPr>
      <w:r>
        <w:rPr>
          <w:rFonts w:hint="eastAsia" w:ascii="仿宋_GB2312" w:eastAsia="仿宋_GB2312"/>
          <w:i/>
          <w:iCs/>
          <w:sz w:val="30"/>
          <w:szCs w:val="30"/>
        </w:rPr>
        <w:t>M</w:t>
      </w:r>
      <w:r>
        <w:rPr>
          <w:rFonts w:hint="eastAsia" w:ascii="仿宋_GB2312" w:eastAsia="仿宋_GB2312"/>
          <w:sz w:val="30"/>
          <w:szCs w:val="30"/>
        </w:rPr>
        <w:t xml:space="preserve"> ——钴（或镍）的原子质量，单位为克/摩尔（g/mo1） [M(Co)=58.93或M(</w:t>
      </w:r>
      <w:r>
        <w:rPr>
          <w:rFonts w:ascii="仿宋_GB2312" w:eastAsia="仿宋_GB2312"/>
          <w:sz w:val="30"/>
          <w:szCs w:val="30"/>
        </w:rPr>
        <w:t>N</w:t>
      </w:r>
      <w:r>
        <w:rPr>
          <w:rFonts w:hint="eastAsia" w:ascii="仿宋_GB2312" w:eastAsia="仿宋_GB2312"/>
          <w:sz w:val="30"/>
          <w:szCs w:val="30"/>
        </w:rPr>
        <w:t>i)= 58.69]。</w:t>
      </w:r>
    </w:p>
    <w:p>
      <w:pPr>
        <w:pStyle w:val="4"/>
        <w:keepNext w:val="0"/>
        <w:keepLines w:val="0"/>
        <w:pageBreakBefore w:val="0"/>
        <w:widowControl/>
        <w:kinsoku/>
        <w:wordWrap/>
        <w:overflowPunct/>
        <w:topLinePunct w:val="0"/>
        <w:autoSpaceDE/>
        <w:autoSpaceDN/>
        <w:bidi w:val="0"/>
        <w:adjustRightInd w:val="0"/>
        <w:snapToGrid w:val="0"/>
        <w:spacing w:line="560" w:lineRule="exact"/>
        <w:ind w:left="405" w:leftChars="193" w:firstLine="600" w:firstLineChars="200"/>
        <w:textAlignment w:val="auto"/>
        <w:outlineLvl w:val="9"/>
        <w:rPr>
          <w:rFonts w:ascii="仿宋_GB2312" w:eastAsia="仿宋_GB2312"/>
          <w:sz w:val="30"/>
          <w:szCs w:val="30"/>
        </w:rPr>
      </w:pPr>
      <w:r>
        <w:rPr>
          <w:rFonts w:hint="eastAsia" w:ascii="仿宋_GB2312" w:eastAsia="仿宋_GB2312"/>
          <w:sz w:val="30"/>
          <w:szCs w:val="30"/>
        </w:rPr>
        <w:t>（2）误差分析</w:t>
      </w:r>
    </w:p>
    <w:p>
      <w:pPr>
        <w:pStyle w:val="4"/>
        <w:keepNext w:val="0"/>
        <w:keepLines w:val="0"/>
        <w:pageBreakBefore w:val="0"/>
        <w:widowControl/>
        <w:kinsoku/>
        <w:wordWrap/>
        <w:overflowPunct/>
        <w:topLinePunct w:val="0"/>
        <w:autoSpaceDE/>
        <w:autoSpaceDN/>
        <w:bidi w:val="0"/>
        <w:adjustRightInd w:val="0"/>
        <w:snapToGrid w:val="0"/>
        <w:spacing w:line="560" w:lineRule="exact"/>
        <w:ind w:left="405" w:leftChars="193" w:firstLine="600" w:firstLineChars="200"/>
        <w:textAlignment w:val="auto"/>
        <w:outlineLvl w:val="9"/>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对结果的精密度进行分析，以相对极差A（%）表示，结果精确至小数点后一位，计算公式如下：</w:t>
      </w:r>
    </w:p>
    <w:p>
      <w:pPr>
        <w:adjustRightInd w:val="0"/>
        <w:snapToGrid w:val="0"/>
        <w:jc w:val="center"/>
        <w:rPr>
          <w:rFonts w:ascii="仿宋_GB2312" w:eastAsia="仿宋_GB2312"/>
          <w:color w:val="000000"/>
          <w:sz w:val="28"/>
          <w:szCs w:val="28"/>
        </w:rPr>
      </w:pPr>
      <w:r>
        <w:pict>
          <v:shape id="_x0000_i1026" o:spt="75" type="#_x0000_t75" style="height:50.25pt;width:122.25pt;" filled="f" o:preferrelative="t" stroked="f" coordsize="21600,21600">
            <v:path/>
            <v:fill on="f" focussize="0,0"/>
            <v:stroke on="f" joinstyle="miter"/>
            <v:imagedata r:id="rId8" chromakey="#FFFFFF" o:title=""/>
            <o:lock v:ext="edit" aspectratio="t"/>
            <w10:wrap type="none"/>
            <w10:anchorlock/>
          </v:shape>
        </w:pict>
      </w:r>
    </w:p>
    <w:p>
      <w:pPr>
        <w:pStyle w:val="4"/>
        <w:keepNext w:val="0"/>
        <w:keepLines w:val="0"/>
        <w:pageBreakBefore w:val="0"/>
        <w:widowControl/>
        <w:kinsoku/>
        <w:wordWrap/>
        <w:overflowPunct/>
        <w:topLinePunct w:val="0"/>
        <w:autoSpaceDE/>
        <w:autoSpaceDN/>
        <w:bidi w:val="0"/>
        <w:adjustRightInd w:val="0"/>
        <w:snapToGrid w:val="0"/>
        <w:spacing w:after="0" w:line="560" w:lineRule="exact"/>
        <w:ind w:left="405" w:leftChars="193" w:firstLine="600" w:firstLineChars="200"/>
        <w:textAlignment w:val="auto"/>
        <w:outlineLvl w:val="9"/>
        <w:rPr>
          <w:rFonts w:ascii="仿宋_GB2312" w:eastAsia="仿宋_GB2312"/>
          <w:sz w:val="30"/>
          <w:szCs w:val="30"/>
        </w:rPr>
      </w:pPr>
      <w:r>
        <w:rPr>
          <w:rFonts w:hint="eastAsia" w:ascii="仿宋_GB2312" w:eastAsia="仿宋_GB2312"/>
          <w:sz w:val="30"/>
          <w:szCs w:val="30"/>
        </w:rPr>
        <w:t>式中：</w:t>
      </w:r>
      <w:r>
        <w:rPr>
          <w:rFonts w:hint="eastAsia" w:ascii="仿宋_GB2312" w:eastAsia="仿宋_GB2312"/>
          <w:i/>
          <w:iCs/>
          <w:sz w:val="30"/>
          <w:szCs w:val="30"/>
        </w:rPr>
        <w:t>X</w:t>
      </w:r>
      <w:r>
        <w:rPr>
          <w:rFonts w:hint="eastAsia" w:ascii="仿宋_GB2312" w:eastAsia="仿宋_GB2312"/>
          <w:i/>
          <w:iCs/>
          <w:sz w:val="30"/>
          <w:szCs w:val="30"/>
          <w:vertAlign w:val="subscript"/>
        </w:rPr>
        <w:t>1</w:t>
      </w:r>
      <w:r>
        <w:rPr>
          <w:rFonts w:hint="eastAsia" w:ascii="仿宋_GB2312" w:eastAsia="仿宋_GB2312"/>
          <w:sz w:val="30"/>
          <w:szCs w:val="30"/>
        </w:rPr>
        <w:t xml:space="preserve"> ——平行测定的最大值；</w:t>
      </w:r>
    </w:p>
    <w:p>
      <w:pPr>
        <w:pStyle w:val="4"/>
        <w:keepNext w:val="0"/>
        <w:keepLines w:val="0"/>
        <w:pageBreakBefore w:val="0"/>
        <w:widowControl/>
        <w:kinsoku/>
        <w:wordWrap/>
        <w:overflowPunct/>
        <w:topLinePunct w:val="0"/>
        <w:autoSpaceDE/>
        <w:autoSpaceDN/>
        <w:bidi w:val="0"/>
        <w:adjustRightInd w:val="0"/>
        <w:snapToGrid w:val="0"/>
        <w:spacing w:after="0" w:line="560" w:lineRule="exact"/>
        <w:ind w:left="810" w:leftChars="386" w:firstLine="1050" w:firstLineChars="350"/>
        <w:textAlignment w:val="auto"/>
        <w:outlineLvl w:val="9"/>
        <w:rPr>
          <w:rFonts w:ascii="仿宋_GB2312" w:eastAsia="仿宋_GB2312"/>
          <w:sz w:val="30"/>
          <w:szCs w:val="30"/>
        </w:rPr>
      </w:pPr>
      <w:r>
        <w:rPr>
          <w:rFonts w:hint="eastAsia" w:ascii="仿宋_GB2312" w:eastAsia="仿宋_GB2312"/>
          <w:i/>
          <w:iCs/>
          <w:sz w:val="30"/>
          <w:szCs w:val="30"/>
        </w:rPr>
        <w:t>X</w:t>
      </w:r>
      <w:r>
        <w:rPr>
          <w:rFonts w:hint="eastAsia" w:ascii="仿宋_GB2312" w:eastAsia="仿宋_GB2312"/>
          <w:i/>
          <w:iCs/>
          <w:sz w:val="30"/>
          <w:szCs w:val="30"/>
          <w:vertAlign w:val="subscript"/>
        </w:rPr>
        <w:t>2</w:t>
      </w:r>
      <w:r>
        <w:rPr>
          <w:rFonts w:hint="eastAsia" w:ascii="仿宋_GB2312" w:eastAsia="仿宋_GB2312"/>
          <w:sz w:val="30"/>
          <w:szCs w:val="30"/>
        </w:rPr>
        <w:t xml:space="preserve"> ——平行测定的最小值；</w:t>
      </w:r>
    </w:p>
    <w:p>
      <w:pPr>
        <w:pStyle w:val="4"/>
        <w:keepNext w:val="0"/>
        <w:keepLines w:val="0"/>
        <w:pageBreakBefore w:val="0"/>
        <w:widowControl/>
        <w:kinsoku/>
        <w:wordWrap/>
        <w:overflowPunct/>
        <w:topLinePunct w:val="0"/>
        <w:autoSpaceDE/>
        <w:autoSpaceDN/>
        <w:bidi w:val="0"/>
        <w:adjustRightInd w:val="0"/>
        <w:snapToGrid w:val="0"/>
        <w:spacing w:after="0" w:line="560" w:lineRule="exact"/>
        <w:ind w:left="810" w:leftChars="386" w:firstLine="900" w:firstLineChars="300"/>
        <w:textAlignment w:val="auto"/>
        <w:outlineLvl w:val="9"/>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QUOTE </w:instrText>
      </w:r>
      <w:r>
        <w:rPr>
          <w:rFonts w:ascii="仿宋_GB2312" w:eastAsia="仿宋_GB2312"/>
          <w:position w:val="-21"/>
          <w:sz w:val="30"/>
          <w:szCs w:val="30"/>
        </w:rPr>
        <w:pict>
          <v:shape id="_x0000_i1027" o:spt="75" type="#_x0000_t75" style="height:29.25pt;width:14.25pt;" filled="f" o:preferrelative="t" stroked="f" coordsize="21600,21600">
            <v:path/>
            <v:fill on="f" focussize="0,0"/>
            <v:stroke on="f" joinstyle="miter"/>
            <v:imagedata r:id="rId9" chromakey="#FFFFFF" o:title=""/>
            <o:lock v:ext="edit" aspectratio="t"/>
            <w10:wrap type="none"/>
            <w10:anchorlock/>
          </v:shape>
        </w:pict>
      </w:r>
      <w:r>
        <w:rPr>
          <w:rFonts w:hint="eastAsia" w:ascii="仿宋_GB2312" w:eastAsia="仿宋_GB2312"/>
          <w:sz w:val="30"/>
          <w:szCs w:val="30"/>
        </w:rPr>
        <w:fldChar w:fldCharType="separate"/>
      </w:r>
      <w:r>
        <w:rPr>
          <w:rFonts w:ascii="仿宋_GB2312" w:eastAsia="仿宋_GB2312"/>
          <w:position w:val="-21"/>
          <w:sz w:val="30"/>
          <w:szCs w:val="30"/>
        </w:rPr>
        <w:pict>
          <v:shape id="_x0000_i1028" o:spt="75" type="#_x0000_t75" style="height:29.25pt;width:14.25pt;" filled="f" o:preferrelative="t" stroked="f" coordsize="21600,21600">
            <v:path/>
            <v:fill on="f" focussize="0,0"/>
            <v:stroke on="f" joinstyle="miter"/>
            <v:imagedata r:id="rId9" chromakey="#FFFFFF" o:title=""/>
            <o:lock v:ext="edit" aspectratio="t"/>
            <w10:wrap type="none"/>
            <w10:anchorlock/>
          </v:shape>
        </w:pict>
      </w:r>
      <w:r>
        <w:rPr>
          <w:rFonts w:hint="eastAsia" w:ascii="仿宋_GB2312" w:eastAsia="仿宋_GB2312"/>
          <w:sz w:val="30"/>
          <w:szCs w:val="30"/>
        </w:rPr>
        <w:fldChar w:fldCharType="end"/>
      </w:r>
      <w:r>
        <w:rPr>
          <w:rFonts w:hint="eastAsia" w:ascii="仿宋_GB2312" w:eastAsia="仿宋_GB2312"/>
          <w:sz w:val="30"/>
          <w:szCs w:val="30"/>
        </w:rPr>
        <w:t xml:space="preserve"> ——平行测定的平均值。</w:t>
      </w:r>
    </w:p>
    <w:p>
      <w:pPr>
        <w:pStyle w:val="4"/>
        <w:keepNext w:val="0"/>
        <w:keepLines w:val="0"/>
        <w:pageBreakBefore w:val="0"/>
        <w:widowControl/>
        <w:kinsoku/>
        <w:wordWrap/>
        <w:overflowPunct/>
        <w:topLinePunct w:val="0"/>
        <w:autoSpaceDE/>
        <w:autoSpaceDN/>
        <w:bidi w:val="0"/>
        <w:adjustRightInd w:val="0"/>
        <w:snapToGrid w:val="0"/>
        <w:spacing w:after="0" w:line="560" w:lineRule="exact"/>
        <w:ind w:left="405" w:leftChars="193" w:firstLine="600" w:firstLineChars="200"/>
        <w:textAlignment w:val="auto"/>
        <w:outlineLvl w:val="9"/>
        <w:rPr>
          <w:rFonts w:ascii="仿宋_GB2312" w:eastAsia="仿宋_GB2312"/>
          <w:sz w:val="30"/>
          <w:szCs w:val="30"/>
        </w:rPr>
      </w:pPr>
      <w:r>
        <w:rPr>
          <w:rFonts w:hint="eastAsia" w:ascii="仿宋_GB2312" w:eastAsia="仿宋_GB2312"/>
          <w:sz w:val="30"/>
          <w:szCs w:val="30"/>
        </w:rPr>
        <w:t>（3）撰写报告</w:t>
      </w:r>
    </w:p>
    <w:p>
      <w:pPr>
        <w:pStyle w:val="4"/>
        <w:keepNext w:val="0"/>
        <w:keepLines w:val="0"/>
        <w:pageBreakBefore w:val="0"/>
        <w:widowControl/>
        <w:kinsoku/>
        <w:wordWrap/>
        <w:overflowPunct/>
        <w:topLinePunct w:val="0"/>
        <w:autoSpaceDE/>
        <w:autoSpaceDN/>
        <w:bidi w:val="0"/>
        <w:adjustRightInd w:val="0"/>
        <w:snapToGrid w:val="0"/>
        <w:spacing w:after="0" w:line="560" w:lineRule="exact"/>
        <w:ind w:left="405" w:leftChars="193" w:firstLine="600" w:firstLineChars="200"/>
        <w:textAlignment w:val="auto"/>
        <w:outlineLvl w:val="9"/>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请完成一份报告，应包括：实验过程中必须做好的健康、安全、环保措施；实验中的物料计算和过程记录、数据处理、结果的评价和问题分析。</w:t>
      </w:r>
    </w:p>
    <w:p>
      <w:pPr>
        <w:pStyle w:val="2"/>
        <w:pageBreakBefore w:val="0"/>
        <w:kinsoku/>
        <w:wordWrap/>
        <w:overflowPunct/>
        <w:topLinePunct w:val="0"/>
        <w:autoSpaceDE/>
        <w:autoSpaceDN/>
        <w:bidi w:val="0"/>
        <w:spacing w:line="560" w:lineRule="exact"/>
        <w:jc w:val="center"/>
        <w:textAlignment w:val="auto"/>
        <w:rPr>
          <w:rFonts w:hint="eastAsia" w:ascii="黑体" w:hAnsi="黑体" w:eastAsia="黑体"/>
          <w:b w:val="0"/>
          <w:sz w:val="30"/>
          <w:szCs w:val="30"/>
        </w:rPr>
      </w:pPr>
    </w:p>
    <w:p>
      <w:pPr>
        <w:pStyle w:val="2"/>
        <w:pageBreakBefore w:val="0"/>
        <w:kinsoku/>
        <w:wordWrap/>
        <w:overflowPunct/>
        <w:topLinePunct w:val="0"/>
        <w:autoSpaceDE/>
        <w:autoSpaceDN/>
        <w:bidi w:val="0"/>
        <w:spacing w:line="560" w:lineRule="exact"/>
        <w:jc w:val="center"/>
        <w:textAlignment w:val="auto"/>
        <w:rPr>
          <w:rFonts w:ascii="黑体" w:hAnsi="黑体" w:eastAsia="黑体"/>
          <w:b w:val="0"/>
          <w:sz w:val="30"/>
          <w:szCs w:val="30"/>
        </w:rPr>
      </w:pPr>
      <w:r>
        <w:rPr>
          <w:rFonts w:hint="eastAsia" w:ascii="黑体" w:hAnsi="黑体" w:eastAsia="黑体"/>
          <w:b w:val="0"/>
          <w:sz w:val="30"/>
          <w:szCs w:val="30"/>
        </w:rPr>
        <w:t>B模块：样品中铁含量的测定</w:t>
      </w:r>
    </w:p>
    <w:p>
      <w:pPr>
        <w:pStyle w:val="4"/>
        <w:pageBreakBefore w:val="0"/>
        <w:widowControl w:val="0"/>
        <w:numPr>
          <w:ilvl w:val="0"/>
          <w:numId w:val="16"/>
        </w:numPr>
        <w:kinsoku/>
        <w:wordWrap/>
        <w:overflowPunct/>
        <w:topLinePunct w:val="0"/>
        <w:autoSpaceDE/>
        <w:autoSpaceDN/>
        <w:bidi w:val="0"/>
        <w:adjustRightInd w:val="0"/>
        <w:snapToGrid w:val="0"/>
        <w:spacing w:after="0" w:line="560" w:lineRule="exact"/>
        <w:textAlignment w:val="auto"/>
        <w:rPr>
          <w:rFonts w:ascii="仿宋_GB2312" w:eastAsia="仿宋_GB2312"/>
          <w:sz w:val="30"/>
          <w:szCs w:val="30"/>
        </w:rPr>
      </w:pPr>
      <w:r>
        <w:rPr>
          <w:rFonts w:hint="eastAsia" w:ascii="仿宋_GB2312" w:eastAsia="仿宋_GB2312"/>
          <w:sz w:val="30"/>
          <w:szCs w:val="30"/>
        </w:rPr>
        <w:t>健康和安全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eastAsia="仿宋_GB2312"/>
          <w:sz w:val="30"/>
          <w:szCs w:val="30"/>
        </w:rPr>
      </w:pPr>
      <w:r>
        <w:rPr>
          <w:rFonts w:hint="eastAsia" w:ascii="仿宋_GB2312" w:eastAsia="仿宋_GB2312"/>
          <w:sz w:val="30"/>
          <w:szCs w:val="30"/>
        </w:rPr>
        <w:t>请描述本模块涉及的健康和安全问题及预防措施。</w:t>
      </w:r>
    </w:p>
    <w:p>
      <w:pPr>
        <w:pStyle w:val="4"/>
        <w:pageBreakBefore w:val="0"/>
        <w:widowControl w:val="0"/>
        <w:numPr>
          <w:ilvl w:val="0"/>
          <w:numId w:val="16"/>
        </w:numPr>
        <w:kinsoku/>
        <w:wordWrap/>
        <w:overflowPunct/>
        <w:topLinePunct w:val="0"/>
        <w:autoSpaceDE/>
        <w:autoSpaceDN/>
        <w:bidi w:val="0"/>
        <w:adjustRightInd w:val="0"/>
        <w:snapToGrid w:val="0"/>
        <w:spacing w:after="0" w:line="560" w:lineRule="exact"/>
        <w:textAlignment w:val="auto"/>
        <w:rPr>
          <w:rFonts w:ascii="仿宋_GB2312" w:eastAsia="仿宋_GB2312"/>
          <w:sz w:val="30"/>
          <w:szCs w:val="30"/>
        </w:rPr>
      </w:pPr>
      <w:r>
        <w:rPr>
          <w:rFonts w:hint="eastAsia" w:ascii="仿宋_GB2312" w:eastAsia="仿宋_GB2312"/>
          <w:sz w:val="30"/>
          <w:szCs w:val="30"/>
        </w:rPr>
        <w:t>环保</w:t>
      </w:r>
    </w:p>
    <w:p>
      <w:pPr>
        <w:pageBreakBefore w:val="0"/>
        <w:widowControl/>
        <w:kinsoku/>
        <w:wordWrap/>
        <w:overflowPunct/>
        <w:topLinePunct w:val="0"/>
        <w:autoSpaceDE/>
        <w:autoSpaceDN/>
        <w:bidi w:val="0"/>
        <w:spacing w:line="560" w:lineRule="exact"/>
        <w:ind w:firstLine="900" w:firstLineChars="300"/>
        <w:jc w:val="left"/>
        <w:textAlignment w:val="auto"/>
        <w:rPr>
          <w:rFonts w:ascii="仿宋_GB2312" w:eastAsia="仿宋_GB2312"/>
          <w:sz w:val="30"/>
          <w:szCs w:val="30"/>
        </w:rPr>
      </w:pPr>
      <w:r>
        <w:rPr>
          <w:rFonts w:hint="eastAsia" w:ascii="仿宋_GB2312" w:hAnsi="Times New Roman" w:eastAsia="仿宋_GB2312"/>
          <w:kern w:val="0"/>
          <w:sz w:val="30"/>
          <w:szCs w:val="30"/>
        </w:rPr>
        <w:t>请描述本模块可能产生的环保隐患和所需采取的预防措施。</w:t>
      </w:r>
    </w:p>
    <w:p>
      <w:pPr>
        <w:pStyle w:val="4"/>
        <w:pageBreakBefore w:val="0"/>
        <w:widowControl w:val="0"/>
        <w:numPr>
          <w:ilvl w:val="0"/>
          <w:numId w:val="16"/>
        </w:numPr>
        <w:kinsoku/>
        <w:wordWrap/>
        <w:overflowPunct/>
        <w:topLinePunct w:val="0"/>
        <w:autoSpaceDE/>
        <w:autoSpaceDN/>
        <w:bidi w:val="0"/>
        <w:adjustRightInd w:val="0"/>
        <w:snapToGrid w:val="0"/>
        <w:spacing w:after="0" w:line="560" w:lineRule="exact"/>
        <w:textAlignment w:val="auto"/>
        <w:rPr>
          <w:rFonts w:ascii="仿宋_GB2312" w:hAnsi="Calibri" w:eastAsia="仿宋_GB2312"/>
          <w:kern w:val="2"/>
          <w:sz w:val="30"/>
          <w:szCs w:val="30"/>
        </w:rPr>
      </w:pPr>
      <w:r>
        <w:rPr>
          <w:rFonts w:hint="eastAsia" w:ascii="仿宋_GB2312" w:eastAsia="仿宋_GB2312"/>
          <w:sz w:val="30"/>
          <w:szCs w:val="30"/>
        </w:rPr>
        <w:t>基本原理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eastAsia="仿宋_GB2312"/>
          <w:sz w:val="30"/>
          <w:szCs w:val="30"/>
        </w:rPr>
      </w:pPr>
      <w:r>
        <w:rPr>
          <w:rFonts w:hint="eastAsia" w:ascii="仿宋_GB2312" w:eastAsia="仿宋_GB2312"/>
          <w:sz w:val="30"/>
          <w:szCs w:val="30"/>
        </w:rPr>
        <w:t>该方法基于特定pH条件下，二价铁离子可以与特定显色剂（1,10-菲啰啉或磺基水杨酸）生成有色配合物，有色配合物在最大吸收波长处测量的吸光度符合朗伯比尔定律(Lambert-Beer)。</w:t>
      </w:r>
    </w:p>
    <w:p>
      <w:pPr>
        <w:pStyle w:val="4"/>
        <w:pageBreakBefore w:val="0"/>
        <w:widowControl w:val="0"/>
        <w:numPr>
          <w:ilvl w:val="0"/>
          <w:numId w:val="16"/>
        </w:numPr>
        <w:kinsoku/>
        <w:wordWrap/>
        <w:overflowPunct/>
        <w:topLinePunct w:val="0"/>
        <w:autoSpaceDE/>
        <w:autoSpaceDN/>
        <w:bidi w:val="0"/>
        <w:adjustRightInd w:val="0"/>
        <w:snapToGrid w:val="0"/>
        <w:spacing w:after="0" w:line="560" w:lineRule="exact"/>
        <w:textAlignment w:val="auto"/>
        <w:rPr>
          <w:rFonts w:ascii="仿宋_GB2312" w:eastAsia="仿宋_GB2312"/>
          <w:sz w:val="30"/>
          <w:szCs w:val="30"/>
        </w:rPr>
      </w:pPr>
      <w:r>
        <w:rPr>
          <w:rFonts w:hint="eastAsia" w:ascii="仿宋_GB2312" w:eastAsia="仿宋_GB2312"/>
          <w:sz w:val="30"/>
          <w:szCs w:val="30"/>
        </w:rPr>
        <w:t>目标</w:t>
      </w:r>
    </w:p>
    <w:p>
      <w:pPr>
        <w:pStyle w:val="4"/>
        <w:pageBreakBefore w:val="0"/>
        <w:widowControl w:val="0"/>
        <w:numPr>
          <w:ilvl w:val="0"/>
          <w:numId w:val="17"/>
        </w:numPr>
        <w:kinsoku/>
        <w:wordWrap/>
        <w:overflowPunct/>
        <w:topLinePunct w:val="0"/>
        <w:autoSpaceDE/>
        <w:autoSpaceDN/>
        <w:bidi w:val="0"/>
        <w:adjustRightInd w:val="0"/>
        <w:snapToGrid w:val="0"/>
        <w:spacing w:after="0" w:line="560" w:lineRule="exact"/>
        <w:ind w:left="1276" w:hanging="283"/>
        <w:textAlignment w:val="auto"/>
        <w:rPr>
          <w:rFonts w:ascii="仿宋_GB2312" w:eastAsia="仿宋_GB2312"/>
          <w:sz w:val="30"/>
          <w:szCs w:val="30"/>
        </w:rPr>
      </w:pPr>
      <w:r>
        <w:rPr>
          <w:rFonts w:hint="eastAsia" w:ascii="仿宋_GB2312" w:eastAsia="仿宋_GB2312"/>
          <w:sz w:val="30"/>
          <w:szCs w:val="30"/>
        </w:rPr>
        <w:t>配制指定的实验试剂溶液</w:t>
      </w:r>
    </w:p>
    <w:p>
      <w:pPr>
        <w:pStyle w:val="4"/>
        <w:pageBreakBefore w:val="0"/>
        <w:widowControl w:val="0"/>
        <w:numPr>
          <w:ilvl w:val="0"/>
          <w:numId w:val="17"/>
        </w:numPr>
        <w:kinsoku/>
        <w:wordWrap/>
        <w:overflowPunct/>
        <w:topLinePunct w:val="0"/>
        <w:autoSpaceDE/>
        <w:autoSpaceDN/>
        <w:bidi w:val="0"/>
        <w:adjustRightInd w:val="0"/>
        <w:snapToGrid w:val="0"/>
        <w:spacing w:after="0" w:line="560" w:lineRule="exact"/>
        <w:ind w:left="1276" w:hanging="283"/>
        <w:textAlignment w:val="auto"/>
        <w:rPr>
          <w:rFonts w:ascii="仿宋_GB2312" w:eastAsia="仿宋_GB2312"/>
          <w:sz w:val="30"/>
          <w:szCs w:val="30"/>
        </w:rPr>
      </w:pPr>
      <w:r>
        <w:rPr>
          <w:rFonts w:hint="eastAsia" w:ascii="仿宋_GB2312" w:eastAsia="仿宋_GB2312"/>
          <w:sz w:val="30"/>
          <w:szCs w:val="30"/>
        </w:rPr>
        <w:t>测定样品中铁的浓度（mg/L）</w:t>
      </w:r>
    </w:p>
    <w:p>
      <w:pPr>
        <w:pStyle w:val="4"/>
        <w:pageBreakBefore w:val="0"/>
        <w:widowControl w:val="0"/>
        <w:numPr>
          <w:ilvl w:val="0"/>
          <w:numId w:val="17"/>
        </w:numPr>
        <w:kinsoku/>
        <w:wordWrap/>
        <w:overflowPunct/>
        <w:topLinePunct w:val="0"/>
        <w:autoSpaceDE/>
        <w:autoSpaceDN/>
        <w:bidi w:val="0"/>
        <w:adjustRightInd w:val="0"/>
        <w:snapToGrid w:val="0"/>
        <w:spacing w:after="0" w:line="560" w:lineRule="exact"/>
        <w:ind w:left="1276" w:hanging="283"/>
        <w:textAlignment w:val="auto"/>
        <w:rPr>
          <w:rFonts w:ascii="仿宋_GB2312" w:eastAsia="仿宋_GB2312"/>
          <w:sz w:val="30"/>
          <w:szCs w:val="30"/>
        </w:rPr>
      </w:pPr>
      <w:r>
        <w:rPr>
          <w:rFonts w:hint="eastAsia" w:ascii="仿宋_GB2312" w:eastAsia="仿宋_GB2312"/>
          <w:sz w:val="30"/>
          <w:szCs w:val="30"/>
        </w:rPr>
        <w:t>完成报告</w:t>
      </w:r>
    </w:p>
    <w:p>
      <w:pPr>
        <w:pStyle w:val="4"/>
        <w:pageBreakBefore w:val="0"/>
        <w:kinsoku/>
        <w:wordWrap/>
        <w:overflowPunct/>
        <w:topLinePunct w:val="0"/>
        <w:autoSpaceDE/>
        <w:autoSpaceDN/>
        <w:bidi w:val="0"/>
        <w:adjustRightInd w:val="0"/>
        <w:snapToGrid w:val="0"/>
        <w:spacing w:line="560" w:lineRule="exact"/>
        <w:ind w:left="993"/>
        <w:textAlignment w:val="auto"/>
        <w:rPr>
          <w:rFonts w:ascii="仿宋_GB2312" w:eastAsia="仿宋_GB2312"/>
          <w:b/>
          <w:bCs/>
          <w:sz w:val="30"/>
          <w:szCs w:val="30"/>
        </w:rPr>
      </w:pPr>
      <w:r>
        <w:rPr>
          <w:rFonts w:hint="eastAsia" w:ascii="仿宋_GB2312" w:eastAsia="仿宋_GB2312"/>
          <w:b/>
          <w:bCs/>
          <w:sz w:val="30"/>
          <w:szCs w:val="30"/>
        </w:rPr>
        <w:t>完成工作的总时间是</w:t>
      </w:r>
      <w:r>
        <w:rPr>
          <w:rFonts w:ascii="仿宋_GB2312" w:eastAsia="仿宋_GB2312"/>
          <w:b/>
          <w:bCs/>
          <w:sz w:val="30"/>
          <w:szCs w:val="30"/>
        </w:rPr>
        <w:t>210</w:t>
      </w:r>
      <w:r>
        <w:rPr>
          <w:rFonts w:hint="eastAsia" w:ascii="仿宋_GB2312" w:eastAsia="仿宋_GB2312"/>
          <w:b/>
          <w:bCs/>
          <w:sz w:val="30"/>
          <w:szCs w:val="30"/>
        </w:rPr>
        <w:t>分钟。</w:t>
      </w:r>
    </w:p>
    <w:p>
      <w:pPr>
        <w:pStyle w:val="4"/>
        <w:pageBreakBefore w:val="0"/>
        <w:widowControl w:val="0"/>
        <w:numPr>
          <w:ilvl w:val="0"/>
          <w:numId w:val="16"/>
        </w:numPr>
        <w:kinsoku/>
        <w:wordWrap/>
        <w:overflowPunct/>
        <w:topLinePunct w:val="0"/>
        <w:autoSpaceDE/>
        <w:autoSpaceDN/>
        <w:bidi w:val="0"/>
        <w:adjustRightInd w:val="0"/>
        <w:snapToGrid w:val="0"/>
        <w:spacing w:after="0" w:line="560" w:lineRule="exact"/>
        <w:textAlignment w:val="auto"/>
        <w:rPr>
          <w:rFonts w:ascii="仿宋_GB2312" w:eastAsia="仿宋_GB2312"/>
          <w:sz w:val="30"/>
          <w:szCs w:val="30"/>
        </w:rPr>
      </w:pPr>
      <w:r>
        <w:rPr>
          <w:rFonts w:hint="eastAsia" w:ascii="仿宋_GB2312" w:eastAsia="仿宋_GB2312"/>
          <w:sz w:val="30"/>
          <w:szCs w:val="30"/>
        </w:rPr>
        <w:t>仪器设备、试剂和解决方案</w:t>
      </w:r>
    </w:p>
    <w:p>
      <w:pPr>
        <w:pStyle w:val="4"/>
        <w:pageBreakBefore w:val="0"/>
        <w:kinsoku/>
        <w:wordWrap/>
        <w:overflowPunct/>
        <w:topLinePunct w:val="0"/>
        <w:autoSpaceDE/>
        <w:autoSpaceDN/>
        <w:bidi w:val="0"/>
        <w:adjustRightInd w:val="0"/>
        <w:snapToGrid w:val="0"/>
        <w:spacing w:line="560" w:lineRule="exact"/>
        <w:ind w:left="405" w:leftChars="193" w:firstLine="600" w:firstLineChars="200"/>
        <w:textAlignment w:val="auto"/>
        <w:rPr>
          <w:rFonts w:ascii="楷体_GB2312" w:eastAsia="楷体_GB2312"/>
          <w:bCs/>
          <w:sz w:val="30"/>
          <w:szCs w:val="30"/>
        </w:rPr>
      </w:pPr>
      <w:r>
        <w:rPr>
          <w:rFonts w:hint="eastAsia" w:ascii="楷体_GB2312" w:eastAsia="楷体_GB2312"/>
          <w:bCs/>
          <w:sz w:val="30"/>
          <w:szCs w:val="30"/>
        </w:rPr>
        <w:t>1.仪器设备、试剂清单</w:t>
      </w:r>
    </w:p>
    <w:tbl>
      <w:tblPr>
        <w:tblStyle w:val="8"/>
        <w:tblW w:w="90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Align w:val="center"/>
          </w:tcPr>
          <w:p>
            <w:pPr>
              <w:tabs>
                <w:tab w:val="left" w:pos="1134"/>
              </w:tabs>
              <w:adjustRightInd w:val="0"/>
              <w:snapToGrid w:val="0"/>
              <w:jc w:val="center"/>
              <w:textAlignment w:val="baseline"/>
              <w:rPr>
                <w:rFonts w:hint="eastAsia" w:ascii="黑体" w:hAnsi="黑体" w:eastAsia="黑体" w:cs="黑体"/>
                <w:b w:val="0"/>
                <w:bCs/>
                <w:spacing w:val="1"/>
                <w:kern w:val="0"/>
                <w:sz w:val="24"/>
                <w:szCs w:val="20"/>
              </w:rPr>
            </w:pPr>
            <w:r>
              <w:rPr>
                <w:rFonts w:hint="eastAsia" w:ascii="黑体" w:hAnsi="黑体" w:eastAsia="黑体" w:cs="黑体"/>
                <w:b w:val="0"/>
                <w:bCs/>
                <w:spacing w:val="1"/>
                <w:kern w:val="0"/>
                <w:sz w:val="24"/>
                <w:szCs w:val="20"/>
              </w:rPr>
              <w:t>主要设备</w:t>
            </w:r>
          </w:p>
        </w:tc>
        <w:tc>
          <w:tcPr>
            <w:tcW w:w="7469" w:type="dxa"/>
            <w:vAlign w:val="center"/>
          </w:tcPr>
          <w:p>
            <w:pPr>
              <w:pStyle w:val="17"/>
              <w:shd w:val="clear" w:color="auto" w:fill="FFFFFF"/>
              <w:tabs>
                <w:tab w:val="left" w:pos="1134"/>
              </w:tabs>
              <w:adjustRightInd w:val="0"/>
              <w:snapToGrid w:val="0"/>
              <w:spacing w:before="0" w:beforeAutospacing="0" w:after="0" w:afterAutospacing="0"/>
              <w:ind w:left="25" w:leftChars="12"/>
              <w:jc w:val="both"/>
              <w:textAlignment w:val="baseline"/>
              <w:rPr>
                <w:rFonts w:hint="eastAsia" w:ascii="黑体" w:hAnsi="黑体" w:eastAsia="黑体" w:cs="黑体"/>
                <w:b w:val="0"/>
                <w:bCs/>
                <w:spacing w:val="1"/>
                <w:szCs w:val="20"/>
                <w:lang w:val="en-US" w:eastAsia="zh-CN"/>
              </w:rPr>
            </w:pPr>
            <w:r>
              <w:rPr>
                <w:rFonts w:hint="eastAsia" w:ascii="黑体" w:hAnsi="黑体" w:eastAsia="黑体" w:cs="黑体"/>
                <w:b w:val="0"/>
                <w:bCs/>
                <w:spacing w:val="1"/>
                <w:szCs w:val="20"/>
                <w:lang w:val="en-US" w:eastAsia="zh-CN"/>
              </w:rPr>
              <w:t>紫外-可见分光光度计（配备1cm石英或玻璃比色皿2个）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restart"/>
            <w:vAlign w:val="center"/>
          </w:tcPr>
          <w:p>
            <w:pPr>
              <w:tabs>
                <w:tab w:val="left" w:pos="1134"/>
              </w:tabs>
              <w:adjustRightInd w:val="0"/>
              <w:snapToGrid w:val="0"/>
              <w:jc w:val="center"/>
              <w:textAlignment w:val="baseline"/>
              <w:rPr>
                <w:rFonts w:ascii="仿宋_GB2312" w:eastAsia="仿宋_GB2312"/>
                <w:bCs/>
                <w:spacing w:val="2"/>
                <w:kern w:val="0"/>
                <w:sz w:val="24"/>
                <w:szCs w:val="20"/>
              </w:rPr>
            </w:pPr>
            <w:r>
              <w:rPr>
                <w:rFonts w:hint="eastAsia" w:ascii="仿宋_GB2312" w:eastAsia="仿宋_GB2312"/>
                <w:bCs/>
                <w:spacing w:val="2"/>
                <w:kern w:val="0"/>
                <w:sz w:val="24"/>
                <w:szCs w:val="20"/>
              </w:rPr>
              <w:t>玻璃器皿</w:t>
            </w:r>
          </w:p>
        </w:tc>
        <w:tc>
          <w:tcPr>
            <w:tcW w:w="7469" w:type="dxa"/>
            <w:vAlign w:val="center"/>
          </w:tcPr>
          <w:p>
            <w:pPr>
              <w:widowControl/>
              <w:jc w:val="left"/>
              <w:rPr>
                <w:rFonts w:ascii="仿宋_GB2312" w:eastAsia="仿宋_GB2312"/>
                <w:bCs/>
              </w:rPr>
            </w:pPr>
            <w:r>
              <w:rPr>
                <w:rFonts w:hint="eastAsia" w:ascii="仿宋_GB2312" w:hAnsi="仿宋" w:eastAsia="仿宋_GB2312" w:cs="仿宋"/>
                <w:bCs/>
                <w:color w:val="000000"/>
                <w:kern w:val="0"/>
                <w:sz w:val="24"/>
                <w:lang w:bidi="ar"/>
              </w:rPr>
              <w:t xml:space="preserve">容量瓶（100mL，14 只；250mL，1 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vAlign w:val="center"/>
          </w:tcPr>
          <w:p>
            <w:pPr>
              <w:tabs>
                <w:tab w:val="left" w:pos="1134"/>
              </w:tabs>
              <w:adjustRightInd w:val="0"/>
              <w:snapToGrid w:val="0"/>
              <w:jc w:val="center"/>
              <w:textAlignment w:val="baseline"/>
              <w:rPr>
                <w:rFonts w:ascii="仿宋_GB2312" w:eastAsia="仿宋_GB2312"/>
                <w:bCs/>
                <w:spacing w:val="2"/>
                <w:kern w:val="0"/>
                <w:sz w:val="24"/>
                <w:szCs w:val="20"/>
              </w:rPr>
            </w:pPr>
          </w:p>
        </w:tc>
        <w:tc>
          <w:tcPr>
            <w:tcW w:w="7469" w:type="dxa"/>
            <w:vAlign w:val="center"/>
          </w:tcPr>
          <w:p>
            <w:pPr>
              <w:widowControl/>
              <w:shd w:val="clear" w:color="auto" w:fill="FFFFFF"/>
              <w:adjustRightInd w:val="0"/>
              <w:snapToGrid w:val="0"/>
              <w:ind w:left="25" w:leftChars="12"/>
              <w:jc w:val="left"/>
              <w:textAlignment w:val="baseline"/>
              <w:rPr>
                <w:rFonts w:ascii="仿宋_GB2312" w:eastAsia="仿宋_GB2312"/>
                <w:bCs/>
              </w:rPr>
            </w:pPr>
            <w:r>
              <w:rPr>
                <w:rFonts w:hint="eastAsia" w:ascii="仿宋_GB2312" w:hAnsi="仿宋" w:eastAsia="仿宋_GB2312" w:cs="仿宋"/>
                <w:bCs/>
                <w:color w:val="000000"/>
                <w:kern w:val="0"/>
                <w:sz w:val="24"/>
                <w:lang w:bidi="ar"/>
              </w:rPr>
              <w:t xml:space="preserve">分刻度吸量管（10mL，1 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vAlign w:val="center"/>
          </w:tcPr>
          <w:p>
            <w:pPr>
              <w:tabs>
                <w:tab w:val="left" w:pos="1134"/>
              </w:tabs>
              <w:adjustRightInd w:val="0"/>
              <w:snapToGrid w:val="0"/>
              <w:jc w:val="center"/>
              <w:textAlignment w:val="baseline"/>
              <w:rPr>
                <w:rFonts w:ascii="仿宋_GB2312" w:eastAsia="仿宋_GB2312"/>
                <w:bCs/>
                <w:spacing w:val="2"/>
                <w:kern w:val="0"/>
                <w:sz w:val="24"/>
                <w:szCs w:val="20"/>
              </w:rPr>
            </w:pPr>
          </w:p>
        </w:tc>
        <w:tc>
          <w:tcPr>
            <w:tcW w:w="7469" w:type="dxa"/>
            <w:vAlign w:val="center"/>
          </w:tcPr>
          <w:p>
            <w:pPr>
              <w:widowControl/>
              <w:jc w:val="left"/>
              <w:rPr>
                <w:rFonts w:ascii="仿宋_GB2312" w:eastAsia="仿宋_GB2312"/>
                <w:bCs/>
              </w:rPr>
            </w:pPr>
            <w:r>
              <w:rPr>
                <w:rFonts w:hint="eastAsia" w:ascii="仿宋_GB2312" w:hAnsi="仿宋" w:eastAsia="仿宋_GB2312" w:cs="仿宋"/>
                <w:bCs/>
                <w:color w:val="000000"/>
                <w:kern w:val="0"/>
                <w:sz w:val="24"/>
                <w:lang w:bidi="ar"/>
              </w:rPr>
              <w:t xml:space="preserve">量筒（5mL、10mL、25mL、100mL，各 1 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vAlign w:val="center"/>
          </w:tcPr>
          <w:p>
            <w:pPr>
              <w:tabs>
                <w:tab w:val="left" w:pos="1134"/>
              </w:tabs>
              <w:adjustRightInd w:val="0"/>
              <w:snapToGrid w:val="0"/>
              <w:jc w:val="center"/>
              <w:textAlignment w:val="baseline"/>
              <w:rPr>
                <w:rFonts w:ascii="仿宋_GB2312" w:eastAsia="仿宋_GB2312"/>
                <w:bCs/>
                <w:spacing w:val="2"/>
                <w:kern w:val="0"/>
                <w:sz w:val="24"/>
                <w:szCs w:val="20"/>
              </w:rPr>
            </w:pPr>
          </w:p>
        </w:tc>
        <w:tc>
          <w:tcPr>
            <w:tcW w:w="7469" w:type="dxa"/>
            <w:vAlign w:val="center"/>
          </w:tcPr>
          <w:p>
            <w:pPr>
              <w:widowControl/>
              <w:shd w:val="clear" w:color="auto" w:fill="FFFFFF"/>
              <w:adjustRightInd w:val="0"/>
              <w:snapToGrid w:val="0"/>
              <w:ind w:left="25" w:leftChars="12"/>
              <w:jc w:val="left"/>
              <w:textAlignment w:val="baseline"/>
              <w:rPr>
                <w:rFonts w:ascii="仿宋_GB2312" w:eastAsia="仿宋_GB2312"/>
                <w:bCs/>
              </w:rPr>
            </w:pPr>
            <w:r>
              <w:rPr>
                <w:rFonts w:hint="eastAsia" w:ascii="仿宋_GB2312" w:hAnsi="仿宋" w:eastAsia="仿宋_GB2312" w:cs="仿宋"/>
                <w:bCs/>
                <w:color w:val="000000"/>
                <w:kern w:val="0"/>
                <w:sz w:val="24"/>
                <w:lang w:bidi="ar"/>
              </w:rPr>
              <w:t xml:space="preserve">烧杯（100mL，6 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vAlign w:val="center"/>
          </w:tcPr>
          <w:p>
            <w:pPr>
              <w:tabs>
                <w:tab w:val="left" w:pos="1134"/>
              </w:tabs>
              <w:adjustRightInd w:val="0"/>
              <w:snapToGrid w:val="0"/>
              <w:jc w:val="center"/>
              <w:textAlignment w:val="baseline"/>
              <w:rPr>
                <w:rFonts w:ascii="仿宋_GB2312" w:eastAsia="仿宋_GB2312"/>
                <w:bCs/>
                <w:spacing w:val="2"/>
                <w:kern w:val="0"/>
                <w:sz w:val="24"/>
                <w:szCs w:val="20"/>
              </w:rPr>
            </w:pPr>
          </w:p>
        </w:tc>
        <w:tc>
          <w:tcPr>
            <w:tcW w:w="7469" w:type="dxa"/>
            <w:vAlign w:val="center"/>
          </w:tcPr>
          <w:p>
            <w:pPr>
              <w:widowControl/>
              <w:shd w:val="clear" w:color="auto" w:fill="FFFFFF"/>
              <w:adjustRightInd w:val="0"/>
              <w:snapToGrid w:val="0"/>
              <w:ind w:left="25" w:leftChars="12"/>
              <w:jc w:val="left"/>
              <w:textAlignment w:val="baseline"/>
              <w:rPr>
                <w:rFonts w:ascii="仿宋_GB2312" w:eastAsia="仿宋_GB2312"/>
                <w:bCs/>
              </w:rPr>
            </w:pPr>
            <w:r>
              <w:rPr>
                <w:rFonts w:hint="eastAsia" w:ascii="仿宋_GB2312" w:hAnsi="仿宋" w:eastAsia="仿宋_GB2312" w:cs="仿宋"/>
                <w:bCs/>
                <w:color w:val="000000"/>
                <w:kern w:val="0"/>
                <w:sz w:val="24"/>
                <w:lang w:bidi="ar"/>
              </w:rPr>
              <w:t>实验室常见其他玻璃仪器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restart"/>
            <w:vAlign w:val="center"/>
          </w:tcPr>
          <w:p>
            <w:pPr>
              <w:tabs>
                <w:tab w:val="left" w:pos="1134"/>
              </w:tabs>
              <w:adjustRightInd w:val="0"/>
              <w:snapToGrid w:val="0"/>
              <w:jc w:val="center"/>
              <w:textAlignment w:val="baseline"/>
              <w:rPr>
                <w:rFonts w:ascii="仿宋_GB2312" w:eastAsia="仿宋_GB2312"/>
                <w:bCs/>
                <w:spacing w:val="2"/>
                <w:kern w:val="0"/>
                <w:sz w:val="24"/>
                <w:szCs w:val="20"/>
              </w:rPr>
            </w:pPr>
            <w:r>
              <w:rPr>
                <w:rFonts w:hint="eastAsia" w:ascii="仿宋_GB2312" w:eastAsia="仿宋_GB2312"/>
                <w:bCs/>
                <w:spacing w:val="2"/>
                <w:kern w:val="0"/>
                <w:sz w:val="24"/>
                <w:szCs w:val="20"/>
              </w:rPr>
              <w:t>试剂和溶液</w:t>
            </w:r>
          </w:p>
        </w:tc>
        <w:tc>
          <w:tcPr>
            <w:tcW w:w="7469" w:type="dxa"/>
            <w:vAlign w:val="center"/>
          </w:tcPr>
          <w:p>
            <w:pPr>
              <w:widowControl/>
              <w:shd w:val="clear" w:color="auto" w:fill="FFFFFF"/>
              <w:adjustRightInd w:val="0"/>
              <w:snapToGrid w:val="0"/>
              <w:ind w:left="25" w:leftChars="12"/>
              <w:jc w:val="left"/>
              <w:textAlignment w:val="baseline"/>
              <w:rPr>
                <w:rFonts w:ascii="仿宋_GB2312" w:eastAsia="仿宋_GB2312"/>
                <w:bCs/>
              </w:rPr>
            </w:pPr>
            <w:r>
              <w:rPr>
                <w:rFonts w:hint="eastAsia" w:ascii="仿宋_GB2312" w:hAnsi="仿宋" w:eastAsia="仿宋_GB2312" w:cs="仿宋"/>
                <w:bCs/>
                <w:color w:val="000000"/>
                <w:kern w:val="0"/>
                <w:sz w:val="24"/>
                <w:lang w:bidi="ar"/>
              </w:rPr>
              <w:t xml:space="preserve">乙酸（冰醋酸）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vAlign w:val="center"/>
          </w:tcPr>
          <w:p>
            <w:pPr>
              <w:tabs>
                <w:tab w:val="left" w:pos="1134"/>
              </w:tabs>
              <w:adjustRightInd w:val="0"/>
              <w:snapToGrid w:val="0"/>
              <w:jc w:val="center"/>
              <w:textAlignment w:val="baseline"/>
              <w:rPr>
                <w:rFonts w:ascii="仿宋_GB2312" w:eastAsia="仿宋_GB2312"/>
                <w:bCs/>
                <w:spacing w:val="2"/>
                <w:kern w:val="0"/>
                <w:sz w:val="24"/>
                <w:szCs w:val="20"/>
              </w:rPr>
            </w:pPr>
          </w:p>
        </w:tc>
        <w:tc>
          <w:tcPr>
            <w:tcW w:w="7469" w:type="dxa"/>
            <w:vAlign w:val="center"/>
          </w:tcPr>
          <w:p>
            <w:pPr>
              <w:widowControl/>
              <w:shd w:val="clear" w:color="auto" w:fill="FFFFFF"/>
              <w:adjustRightInd w:val="0"/>
              <w:snapToGrid w:val="0"/>
              <w:ind w:left="25" w:leftChars="12"/>
              <w:jc w:val="left"/>
              <w:textAlignment w:val="baseline"/>
              <w:rPr>
                <w:rFonts w:ascii="仿宋_GB2312" w:eastAsia="仿宋_GB2312"/>
                <w:bCs/>
              </w:rPr>
            </w:pPr>
            <w:r>
              <w:rPr>
                <w:rFonts w:hint="eastAsia" w:ascii="仿宋_GB2312" w:hAnsi="仿宋" w:eastAsia="仿宋_GB2312" w:cs="仿宋"/>
                <w:bCs/>
                <w:color w:val="000000"/>
                <w:kern w:val="0"/>
                <w:sz w:val="24"/>
                <w:lang w:bidi="ar"/>
              </w:rPr>
              <w:t xml:space="preserve">三水合乙酸钠（乙酸钠）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vAlign w:val="center"/>
          </w:tcPr>
          <w:p>
            <w:pPr>
              <w:tabs>
                <w:tab w:val="left" w:pos="1134"/>
              </w:tabs>
              <w:adjustRightInd w:val="0"/>
              <w:snapToGrid w:val="0"/>
              <w:jc w:val="center"/>
              <w:textAlignment w:val="baseline"/>
              <w:rPr>
                <w:rFonts w:ascii="仿宋_GB2312" w:eastAsia="仿宋_GB2312"/>
                <w:bCs/>
                <w:spacing w:val="2"/>
                <w:kern w:val="0"/>
                <w:sz w:val="24"/>
                <w:szCs w:val="20"/>
              </w:rPr>
            </w:pPr>
          </w:p>
        </w:tc>
        <w:tc>
          <w:tcPr>
            <w:tcW w:w="7469" w:type="dxa"/>
            <w:vAlign w:val="center"/>
          </w:tcPr>
          <w:p>
            <w:pPr>
              <w:widowControl/>
              <w:shd w:val="clear" w:color="auto" w:fill="FFFFFF"/>
              <w:adjustRightInd w:val="0"/>
              <w:snapToGrid w:val="0"/>
              <w:ind w:left="25" w:leftChars="12"/>
              <w:jc w:val="left"/>
              <w:textAlignment w:val="baseline"/>
              <w:rPr>
                <w:rFonts w:ascii="仿宋_GB2312" w:eastAsia="仿宋_GB2312"/>
                <w:bCs/>
              </w:rPr>
            </w:pPr>
            <w:r>
              <w:rPr>
                <w:rFonts w:hint="eastAsia" w:ascii="仿宋_GB2312" w:hAnsi="仿宋" w:eastAsia="仿宋_GB2312" w:cs="仿宋"/>
                <w:bCs/>
                <w:color w:val="000000"/>
                <w:kern w:val="0"/>
                <w:sz w:val="24"/>
                <w:lang w:bidi="ar"/>
              </w:rPr>
              <w:t xml:space="preserve">抗坏血酸溶液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vAlign w:val="center"/>
          </w:tcPr>
          <w:p>
            <w:pPr>
              <w:tabs>
                <w:tab w:val="left" w:pos="1134"/>
              </w:tabs>
              <w:adjustRightInd w:val="0"/>
              <w:snapToGrid w:val="0"/>
              <w:jc w:val="center"/>
              <w:textAlignment w:val="baseline"/>
              <w:rPr>
                <w:rFonts w:ascii="仿宋_GB2312" w:eastAsia="仿宋_GB2312"/>
                <w:bCs/>
                <w:spacing w:val="2"/>
                <w:kern w:val="0"/>
                <w:sz w:val="24"/>
                <w:szCs w:val="20"/>
              </w:rPr>
            </w:pPr>
          </w:p>
        </w:tc>
        <w:tc>
          <w:tcPr>
            <w:tcW w:w="7469" w:type="dxa"/>
            <w:vAlign w:val="center"/>
          </w:tcPr>
          <w:p>
            <w:pPr>
              <w:widowControl/>
              <w:shd w:val="clear" w:color="auto" w:fill="FFFFFF"/>
              <w:adjustRightInd w:val="0"/>
              <w:snapToGrid w:val="0"/>
              <w:ind w:left="25" w:leftChars="12"/>
              <w:jc w:val="left"/>
              <w:textAlignment w:val="baseline"/>
              <w:rPr>
                <w:rFonts w:ascii="仿宋_GB2312" w:eastAsia="仿宋_GB2312"/>
                <w:bCs/>
              </w:rPr>
            </w:pPr>
            <w:r>
              <w:rPr>
                <w:rFonts w:hint="eastAsia" w:ascii="仿宋_GB2312" w:hAnsi="仿宋" w:eastAsia="仿宋_GB2312" w:cs="仿宋"/>
                <w:bCs/>
                <w:color w:val="000000"/>
                <w:kern w:val="0"/>
                <w:sz w:val="24"/>
                <w:lang w:bidi="ar"/>
              </w:rPr>
              <w:t xml:space="preserve">氨水溶液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vAlign w:val="center"/>
          </w:tcPr>
          <w:p>
            <w:pPr>
              <w:tabs>
                <w:tab w:val="left" w:pos="1134"/>
              </w:tabs>
              <w:adjustRightInd w:val="0"/>
              <w:snapToGrid w:val="0"/>
              <w:jc w:val="center"/>
              <w:textAlignment w:val="baseline"/>
              <w:rPr>
                <w:rFonts w:ascii="仿宋_GB2312" w:eastAsia="仿宋_GB2312"/>
                <w:bCs/>
                <w:spacing w:val="2"/>
                <w:kern w:val="0"/>
                <w:sz w:val="24"/>
                <w:szCs w:val="20"/>
              </w:rPr>
            </w:pPr>
          </w:p>
        </w:tc>
        <w:tc>
          <w:tcPr>
            <w:tcW w:w="7469" w:type="dxa"/>
            <w:vAlign w:val="center"/>
          </w:tcPr>
          <w:p>
            <w:pPr>
              <w:widowControl/>
              <w:shd w:val="clear" w:color="auto" w:fill="FFFFFF"/>
              <w:adjustRightInd w:val="0"/>
              <w:snapToGrid w:val="0"/>
              <w:ind w:left="25" w:leftChars="12"/>
              <w:jc w:val="left"/>
              <w:textAlignment w:val="baseline"/>
              <w:rPr>
                <w:rFonts w:ascii="仿宋_GB2312" w:eastAsia="仿宋_GB2312"/>
                <w:bCs/>
              </w:rPr>
            </w:pPr>
            <w:r>
              <w:rPr>
                <w:rFonts w:hint="eastAsia" w:ascii="仿宋_GB2312" w:hAnsi="仿宋" w:eastAsia="仿宋_GB2312" w:cs="仿宋"/>
                <w:bCs/>
                <w:color w:val="000000"/>
                <w:kern w:val="0"/>
                <w:sz w:val="24"/>
                <w:lang w:bidi="ar"/>
              </w:rPr>
              <w:t xml:space="preserve">氯化铵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vAlign w:val="center"/>
          </w:tcPr>
          <w:p>
            <w:pPr>
              <w:tabs>
                <w:tab w:val="left" w:pos="1134"/>
              </w:tabs>
              <w:adjustRightInd w:val="0"/>
              <w:snapToGrid w:val="0"/>
              <w:jc w:val="center"/>
              <w:textAlignment w:val="baseline"/>
              <w:rPr>
                <w:rFonts w:ascii="仿宋_GB2312" w:eastAsia="仿宋_GB2312"/>
                <w:bCs/>
                <w:spacing w:val="2"/>
                <w:kern w:val="0"/>
                <w:sz w:val="24"/>
                <w:szCs w:val="20"/>
              </w:rPr>
            </w:pPr>
          </w:p>
        </w:tc>
        <w:tc>
          <w:tcPr>
            <w:tcW w:w="7469" w:type="dxa"/>
            <w:vAlign w:val="center"/>
          </w:tcPr>
          <w:p>
            <w:pPr>
              <w:widowControl/>
              <w:shd w:val="clear" w:color="auto" w:fill="FFFFFF"/>
              <w:adjustRightInd w:val="0"/>
              <w:snapToGrid w:val="0"/>
              <w:ind w:left="25" w:leftChars="12"/>
              <w:jc w:val="left"/>
              <w:textAlignment w:val="baseline"/>
              <w:rPr>
                <w:rFonts w:ascii="仿宋_GB2312" w:hAnsi="宋体" w:eastAsia="仿宋_GB2312" w:cs="宋体"/>
                <w:bCs/>
              </w:rPr>
            </w:pPr>
            <w:r>
              <w:rPr>
                <w:rFonts w:hint="eastAsia" w:ascii="仿宋_GB2312" w:hAnsi="仿宋" w:eastAsia="仿宋_GB2312" w:cs="仿宋"/>
                <w:bCs/>
                <w:color w:val="000000"/>
                <w:kern w:val="0"/>
                <w:sz w:val="24"/>
                <w:lang w:bidi="ar"/>
              </w:rPr>
              <w:t>1,10-菲</w:t>
            </w:r>
            <w:r>
              <w:rPr>
                <w:rFonts w:hint="eastAsia" w:ascii="微软雅黑" w:hAnsi="微软雅黑" w:eastAsia="微软雅黑" w:cs="微软雅黑"/>
                <w:bCs/>
                <w:color w:val="000000"/>
                <w:kern w:val="0"/>
                <w:sz w:val="24"/>
                <w:lang w:bidi="ar"/>
              </w:rPr>
              <w:t>啰</w:t>
            </w:r>
            <w:r>
              <w:rPr>
                <w:rFonts w:hint="eastAsia" w:ascii="仿宋_GB2312" w:hAnsi="仿宋_GB2312" w:eastAsia="仿宋_GB2312" w:cs="仿宋_GB2312"/>
                <w:bCs/>
                <w:color w:val="000000"/>
                <w:kern w:val="0"/>
                <w:sz w:val="24"/>
                <w:lang w:bidi="ar"/>
              </w:rPr>
              <w:t>啉溶液</w:t>
            </w:r>
            <w:r>
              <w:rPr>
                <w:rFonts w:hint="eastAsia" w:ascii="仿宋_GB2312" w:hAnsi="仿宋" w:eastAsia="仿宋_GB2312" w:cs="仿宋"/>
                <w:bCs/>
                <w:color w:val="000000"/>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vAlign w:val="center"/>
          </w:tcPr>
          <w:p>
            <w:pPr>
              <w:tabs>
                <w:tab w:val="left" w:pos="1134"/>
              </w:tabs>
              <w:adjustRightInd w:val="0"/>
              <w:snapToGrid w:val="0"/>
              <w:jc w:val="center"/>
              <w:textAlignment w:val="baseline"/>
              <w:rPr>
                <w:rFonts w:ascii="仿宋_GB2312" w:eastAsia="仿宋_GB2312"/>
                <w:bCs/>
                <w:spacing w:val="2"/>
                <w:kern w:val="0"/>
                <w:sz w:val="24"/>
                <w:szCs w:val="20"/>
              </w:rPr>
            </w:pPr>
          </w:p>
        </w:tc>
        <w:tc>
          <w:tcPr>
            <w:tcW w:w="7469" w:type="dxa"/>
            <w:vAlign w:val="center"/>
          </w:tcPr>
          <w:p>
            <w:pPr>
              <w:widowControl/>
              <w:shd w:val="clear" w:color="auto" w:fill="FFFFFF"/>
              <w:adjustRightInd w:val="0"/>
              <w:snapToGrid w:val="0"/>
              <w:ind w:left="25" w:leftChars="12"/>
              <w:jc w:val="left"/>
              <w:textAlignment w:val="baseline"/>
              <w:rPr>
                <w:rFonts w:ascii="仿宋_GB2312" w:eastAsia="仿宋_GB2312"/>
                <w:bCs/>
                <w:highlight w:val="yellow"/>
              </w:rPr>
            </w:pPr>
            <w:r>
              <w:rPr>
                <w:rFonts w:hint="eastAsia" w:ascii="仿宋_GB2312" w:hAnsi="仿宋" w:eastAsia="仿宋_GB2312" w:cs="仿宋"/>
                <w:bCs/>
                <w:color w:val="000000"/>
                <w:kern w:val="0"/>
                <w:sz w:val="24"/>
                <w:lang w:bidi="ar"/>
              </w:rPr>
              <w:t xml:space="preserve">磺基水杨酸溶液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vAlign w:val="center"/>
          </w:tcPr>
          <w:p>
            <w:pPr>
              <w:tabs>
                <w:tab w:val="left" w:pos="1134"/>
              </w:tabs>
              <w:adjustRightInd w:val="0"/>
              <w:snapToGrid w:val="0"/>
              <w:jc w:val="center"/>
              <w:textAlignment w:val="baseline"/>
              <w:rPr>
                <w:rFonts w:ascii="仿宋_GB2312" w:eastAsia="仿宋_GB2312"/>
                <w:bCs/>
                <w:spacing w:val="2"/>
                <w:kern w:val="0"/>
                <w:sz w:val="24"/>
                <w:szCs w:val="20"/>
              </w:rPr>
            </w:pPr>
          </w:p>
        </w:tc>
        <w:tc>
          <w:tcPr>
            <w:tcW w:w="7469" w:type="dxa"/>
            <w:vAlign w:val="center"/>
          </w:tcPr>
          <w:p>
            <w:pPr>
              <w:widowControl/>
              <w:jc w:val="both"/>
              <w:rPr>
                <w:rFonts w:ascii="仿宋_GB2312" w:hAnsi="仿宋" w:eastAsia="仿宋_GB2312" w:cs="仿宋"/>
                <w:bCs/>
                <w:color w:val="000000"/>
                <w:kern w:val="0"/>
                <w:sz w:val="24"/>
                <w:lang w:bidi="ar"/>
              </w:rPr>
            </w:pPr>
            <w:r>
              <w:rPr>
                <w:rFonts w:hint="eastAsia" w:ascii="仿宋_GB2312" w:hAnsi="仿宋" w:eastAsia="仿宋_GB2312" w:cs="仿宋"/>
                <w:bCs/>
                <w:color w:val="000000"/>
                <w:kern w:val="0"/>
                <w:sz w:val="24"/>
                <w:lang w:bidi="ar"/>
              </w:rPr>
              <w:t>铁（III）离子标准储备溶液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vAlign w:val="center"/>
          </w:tcPr>
          <w:p>
            <w:pPr>
              <w:tabs>
                <w:tab w:val="left" w:pos="1134"/>
              </w:tabs>
              <w:adjustRightInd w:val="0"/>
              <w:snapToGrid w:val="0"/>
              <w:jc w:val="center"/>
              <w:textAlignment w:val="baseline"/>
              <w:rPr>
                <w:rFonts w:ascii="仿宋_GB2312" w:eastAsia="仿宋_GB2312"/>
                <w:bCs/>
                <w:spacing w:val="2"/>
                <w:kern w:val="0"/>
                <w:sz w:val="24"/>
                <w:szCs w:val="20"/>
              </w:rPr>
            </w:pPr>
          </w:p>
        </w:tc>
        <w:tc>
          <w:tcPr>
            <w:tcW w:w="7469" w:type="dxa"/>
            <w:vAlign w:val="center"/>
          </w:tcPr>
          <w:p>
            <w:pPr>
              <w:widowControl/>
              <w:shd w:val="clear" w:color="auto" w:fill="FFFFFF"/>
              <w:adjustRightInd w:val="0"/>
              <w:snapToGrid w:val="0"/>
              <w:ind w:left="25" w:leftChars="12"/>
              <w:jc w:val="left"/>
              <w:textAlignment w:val="baseline"/>
              <w:rPr>
                <w:rFonts w:ascii="仿宋_GB2312" w:hAnsi="仿宋" w:eastAsia="仿宋_GB2312" w:cs="仿宋"/>
                <w:bCs/>
                <w:color w:val="000000"/>
                <w:kern w:val="0"/>
                <w:sz w:val="24"/>
                <w:lang w:bidi="ar"/>
              </w:rPr>
            </w:pPr>
            <w:r>
              <w:rPr>
                <w:rFonts w:hint="eastAsia" w:ascii="仿宋_GB2312" w:hAnsi="仿宋" w:eastAsia="仿宋_GB2312" w:cs="仿宋"/>
                <w:bCs/>
                <w:color w:val="000000"/>
                <w:kern w:val="0"/>
                <w:sz w:val="24"/>
                <w:lang w:bidi="ar"/>
              </w:rPr>
              <w:t xml:space="preserve">铁样品溶液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5" w:type="dxa"/>
            <w:vMerge w:val="continue"/>
            <w:vAlign w:val="center"/>
          </w:tcPr>
          <w:p>
            <w:pPr>
              <w:tabs>
                <w:tab w:val="left" w:pos="1134"/>
              </w:tabs>
              <w:adjustRightInd w:val="0"/>
              <w:snapToGrid w:val="0"/>
              <w:jc w:val="center"/>
              <w:textAlignment w:val="baseline"/>
              <w:rPr>
                <w:rFonts w:ascii="仿宋_GB2312" w:eastAsia="仿宋_GB2312"/>
                <w:bCs/>
                <w:spacing w:val="2"/>
                <w:kern w:val="0"/>
                <w:sz w:val="24"/>
                <w:szCs w:val="20"/>
              </w:rPr>
            </w:pPr>
          </w:p>
        </w:tc>
        <w:tc>
          <w:tcPr>
            <w:tcW w:w="7469" w:type="dxa"/>
            <w:vAlign w:val="center"/>
          </w:tcPr>
          <w:p>
            <w:pPr>
              <w:widowControl/>
              <w:shd w:val="clear" w:color="auto" w:fill="FFFFFF"/>
              <w:adjustRightInd w:val="0"/>
              <w:snapToGrid w:val="0"/>
              <w:ind w:left="25" w:leftChars="12"/>
              <w:jc w:val="left"/>
              <w:textAlignment w:val="baseline"/>
              <w:rPr>
                <w:rFonts w:ascii="仿宋_GB2312" w:hAnsi="仿宋" w:eastAsia="仿宋_GB2312" w:cs="仿宋"/>
                <w:bCs/>
                <w:color w:val="000000"/>
                <w:kern w:val="0"/>
                <w:sz w:val="24"/>
                <w:lang w:bidi="ar"/>
              </w:rPr>
            </w:pPr>
            <w:r>
              <w:rPr>
                <w:rFonts w:hint="eastAsia" w:ascii="仿宋_GB2312" w:hAnsi="仿宋" w:eastAsia="仿宋_GB2312" w:cs="仿宋"/>
                <w:bCs/>
                <w:color w:val="000000"/>
                <w:kern w:val="0"/>
                <w:sz w:val="24"/>
                <w:lang w:bidi="ar"/>
              </w:rPr>
              <w:t>去离子水</w:t>
            </w:r>
          </w:p>
        </w:tc>
      </w:tr>
    </w:tbl>
    <w:p>
      <w:pPr>
        <w:pStyle w:val="4"/>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textAlignment w:val="auto"/>
        <w:outlineLvl w:val="9"/>
        <w:rPr>
          <w:rFonts w:hint="eastAsia" w:ascii="楷体_GB2312" w:eastAsia="楷体_GB2312"/>
          <w:bCs/>
          <w:sz w:val="30"/>
          <w:szCs w:val="30"/>
        </w:rPr>
      </w:pPr>
      <w:r>
        <w:rPr>
          <w:rFonts w:hint="eastAsia" w:ascii="楷体_GB2312" w:eastAsia="楷体_GB2312"/>
          <w:bCs/>
          <w:sz w:val="30"/>
          <w:szCs w:val="30"/>
        </w:rPr>
        <w:t>2.溶液准备</w:t>
      </w:r>
    </w:p>
    <w:p>
      <w:pPr>
        <w:pStyle w:val="4"/>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textAlignment w:val="auto"/>
        <w:outlineLvl w:val="9"/>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按赛题要求配制指定的实验试剂溶液。</w:t>
      </w:r>
    </w:p>
    <w:p>
      <w:pPr>
        <w:pStyle w:val="4"/>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textAlignment w:val="auto"/>
        <w:outlineLvl w:val="9"/>
        <w:rPr>
          <w:rFonts w:hint="eastAsia" w:ascii="楷体_GB2312" w:eastAsia="楷体_GB2312"/>
          <w:bCs/>
          <w:sz w:val="30"/>
          <w:szCs w:val="30"/>
        </w:rPr>
      </w:pPr>
      <w:r>
        <w:rPr>
          <w:rFonts w:hint="eastAsia" w:ascii="楷体_GB2312" w:eastAsia="楷体_GB2312"/>
          <w:bCs/>
          <w:sz w:val="30"/>
          <w:szCs w:val="30"/>
        </w:rPr>
        <w:t>3.实验</w:t>
      </w:r>
    </w:p>
    <w:p>
      <w:pPr>
        <w:pStyle w:val="4"/>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textAlignment w:val="auto"/>
        <w:outlineLvl w:val="9"/>
        <w:rPr>
          <w:rFonts w:ascii="仿宋_GB2312" w:eastAsia="仿宋_GB2312"/>
          <w:b/>
          <w:bCs/>
          <w:sz w:val="30"/>
          <w:szCs w:val="30"/>
        </w:rPr>
      </w:pPr>
      <w:r>
        <w:rPr>
          <w:rFonts w:hint="eastAsia" w:ascii="仿宋_GB2312" w:eastAsia="仿宋_GB2312"/>
          <w:b/>
          <w:bCs/>
          <w:sz w:val="30"/>
          <w:szCs w:val="30"/>
        </w:rPr>
        <w:t>（1）工作曲线绘制</w:t>
      </w:r>
    </w:p>
    <w:p>
      <w:pPr>
        <w:pStyle w:val="4"/>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textAlignment w:val="auto"/>
        <w:outlineLvl w:val="9"/>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①配制铁（III）离子标准溶液系列：用吸量管准确移取不同体积的工作曲线使用的铁标准溶液于 7个容量瓶中，用于配置分光光度法测定未知铁试样溶液中铁含量的标准系列溶液。</w:t>
      </w:r>
    </w:p>
    <w:p>
      <w:pPr>
        <w:pStyle w:val="4"/>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textAlignment w:val="auto"/>
        <w:outlineLvl w:val="9"/>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②溶液显色（两种方法）</w:t>
      </w:r>
    </w:p>
    <w:p>
      <w:pPr>
        <w:pStyle w:val="4"/>
        <w:keepNext w:val="0"/>
        <w:keepLines w:val="0"/>
        <w:pageBreakBefore w:val="0"/>
        <w:widowControl/>
        <w:numPr>
          <w:ilvl w:val="0"/>
          <w:numId w:val="18"/>
        </w:numPr>
        <w:kinsoku/>
        <w:wordWrap/>
        <w:overflowPunct/>
        <w:topLinePunct w:val="0"/>
        <w:autoSpaceDE/>
        <w:autoSpaceDN/>
        <w:bidi w:val="0"/>
        <w:adjustRightInd w:val="0"/>
        <w:snapToGrid w:val="0"/>
        <w:spacing w:after="0" w:line="560" w:lineRule="exact"/>
        <w:ind w:left="420" w:hanging="420"/>
        <w:textAlignment w:val="auto"/>
        <w:outlineLvl w:val="9"/>
        <w:rPr>
          <w:rFonts w:hint="eastAsia" w:ascii="仿宋_GB2312" w:eastAsia="仿宋_GB2312" w:hAnsiTheme="minorHAnsi" w:cstheme="minorBidi"/>
          <w:kern w:val="2"/>
          <w:sz w:val="30"/>
          <w:szCs w:val="30"/>
          <w:lang w:val="en-US" w:eastAsia="zh-CN" w:bidi="ar-SA"/>
        </w:rPr>
      </w:pPr>
      <w:r>
        <w:rPr>
          <w:rFonts w:hint="eastAsia" w:ascii="仿宋_GB2312" w:eastAsia="仿宋_GB2312"/>
          <w:sz w:val="30"/>
          <w:szCs w:val="30"/>
        </w:rPr>
        <w:t>1,10-菲啰啉分光光度法：向上述标准系列溶液中加入适量的抗坏</w:t>
      </w:r>
      <w:r>
        <w:rPr>
          <w:rFonts w:hint="eastAsia" w:ascii="仿宋_GB2312" w:eastAsia="仿宋_GB2312" w:hAnsiTheme="minorHAnsi" w:cstheme="minorBidi"/>
          <w:kern w:val="2"/>
          <w:sz w:val="30"/>
          <w:szCs w:val="30"/>
          <w:lang w:val="en-US" w:eastAsia="zh-CN" w:bidi="ar-SA"/>
        </w:rPr>
        <w:t>血酸溶液，摇匀后加一定体积的乙酸-乙酸钠缓冲溶液和1,10-菲啰啉溶液，用水稀释至刻度，摇匀，静置一定时间。制作工作曲线的每个容量瓶中溶液采用此处理方式。</w:t>
      </w:r>
    </w:p>
    <w:p>
      <w:pPr>
        <w:pStyle w:val="4"/>
        <w:keepNext w:val="0"/>
        <w:keepLines w:val="0"/>
        <w:pageBreakBefore w:val="0"/>
        <w:widowControl/>
        <w:numPr>
          <w:ilvl w:val="0"/>
          <w:numId w:val="18"/>
        </w:numPr>
        <w:kinsoku/>
        <w:wordWrap/>
        <w:overflowPunct/>
        <w:topLinePunct w:val="0"/>
        <w:autoSpaceDE/>
        <w:autoSpaceDN/>
        <w:bidi w:val="0"/>
        <w:adjustRightInd w:val="0"/>
        <w:snapToGrid w:val="0"/>
        <w:spacing w:after="0" w:line="560" w:lineRule="exact"/>
        <w:ind w:left="420" w:hanging="420"/>
        <w:textAlignment w:val="auto"/>
        <w:outlineLvl w:val="9"/>
        <w:rPr>
          <w:rFonts w:ascii="仿宋_GB2312" w:eastAsia="仿宋_GB2312"/>
          <w:sz w:val="30"/>
          <w:szCs w:val="30"/>
        </w:rPr>
      </w:pPr>
      <w:r>
        <w:rPr>
          <w:rFonts w:hint="eastAsia" w:ascii="仿宋_GB2312" w:eastAsia="仿宋_GB2312"/>
          <w:sz w:val="30"/>
          <w:szCs w:val="30"/>
        </w:rPr>
        <w:t>磺基水杨酸分光光度法：向上述标准系列溶液中加入一定体积的磺基水杨酸溶液和氨-氯化铵缓冲溶液，用水稀释至刻度，摇匀，静置一定时间。制作工作曲线的每个容量瓶中溶液采用此处理方式。</w:t>
      </w:r>
    </w:p>
    <w:p>
      <w:pPr>
        <w:pStyle w:val="4"/>
        <w:keepNext w:val="0"/>
        <w:keepLines w:val="0"/>
        <w:pageBreakBefore w:val="0"/>
        <w:widowControl/>
        <w:kinsoku/>
        <w:wordWrap/>
        <w:overflowPunct/>
        <w:topLinePunct w:val="0"/>
        <w:autoSpaceDE/>
        <w:autoSpaceDN/>
        <w:bidi w:val="0"/>
        <w:adjustRightInd w:val="0"/>
        <w:snapToGrid w:val="0"/>
        <w:spacing w:after="0" w:line="560" w:lineRule="exact"/>
        <w:ind w:left="0" w:leftChars="0" w:firstLine="600" w:firstLineChars="200"/>
        <w:textAlignment w:val="auto"/>
        <w:outlineLvl w:val="9"/>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③测定最大吸收波长：以相同方式制备不含铁（III）离子的溶液为空白溶液，任取一份已显色的铁（III）离子标准系列溶液转移到比色皿中，选择相应波长范围进行测量，给出最大吸光度值的波长。</w:t>
      </w:r>
    </w:p>
    <w:p>
      <w:pPr>
        <w:pStyle w:val="4"/>
        <w:keepNext w:val="0"/>
        <w:keepLines w:val="0"/>
        <w:pageBreakBefore w:val="0"/>
        <w:widowControl/>
        <w:kinsoku/>
        <w:wordWrap/>
        <w:overflowPunct/>
        <w:topLinePunct w:val="0"/>
        <w:autoSpaceDE/>
        <w:autoSpaceDN/>
        <w:bidi w:val="0"/>
        <w:adjustRightInd w:val="0"/>
        <w:snapToGrid w:val="0"/>
        <w:spacing w:line="560" w:lineRule="exact"/>
        <w:ind w:left="405" w:leftChars="193" w:firstLine="600" w:firstLineChars="200"/>
        <w:textAlignment w:val="auto"/>
        <w:outlineLvl w:val="9"/>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④绘制工作曲线：在最大吸收波长处，测定各铁（III）离子标准系列溶液的吸光度。以浓度为横坐标，以相应的吸光度为纵坐标绘制工作曲线。</w:t>
      </w:r>
    </w:p>
    <w:p>
      <w:pPr>
        <w:pStyle w:val="4"/>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textAlignment w:val="auto"/>
        <w:outlineLvl w:val="9"/>
        <w:rPr>
          <w:rFonts w:hint="eastAsia" w:ascii="仿宋_GB2312" w:eastAsia="仿宋_GB2312"/>
          <w:b/>
          <w:bCs/>
          <w:sz w:val="30"/>
          <w:szCs w:val="30"/>
        </w:rPr>
      </w:pPr>
      <w:r>
        <w:rPr>
          <w:rFonts w:hint="eastAsia" w:ascii="仿宋_GB2312" w:eastAsia="仿宋_GB2312"/>
          <w:b/>
          <w:bCs/>
          <w:sz w:val="30"/>
          <w:szCs w:val="30"/>
        </w:rPr>
        <w:t>（2）样品分析</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outlineLvl w:val="9"/>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确定样品溶液的稀释倍数，配制待测溶液于所选用的容量瓶中，按照工作曲线绘 制时的相同溶液显色和测定方法，在最大吸收波长处进行吸光度测定。平行测定 3 次。由测得吸光度从工作曲线查出待测溶液中铁的浓度，求出样品中的铁含量。</w:t>
      </w:r>
    </w:p>
    <w:p>
      <w:pPr>
        <w:pStyle w:val="4"/>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textAlignment w:val="auto"/>
        <w:outlineLvl w:val="9"/>
        <w:rPr>
          <w:rFonts w:ascii="楷体_GB2312" w:eastAsia="楷体_GB2312"/>
          <w:bCs/>
          <w:sz w:val="30"/>
          <w:szCs w:val="30"/>
        </w:rPr>
      </w:pPr>
      <w:r>
        <w:rPr>
          <w:rFonts w:hint="eastAsia" w:ascii="楷体_GB2312" w:eastAsia="楷体_GB2312"/>
          <w:bCs/>
          <w:sz w:val="30"/>
          <w:szCs w:val="30"/>
        </w:rPr>
        <w:t>4.结果处理、分析和报告</w:t>
      </w:r>
    </w:p>
    <w:p>
      <w:pPr>
        <w:pStyle w:val="4"/>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textAlignment w:val="auto"/>
        <w:outlineLvl w:val="9"/>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（1）试样中铁含量计算</w:t>
      </w:r>
    </w:p>
    <w:p>
      <w:pPr>
        <w:pStyle w:val="4"/>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textAlignment w:val="auto"/>
        <w:outlineLvl w:val="9"/>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按下式计算出试样中铁含量，以质量浓度ρ(Fe)计，数值以mg/L表示。取3次测定结果的算术平均值作为最终结果，结果保留4位有效数字。</w:t>
      </w:r>
    </w:p>
    <w:p>
      <w:pPr>
        <w:pStyle w:val="17"/>
        <w:shd w:val="clear" w:color="auto" w:fill="FFFFFF"/>
        <w:tabs>
          <w:tab w:val="left" w:pos="1134"/>
        </w:tabs>
        <w:adjustRightInd w:val="0"/>
        <w:snapToGrid w:val="0"/>
        <w:spacing w:before="0" w:beforeAutospacing="0" w:after="0" w:afterAutospacing="0"/>
        <w:jc w:val="center"/>
        <w:textAlignment w:val="baseline"/>
        <w:rPr>
          <w:rFonts w:ascii="仿宋_GB2312" w:eastAsia="仿宋_GB2312"/>
          <w:spacing w:val="2"/>
          <w:sz w:val="30"/>
          <w:szCs w:val="30"/>
        </w:rPr>
      </w:pPr>
      <w:r>
        <w:rPr>
          <w:rFonts w:ascii="仿宋_GB2312" w:eastAsia="仿宋_GB2312"/>
          <w:sz w:val="30"/>
          <w:szCs w:val="30"/>
        </w:rPr>
        <w:pict>
          <v:shape id="_x0000_i1029" o:spt="75" type="#_x0000_t75" style="height:42.75pt;width:93.75pt;" filled="f" o:preferrelative="t" stroked="f" coordsize="21600,21600">
            <v:path/>
            <v:fill on="f" focussize="0,0"/>
            <v:stroke on="f" joinstyle="miter"/>
            <v:imagedata r:id="rId10" chromakey="#FFFFFF" o:title=""/>
            <o:lock v:ext="edit" aspectratio="t"/>
            <w10:wrap type="none"/>
            <w10:anchorlock/>
          </v:shape>
        </w:pict>
      </w:r>
    </w:p>
    <w:p>
      <w:pPr>
        <w:pStyle w:val="4"/>
        <w:adjustRightInd w:val="0"/>
        <w:snapToGrid w:val="0"/>
        <w:spacing w:line="240" w:lineRule="auto"/>
        <w:ind w:left="405" w:leftChars="193" w:firstLine="600" w:firstLineChars="200"/>
        <w:rPr>
          <w:rFonts w:ascii="仿宋_GB2312" w:eastAsia="仿宋_GB2312"/>
          <w:sz w:val="30"/>
          <w:szCs w:val="30"/>
        </w:rPr>
      </w:pPr>
      <w:r>
        <w:rPr>
          <w:rFonts w:hint="eastAsia" w:ascii="仿宋_GB2312" w:eastAsia="仿宋_GB2312"/>
          <w:sz w:val="30"/>
          <w:szCs w:val="30"/>
        </w:rPr>
        <w:t>式中：</w:t>
      </w:r>
    </w:p>
    <w:p>
      <w:pPr>
        <w:pStyle w:val="4"/>
        <w:adjustRightInd w:val="0"/>
        <w:snapToGrid w:val="0"/>
        <w:spacing w:line="240" w:lineRule="auto"/>
        <w:ind w:left="947" w:leftChars="451" w:firstLine="600" w:firstLineChars="200"/>
        <w:rPr>
          <w:rFonts w:ascii="仿宋_GB2312" w:eastAsia="仿宋_GB2312"/>
          <w:sz w:val="30"/>
          <w:szCs w:val="30"/>
        </w:rPr>
      </w:pPr>
      <w:r>
        <w:rPr>
          <w:rFonts w:hint="eastAsia" w:ascii="仿宋_GB2312" w:eastAsia="仿宋_GB2312"/>
          <w:i/>
          <w:iCs/>
          <w:sz w:val="30"/>
          <w:szCs w:val="30"/>
        </w:rPr>
        <w:sym w:font="Symbol" w:char="F072"/>
      </w:r>
      <w:r>
        <w:rPr>
          <w:rFonts w:hint="eastAsia" w:ascii="仿宋_GB2312" w:eastAsia="仿宋_GB2312"/>
          <w:i/>
          <w:iCs/>
          <w:sz w:val="30"/>
          <w:szCs w:val="30"/>
        </w:rPr>
        <w:t>(Fe)</w:t>
      </w:r>
      <w:r>
        <w:rPr>
          <w:rFonts w:hint="eastAsia" w:ascii="仿宋_GB2312" w:eastAsia="仿宋_GB2312"/>
          <w:sz w:val="30"/>
          <w:szCs w:val="30"/>
        </w:rPr>
        <w:t xml:space="preserve"> ——试样中铁的浓度，mg/L；</w:t>
      </w:r>
    </w:p>
    <w:p>
      <w:pPr>
        <w:pStyle w:val="4"/>
        <w:adjustRightInd w:val="0"/>
        <w:snapToGrid w:val="0"/>
        <w:spacing w:line="240" w:lineRule="auto"/>
        <w:ind w:left="947" w:leftChars="451" w:firstLine="600" w:firstLineChars="200"/>
        <w:rPr>
          <w:rFonts w:ascii="仿宋_GB2312" w:eastAsia="仿宋_GB2312"/>
          <w:sz w:val="30"/>
          <w:szCs w:val="30"/>
        </w:rPr>
      </w:pPr>
      <w:r>
        <w:rPr>
          <w:rFonts w:hint="eastAsia" w:ascii="仿宋_GB2312" w:eastAsia="仿宋_GB2312"/>
          <w:i/>
          <w:iCs/>
          <w:sz w:val="30"/>
          <w:szCs w:val="30"/>
        </w:rPr>
        <w:sym w:font="Symbol" w:char="F072"/>
      </w:r>
      <w:r>
        <w:rPr>
          <w:rFonts w:hint="eastAsia" w:ascii="仿宋_GB2312" w:eastAsia="仿宋_GB2312"/>
          <w:i/>
          <w:iCs/>
          <w:sz w:val="30"/>
          <w:szCs w:val="30"/>
          <w:vertAlign w:val="subscript"/>
        </w:rPr>
        <w:t>x</w:t>
      </w:r>
      <w:r>
        <w:rPr>
          <w:rFonts w:hint="eastAsia" w:ascii="仿宋_GB2312" w:eastAsia="仿宋_GB2312"/>
          <w:sz w:val="30"/>
          <w:szCs w:val="30"/>
        </w:rPr>
        <w:t xml:space="preserve"> ——从工作曲线查得的待测溶液中铁浓度，mg/L；</w:t>
      </w:r>
    </w:p>
    <w:p>
      <w:pPr>
        <w:pStyle w:val="4"/>
        <w:adjustRightInd w:val="0"/>
        <w:snapToGrid w:val="0"/>
        <w:spacing w:line="240" w:lineRule="auto"/>
        <w:ind w:left="947" w:leftChars="451" w:firstLine="600" w:firstLineChars="200"/>
        <w:rPr>
          <w:rFonts w:ascii="仿宋_GB2312" w:eastAsia="仿宋_GB2312"/>
          <w:sz w:val="30"/>
          <w:szCs w:val="30"/>
        </w:rPr>
      </w:pPr>
      <w:r>
        <w:rPr>
          <w:rFonts w:hint="eastAsia" w:ascii="仿宋_GB2312" w:eastAsia="仿宋_GB2312"/>
          <w:i/>
          <w:iCs/>
          <w:sz w:val="30"/>
          <w:szCs w:val="30"/>
        </w:rPr>
        <w:t xml:space="preserve">n </w:t>
      </w:r>
      <w:r>
        <w:rPr>
          <w:rFonts w:hint="eastAsia" w:ascii="仿宋_GB2312" w:eastAsia="仿宋_GB2312"/>
          <w:sz w:val="30"/>
          <w:szCs w:val="30"/>
        </w:rPr>
        <w:t>——试样溶液的稀释倍数。</w:t>
      </w:r>
    </w:p>
    <w:p>
      <w:pPr>
        <w:pStyle w:val="4"/>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textAlignment w:val="auto"/>
        <w:outlineLvl w:val="9"/>
        <w:rPr>
          <w:rFonts w:hint="eastAsia" w:ascii="仿宋_GB2312" w:eastAsia="仿宋_GB2312"/>
          <w:b/>
          <w:bCs/>
          <w:sz w:val="30"/>
          <w:szCs w:val="30"/>
        </w:rPr>
      </w:pPr>
      <w:r>
        <w:rPr>
          <w:rFonts w:hint="eastAsia" w:ascii="仿宋_GB2312" w:eastAsia="仿宋_GB2312"/>
          <w:b/>
          <w:bCs/>
          <w:sz w:val="30"/>
          <w:szCs w:val="30"/>
        </w:rPr>
        <w:t>（2）误差分析</w:t>
      </w:r>
    </w:p>
    <w:p>
      <w:pPr>
        <w:pStyle w:val="4"/>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textAlignment w:val="auto"/>
        <w:outlineLvl w:val="9"/>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对试样中铁含量测定结果的精密度进行分析，以相对极差A（%）表示，结果精确至小数点后2位。</w:t>
      </w:r>
    </w:p>
    <w:p>
      <w:pPr>
        <w:pStyle w:val="4"/>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textAlignment w:val="auto"/>
        <w:outlineLvl w:val="9"/>
        <w:rPr>
          <w:rFonts w:hint="eastAsia" w:ascii="仿宋_GB2312" w:eastAsia="仿宋_GB2312" w:hAnsiTheme="minorHAnsi" w:cstheme="minorBidi"/>
          <w:kern w:val="2"/>
          <w:sz w:val="30"/>
          <w:szCs w:val="30"/>
          <w:lang w:val="en-US" w:eastAsia="zh-CN" w:bidi="ar-SA"/>
        </w:rPr>
      </w:pPr>
      <w:r>
        <w:rPr>
          <w:rFonts w:hint="eastAsia" w:ascii="仿宋_GB2312" w:eastAsia="仿宋_GB2312" w:hAnsiTheme="minorHAnsi" w:cstheme="minorBidi"/>
          <w:kern w:val="2"/>
          <w:sz w:val="30"/>
          <w:szCs w:val="30"/>
          <w:lang w:val="en-US" w:eastAsia="zh-CN" w:bidi="ar-SA"/>
        </w:rPr>
        <w:t>计算公式如下：</w:t>
      </w:r>
    </w:p>
    <w:p>
      <w:pPr>
        <w:adjustRightInd w:val="0"/>
        <w:snapToGrid w:val="0"/>
        <w:jc w:val="center"/>
        <w:rPr>
          <w:rFonts w:ascii="仿宋_GB2312" w:eastAsia="仿宋_GB2312"/>
          <w:sz w:val="30"/>
          <w:szCs w:val="30"/>
        </w:rPr>
      </w:pPr>
      <w:r>
        <w:rPr>
          <w:rFonts w:ascii="仿宋_GB2312" w:eastAsia="仿宋_GB2312"/>
          <w:sz w:val="30"/>
          <w:szCs w:val="30"/>
        </w:rPr>
        <w:pict>
          <v:shape id="_x0000_i1030" o:spt="75" type="#_x0000_t75" style="height:50.25pt;width:122.25pt;" filled="f" o:preferrelative="t" stroked="f" coordsize="21600,21600">
            <v:path/>
            <v:fill on="f" focussize="0,0"/>
            <v:stroke on="f" joinstyle="miter"/>
            <v:imagedata r:id="rId11" chromakey="#FFFFFF" o:title=""/>
            <o:lock v:ext="edit" aspectratio="t"/>
            <w10:wrap type="none"/>
            <w10:anchorlock/>
          </v:shape>
        </w:pict>
      </w:r>
    </w:p>
    <w:p>
      <w:pPr>
        <w:pStyle w:val="4"/>
        <w:adjustRightInd w:val="0"/>
        <w:snapToGrid w:val="0"/>
        <w:spacing w:line="240" w:lineRule="auto"/>
        <w:ind w:left="405" w:leftChars="193" w:firstLine="600" w:firstLineChars="200"/>
        <w:rPr>
          <w:rFonts w:ascii="仿宋_GB2312" w:eastAsia="仿宋_GB2312"/>
          <w:sz w:val="30"/>
          <w:szCs w:val="30"/>
        </w:rPr>
      </w:pPr>
      <w:r>
        <w:rPr>
          <w:rFonts w:hint="eastAsia" w:ascii="仿宋_GB2312" w:eastAsia="仿宋_GB2312"/>
          <w:sz w:val="30"/>
          <w:szCs w:val="30"/>
        </w:rPr>
        <w:t>式中：</w:t>
      </w:r>
    </w:p>
    <w:p>
      <w:pPr>
        <w:pStyle w:val="4"/>
        <w:adjustRightInd w:val="0"/>
        <w:snapToGrid w:val="0"/>
        <w:spacing w:line="240" w:lineRule="auto"/>
        <w:ind w:left="810" w:leftChars="386" w:firstLine="600" w:firstLineChars="200"/>
        <w:rPr>
          <w:rFonts w:ascii="仿宋_GB2312" w:eastAsia="仿宋_GB2312"/>
          <w:sz w:val="30"/>
          <w:szCs w:val="30"/>
        </w:rPr>
      </w:pPr>
      <w:r>
        <w:rPr>
          <w:rFonts w:hint="eastAsia" w:ascii="仿宋_GB2312" w:eastAsia="仿宋_GB2312"/>
          <w:i/>
          <w:iCs/>
          <w:sz w:val="30"/>
          <w:szCs w:val="30"/>
        </w:rPr>
        <w:t>X</w:t>
      </w:r>
      <w:r>
        <w:rPr>
          <w:rFonts w:hint="eastAsia" w:ascii="仿宋_GB2312" w:eastAsia="仿宋_GB2312"/>
          <w:i/>
          <w:iCs/>
          <w:sz w:val="30"/>
          <w:szCs w:val="30"/>
          <w:vertAlign w:val="subscript"/>
        </w:rPr>
        <w:t xml:space="preserve">1 </w:t>
      </w:r>
      <w:r>
        <w:rPr>
          <w:rFonts w:hint="eastAsia" w:ascii="仿宋_GB2312" w:eastAsia="仿宋_GB2312"/>
          <w:sz w:val="30"/>
          <w:szCs w:val="30"/>
        </w:rPr>
        <w:t>——平行测定的最大值；</w:t>
      </w:r>
    </w:p>
    <w:p>
      <w:pPr>
        <w:pStyle w:val="4"/>
        <w:adjustRightInd w:val="0"/>
        <w:snapToGrid w:val="0"/>
        <w:spacing w:line="240" w:lineRule="auto"/>
        <w:ind w:left="810" w:leftChars="386" w:firstLine="600" w:firstLineChars="200"/>
        <w:rPr>
          <w:rFonts w:ascii="仿宋_GB2312" w:eastAsia="仿宋_GB2312"/>
          <w:sz w:val="30"/>
          <w:szCs w:val="30"/>
        </w:rPr>
      </w:pPr>
      <w:r>
        <w:rPr>
          <w:rFonts w:hint="eastAsia" w:ascii="仿宋_GB2312" w:eastAsia="仿宋_GB2312"/>
          <w:i/>
          <w:iCs/>
          <w:sz w:val="30"/>
          <w:szCs w:val="30"/>
        </w:rPr>
        <w:t>X</w:t>
      </w:r>
      <w:r>
        <w:rPr>
          <w:rFonts w:hint="eastAsia" w:ascii="仿宋_GB2312" w:eastAsia="仿宋_GB2312"/>
          <w:i/>
          <w:iCs/>
          <w:sz w:val="30"/>
          <w:szCs w:val="30"/>
          <w:vertAlign w:val="subscript"/>
        </w:rPr>
        <w:t xml:space="preserve">2 </w:t>
      </w:r>
      <w:r>
        <w:rPr>
          <w:rFonts w:hint="eastAsia" w:ascii="仿宋_GB2312" w:eastAsia="仿宋_GB2312"/>
          <w:sz w:val="30"/>
          <w:szCs w:val="30"/>
        </w:rPr>
        <w:t>——平行测定的最小值；</w:t>
      </w:r>
    </w:p>
    <w:p>
      <w:pPr>
        <w:pStyle w:val="4"/>
        <w:adjustRightInd w:val="0"/>
        <w:snapToGrid w:val="0"/>
        <w:spacing w:line="240" w:lineRule="auto"/>
        <w:ind w:left="810" w:leftChars="386" w:firstLine="600" w:firstLineChars="20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QUOTE </w:instrText>
      </w:r>
      <w:r>
        <w:rPr>
          <w:rFonts w:ascii="仿宋_GB2312" w:eastAsia="仿宋_GB2312"/>
          <w:position w:val="-21"/>
          <w:sz w:val="30"/>
          <w:szCs w:val="30"/>
        </w:rPr>
        <w:pict>
          <v:shape id="_x0000_i1031" o:spt="75" type="#_x0000_t75" style="height:29.25pt;width:7.5pt;" filled="f" o:preferrelative="t" stroked="f" coordsize="21600,21600">
            <v:path/>
            <v:fill on="f" focussize="0,0"/>
            <v:stroke on="f" joinstyle="miter"/>
            <v:imagedata r:id="rId12" chromakey="#FFFFFF" o:title=""/>
            <o:lock v:ext="edit" aspectratio="t"/>
            <w10:wrap type="none"/>
            <w10:anchorlock/>
          </v:shape>
        </w:pict>
      </w:r>
      <w:r>
        <w:rPr>
          <w:rFonts w:hint="eastAsia" w:ascii="仿宋_GB2312" w:eastAsia="仿宋_GB2312"/>
          <w:sz w:val="30"/>
          <w:szCs w:val="30"/>
        </w:rPr>
        <w:fldChar w:fldCharType="separate"/>
      </w:r>
      <w:r>
        <w:rPr>
          <w:rFonts w:ascii="仿宋_GB2312" w:eastAsia="仿宋_GB2312"/>
          <w:position w:val="-21"/>
          <w:sz w:val="30"/>
          <w:szCs w:val="30"/>
        </w:rPr>
        <w:pict>
          <v:shape id="_x0000_i1032" o:spt="75" type="#_x0000_t75" style="height:29.25pt;width:7.5pt;" filled="f" o:preferrelative="t" stroked="f" coordsize="21600,21600">
            <v:path/>
            <v:fill on="f" focussize="0,0"/>
            <v:stroke on="f" joinstyle="miter"/>
            <v:imagedata r:id="rId12" chromakey="#FFFFFF" o:title=""/>
            <o:lock v:ext="edit" aspectratio="t"/>
            <w10:wrap type="none"/>
            <w10:anchorlock/>
          </v:shape>
        </w:pict>
      </w:r>
      <w:r>
        <w:rPr>
          <w:rFonts w:hint="eastAsia" w:ascii="仿宋_GB2312" w:eastAsia="仿宋_GB2312"/>
          <w:sz w:val="30"/>
          <w:szCs w:val="30"/>
        </w:rPr>
        <w:fldChar w:fldCharType="end"/>
      </w:r>
      <w:r>
        <w:rPr>
          <w:rFonts w:hint="eastAsia" w:ascii="仿宋_GB2312" w:eastAsia="仿宋_GB2312"/>
          <w:sz w:val="30"/>
          <w:szCs w:val="30"/>
        </w:rPr>
        <w:t>——平行测定的平均值。</w:t>
      </w:r>
    </w:p>
    <w:p>
      <w:pPr>
        <w:pStyle w:val="4"/>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textAlignment w:val="auto"/>
        <w:outlineLvl w:val="9"/>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（3）报告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eastAsia="仿宋_GB2312"/>
          <w:sz w:val="30"/>
          <w:szCs w:val="30"/>
        </w:rPr>
      </w:pPr>
      <w:r>
        <w:rPr>
          <w:rFonts w:hint="eastAsia" w:ascii="仿宋_GB2312" w:eastAsia="仿宋_GB2312"/>
          <w:sz w:val="30"/>
          <w:szCs w:val="30"/>
        </w:rPr>
        <w:t>请完成一份报告，应包括：实验过程中必须做好的健康、安全、环保措施；实验中的物料计算和过程记录、数据处理、结果的评价和问题分析。</w:t>
      </w:r>
    </w:p>
    <w:p>
      <w:pPr>
        <w:keepNext w:val="0"/>
        <w:keepLines w:val="0"/>
        <w:pageBreakBefore w:val="0"/>
        <w:widowControl w:val="0"/>
        <w:kinsoku/>
        <w:wordWrap/>
        <w:overflowPunct/>
        <w:topLinePunct w:val="0"/>
        <w:autoSpaceDE/>
        <w:autoSpaceDN/>
        <w:bidi w:val="0"/>
        <w:spacing w:line="560" w:lineRule="exact"/>
        <w:jc w:val="center"/>
        <w:textAlignment w:val="auto"/>
        <w:outlineLvl w:val="1"/>
        <w:rPr>
          <w:rFonts w:hint="eastAsia" w:ascii="黑体" w:hAnsi="黑体" w:eastAsia="黑体"/>
          <w:bCs/>
          <w:sz w:val="30"/>
          <w:szCs w:val="30"/>
        </w:rPr>
      </w:pPr>
    </w:p>
    <w:p>
      <w:pPr>
        <w:keepNext w:val="0"/>
        <w:keepLines w:val="0"/>
        <w:pageBreakBefore w:val="0"/>
        <w:widowControl w:val="0"/>
        <w:kinsoku/>
        <w:wordWrap/>
        <w:overflowPunct/>
        <w:topLinePunct w:val="0"/>
        <w:autoSpaceDE/>
        <w:autoSpaceDN/>
        <w:bidi w:val="0"/>
        <w:spacing w:line="560" w:lineRule="exact"/>
        <w:jc w:val="center"/>
        <w:textAlignment w:val="auto"/>
        <w:outlineLvl w:val="1"/>
        <w:rPr>
          <w:rFonts w:ascii="黑体" w:hAnsi="黑体" w:eastAsia="黑体"/>
          <w:bCs/>
          <w:sz w:val="30"/>
          <w:szCs w:val="30"/>
        </w:rPr>
      </w:pPr>
      <w:r>
        <w:rPr>
          <w:rFonts w:hint="eastAsia" w:ascii="黑体" w:hAnsi="黑体" w:eastAsia="黑体"/>
          <w:bCs/>
          <w:sz w:val="30"/>
          <w:szCs w:val="30"/>
        </w:rPr>
        <w:t>C模块：乙酸乙酯的合成及质量评价</w:t>
      </w:r>
    </w:p>
    <w:p>
      <w:pPr>
        <w:pStyle w:val="12"/>
        <w:keepNext w:val="0"/>
        <w:keepLines w:val="0"/>
        <w:pageBreakBefore w:val="0"/>
        <w:widowControl w:val="0"/>
        <w:numPr>
          <w:ilvl w:val="0"/>
          <w:numId w:val="19"/>
        </w:numPr>
        <w:kinsoku/>
        <w:wordWrap/>
        <w:overflowPunct/>
        <w:topLinePunct w:val="0"/>
        <w:autoSpaceDE/>
        <w:autoSpaceDN/>
        <w:bidi w:val="0"/>
        <w:spacing w:line="560" w:lineRule="exact"/>
        <w:ind w:left="0" w:firstLine="585" w:firstLineChars="195"/>
        <w:textAlignment w:val="auto"/>
        <w:rPr>
          <w:rFonts w:ascii="仿宋_GB2312" w:eastAsia="仿宋_GB2312"/>
          <w:sz w:val="30"/>
          <w:szCs w:val="30"/>
        </w:rPr>
      </w:pPr>
      <w:r>
        <w:rPr>
          <w:rFonts w:hint="eastAsia" w:ascii="仿宋_GB2312" w:eastAsia="仿宋_GB2312"/>
          <w:sz w:val="30"/>
          <w:szCs w:val="30"/>
        </w:rPr>
        <w:t>健康和安全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eastAsia="仿宋_GB2312"/>
          <w:sz w:val="30"/>
          <w:szCs w:val="30"/>
        </w:rPr>
      </w:pPr>
      <w:r>
        <w:rPr>
          <w:rFonts w:hint="eastAsia" w:ascii="仿宋_GB2312" w:eastAsia="仿宋_GB2312"/>
          <w:sz w:val="30"/>
          <w:szCs w:val="30"/>
        </w:rPr>
        <w:t>请描述本模块涉及的健康和安全问题及预防措施。</w:t>
      </w:r>
    </w:p>
    <w:p>
      <w:pPr>
        <w:keepNext w:val="0"/>
        <w:keepLines w:val="0"/>
        <w:pageBreakBefore w:val="0"/>
        <w:widowControl w:val="0"/>
        <w:numPr>
          <w:ilvl w:val="0"/>
          <w:numId w:val="19"/>
        </w:numPr>
        <w:kinsoku/>
        <w:wordWrap/>
        <w:overflowPunct/>
        <w:topLinePunct w:val="0"/>
        <w:autoSpaceDE/>
        <w:autoSpaceDN/>
        <w:bidi w:val="0"/>
        <w:adjustRightInd w:val="0"/>
        <w:snapToGrid w:val="0"/>
        <w:spacing w:line="560" w:lineRule="exact"/>
        <w:textAlignment w:val="auto"/>
        <w:rPr>
          <w:rFonts w:ascii="仿宋_GB2312" w:eastAsia="仿宋_GB2312"/>
          <w:sz w:val="30"/>
          <w:szCs w:val="30"/>
        </w:rPr>
      </w:pPr>
      <w:r>
        <w:rPr>
          <w:rFonts w:hint="eastAsia" w:ascii="仿宋_GB2312" w:eastAsia="仿宋_GB2312"/>
          <w:sz w:val="30"/>
          <w:szCs w:val="30"/>
        </w:rPr>
        <w:t>环保</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eastAsia="仿宋_GB2312"/>
          <w:sz w:val="30"/>
          <w:szCs w:val="30"/>
        </w:rPr>
      </w:pPr>
      <w:r>
        <w:rPr>
          <w:rFonts w:hint="eastAsia" w:ascii="仿宋_GB2312" w:eastAsia="仿宋_GB2312"/>
          <w:sz w:val="30"/>
          <w:szCs w:val="30"/>
        </w:rPr>
        <w:t>请描述本模块可能产生的环保隐患和所需采取的预防措施。</w:t>
      </w:r>
    </w:p>
    <w:p>
      <w:pPr>
        <w:keepNext w:val="0"/>
        <w:keepLines w:val="0"/>
        <w:pageBreakBefore w:val="0"/>
        <w:widowControl w:val="0"/>
        <w:numPr>
          <w:ilvl w:val="0"/>
          <w:numId w:val="19"/>
        </w:numPr>
        <w:kinsoku/>
        <w:wordWrap/>
        <w:overflowPunct/>
        <w:topLinePunct w:val="0"/>
        <w:autoSpaceDE/>
        <w:autoSpaceDN/>
        <w:bidi w:val="0"/>
        <w:adjustRightInd w:val="0"/>
        <w:snapToGrid w:val="0"/>
        <w:spacing w:line="560" w:lineRule="exact"/>
        <w:textAlignment w:val="auto"/>
        <w:rPr>
          <w:rFonts w:ascii="仿宋_GB2312" w:eastAsia="仿宋_GB2312"/>
          <w:sz w:val="30"/>
          <w:szCs w:val="30"/>
        </w:rPr>
      </w:pPr>
      <w:r>
        <w:rPr>
          <w:rFonts w:hint="eastAsia" w:ascii="仿宋_GB2312" w:eastAsia="仿宋_GB2312"/>
          <w:sz w:val="30"/>
          <w:szCs w:val="30"/>
        </w:rPr>
        <w:t>基本原理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eastAsia="仿宋_GB2312"/>
          <w:sz w:val="30"/>
          <w:szCs w:val="30"/>
        </w:rPr>
      </w:pPr>
      <w:r>
        <w:rPr>
          <w:rFonts w:hint="eastAsia" w:ascii="仿宋_GB2312" w:eastAsia="仿宋_GB2312"/>
          <w:sz w:val="30"/>
          <w:szCs w:val="30"/>
        </w:rPr>
        <w:t>乙酸乙酯的合成是基于乙醇与乙酸发生的可逆平衡反应——酯化反应。采用气相色谱对合成产物进行鉴定，并对产物中的乙酸乙酯含量进行定量分析。</w:t>
      </w:r>
    </w:p>
    <w:p>
      <w:pPr>
        <w:keepNext w:val="0"/>
        <w:keepLines w:val="0"/>
        <w:pageBreakBefore w:val="0"/>
        <w:widowControl w:val="0"/>
        <w:numPr>
          <w:ilvl w:val="0"/>
          <w:numId w:val="20"/>
        </w:numPr>
        <w:kinsoku/>
        <w:wordWrap/>
        <w:overflowPunct/>
        <w:topLinePunct w:val="0"/>
        <w:autoSpaceDE/>
        <w:autoSpaceDN/>
        <w:bidi w:val="0"/>
        <w:adjustRightInd w:val="0"/>
        <w:snapToGrid w:val="0"/>
        <w:spacing w:line="560" w:lineRule="exact"/>
        <w:textAlignment w:val="auto"/>
        <w:rPr>
          <w:rFonts w:ascii="仿宋_GB2312" w:eastAsia="仿宋_GB2312"/>
          <w:sz w:val="30"/>
          <w:szCs w:val="30"/>
        </w:rPr>
      </w:pPr>
      <w:r>
        <w:rPr>
          <w:rFonts w:hint="eastAsia" w:ascii="仿宋_GB2312" w:eastAsia="仿宋_GB2312"/>
          <w:sz w:val="30"/>
          <w:szCs w:val="30"/>
        </w:rPr>
        <w:t>物料的物性常数表如下所示</w:t>
      </w:r>
    </w:p>
    <w:tbl>
      <w:tblPr>
        <w:tblStyle w:val="8"/>
        <w:tblW w:w="9058" w:type="dxa"/>
        <w:jc w:val="center"/>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1167"/>
        <w:gridCol w:w="1726"/>
        <w:gridCol w:w="1340"/>
        <w:gridCol w:w="1360"/>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exact"/>
          <w:jc w:val="center"/>
        </w:trPr>
        <w:tc>
          <w:tcPr>
            <w:tcW w:w="1633" w:type="dxa"/>
            <w:vAlign w:val="center"/>
          </w:tcPr>
          <w:p>
            <w:pPr>
              <w:adjustRightInd w:val="0"/>
              <w:snapToGrid w:val="0"/>
              <w:jc w:val="center"/>
              <w:rPr>
                <w:rFonts w:hint="eastAsia" w:ascii="黑体" w:hAnsi="黑体" w:eastAsia="黑体" w:cs="黑体"/>
                <w:b w:val="0"/>
                <w:bCs/>
                <w:spacing w:val="1"/>
                <w:kern w:val="0"/>
                <w:sz w:val="24"/>
                <w:szCs w:val="24"/>
              </w:rPr>
            </w:pPr>
            <w:r>
              <w:rPr>
                <w:rFonts w:hint="eastAsia" w:ascii="黑体" w:hAnsi="黑体" w:eastAsia="黑体" w:cs="黑体"/>
                <w:b w:val="0"/>
                <w:bCs/>
                <w:spacing w:val="1"/>
                <w:kern w:val="0"/>
                <w:sz w:val="24"/>
                <w:szCs w:val="24"/>
              </w:rPr>
              <w:t>药品名称</w:t>
            </w:r>
          </w:p>
        </w:tc>
        <w:tc>
          <w:tcPr>
            <w:tcW w:w="1167" w:type="dxa"/>
            <w:vAlign w:val="center"/>
          </w:tcPr>
          <w:p>
            <w:pPr>
              <w:adjustRightInd w:val="0"/>
              <w:snapToGrid w:val="0"/>
              <w:jc w:val="center"/>
              <w:rPr>
                <w:rFonts w:hint="eastAsia" w:ascii="黑体" w:hAnsi="黑体" w:eastAsia="黑体" w:cs="黑体"/>
                <w:b w:val="0"/>
                <w:bCs/>
                <w:spacing w:val="1"/>
                <w:kern w:val="0"/>
                <w:sz w:val="24"/>
                <w:szCs w:val="24"/>
              </w:rPr>
            </w:pPr>
            <w:r>
              <w:rPr>
                <w:rFonts w:hint="eastAsia" w:ascii="黑体" w:hAnsi="黑体" w:eastAsia="黑体" w:cs="黑体"/>
                <w:b w:val="0"/>
                <w:bCs/>
                <w:spacing w:val="1"/>
                <w:kern w:val="0"/>
                <w:sz w:val="24"/>
                <w:szCs w:val="24"/>
              </w:rPr>
              <w:t>分子量</w:t>
            </w:r>
          </w:p>
        </w:tc>
        <w:tc>
          <w:tcPr>
            <w:tcW w:w="1726" w:type="dxa"/>
            <w:vAlign w:val="center"/>
          </w:tcPr>
          <w:p>
            <w:pPr>
              <w:adjustRightInd w:val="0"/>
              <w:snapToGrid w:val="0"/>
              <w:jc w:val="center"/>
              <w:rPr>
                <w:rFonts w:hint="eastAsia" w:ascii="黑体" w:hAnsi="黑体" w:eastAsia="黑体" w:cs="黑体"/>
                <w:b w:val="0"/>
                <w:bCs/>
                <w:spacing w:val="1"/>
                <w:kern w:val="0"/>
                <w:sz w:val="24"/>
                <w:szCs w:val="24"/>
              </w:rPr>
            </w:pPr>
            <w:r>
              <w:rPr>
                <w:rFonts w:hint="eastAsia" w:ascii="黑体" w:hAnsi="黑体" w:eastAsia="黑体" w:cs="黑体"/>
                <w:b w:val="0"/>
                <w:bCs/>
                <w:spacing w:val="1"/>
                <w:kern w:val="0"/>
                <w:sz w:val="24"/>
                <w:szCs w:val="24"/>
              </w:rPr>
              <w:t>密度（g/mL）</w:t>
            </w:r>
          </w:p>
        </w:tc>
        <w:tc>
          <w:tcPr>
            <w:tcW w:w="1340" w:type="dxa"/>
            <w:vAlign w:val="center"/>
          </w:tcPr>
          <w:p>
            <w:pPr>
              <w:widowControl/>
              <w:jc w:val="left"/>
              <w:rPr>
                <w:rFonts w:hint="eastAsia" w:ascii="黑体" w:hAnsi="黑体" w:eastAsia="黑体" w:cs="黑体"/>
                <w:b w:val="0"/>
                <w:bCs/>
                <w:spacing w:val="1"/>
                <w:kern w:val="0"/>
                <w:sz w:val="24"/>
                <w:szCs w:val="24"/>
              </w:rPr>
            </w:pPr>
            <w:r>
              <w:rPr>
                <w:rFonts w:hint="eastAsia" w:ascii="黑体" w:hAnsi="黑体" w:eastAsia="黑体" w:cs="黑体"/>
                <w:b w:val="0"/>
                <w:bCs/>
                <w:color w:val="000000"/>
                <w:kern w:val="0"/>
                <w:sz w:val="24"/>
                <w:szCs w:val="24"/>
                <w:lang w:bidi="ar"/>
              </w:rPr>
              <w:t>沸点(℃)</w:t>
            </w:r>
          </w:p>
        </w:tc>
        <w:tc>
          <w:tcPr>
            <w:tcW w:w="1360" w:type="dxa"/>
            <w:vAlign w:val="center"/>
          </w:tcPr>
          <w:p>
            <w:pPr>
              <w:adjustRightInd w:val="0"/>
              <w:snapToGrid w:val="0"/>
              <w:jc w:val="center"/>
              <w:rPr>
                <w:rFonts w:hint="eastAsia" w:ascii="黑体" w:hAnsi="黑体" w:eastAsia="黑体" w:cs="黑体"/>
                <w:b w:val="0"/>
                <w:bCs/>
                <w:spacing w:val="1"/>
                <w:kern w:val="0"/>
                <w:sz w:val="24"/>
                <w:szCs w:val="24"/>
              </w:rPr>
            </w:pPr>
            <w:r>
              <w:rPr>
                <w:rFonts w:hint="eastAsia" w:ascii="黑体" w:hAnsi="黑体" w:eastAsia="黑体" w:cs="黑体"/>
                <w:b w:val="0"/>
                <w:bCs/>
                <w:spacing w:val="1"/>
                <w:kern w:val="0"/>
                <w:sz w:val="24"/>
                <w:szCs w:val="24"/>
              </w:rPr>
              <w:t>折光率</w:t>
            </w:r>
          </w:p>
        </w:tc>
        <w:tc>
          <w:tcPr>
            <w:tcW w:w="1832" w:type="dxa"/>
            <w:vAlign w:val="center"/>
          </w:tcPr>
          <w:p>
            <w:pPr>
              <w:adjustRightInd w:val="0"/>
              <w:snapToGrid w:val="0"/>
              <w:jc w:val="center"/>
              <w:rPr>
                <w:rFonts w:hint="eastAsia" w:ascii="黑体" w:hAnsi="黑体" w:eastAsia="黑体" w:cs="黑体"/>
                <w:b w:val="0"/>
                <w:bCs/>
                <w:spacing w:val="1"/>
                <w:kern w:val="0"/>
                <w:sz w:val="24"/>
                <w:szCs w:val="24"/>
              </w:rPr>
            </w:pPr>
            <w:r>
              <w:rPr>
                <w:rFonts w:hint="eastAsia" w:ascii="黑体" w:hAnsi="黑体" w:eastAsia="黑体" w:cs="黑体"/>
                <w:b w:val="0"/>
                <w:bCs/>
                <w:spacing w:val="1"/>
                <w:kern w:val="0"/>
                <w:sz w:val="24"/>
                <w:szCs w:val="24"/>
              </w:rPr>
              <w:t>水溶解度</w:t>
            </w:r>
          </w:p>
          <w:p>
            <w:pPr>
              <w:adjustRightInd w:val="0"/>
              <w:snapToGrid w:val="0"/>
              <w:jc w:val="center"/>
              <w:rPr>
                <w:rFonts w:hint="eastAsia" w:ascii="黑体" w:hAnsi="黑体" w:eastAsia="黑体" w:cs="黑体"/>
                <w:b w:val="0"/>
                <w:bCs/>
                <w:spacing w:val="1"/>
                <w:kern w:val="0"/>
                <w:sz w:val="24"/>
                <w:szCs w:val="24"/>
              </w:rPr>
            </w:pPr>
            <w:r>
              <w:rPr>
                <w:rFonts w:hint="eastAsia" w:ascii="黑体" w:hAnsi="黑体" w:eastAsia="黑体" w:cs="黑体"/>
                <w:b w:val="0"/>
                <w:bCs/>
                <w:spacing w:val="1"/>
                <w:kern w:val="0"/>
                <w:sz w:val="24"/>
                <w:szCs w:val="24"/>
              </w:rPr>
              <w:t>（g/100mL）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exact"/>
          <w:jc w:val="center"/>
        </w:trPr>
        <w:tc>
          <w:tcPr>
            <w:tcW w:w="1633" w:type="dxa"/>
            <w:vAlign w:val="center"/>
          </w:tcPr>
          <w:p>
            <w:pPr>
              <w:adjustRightInd w:val="0"/>
              <w:snapToGrid w:val="0"/>
              <w:jc w:val="center"/>
              <w:rPr>
                <w:rFonts w:ascii="仿宋_GB2312" w:hAnsi="宋体" w:eastAsia="仿宋_GB2312" w:cs="仿宋"/>
                <w:bCs/>
                <w:spacing w:val="1"/>
                <w:kern w:val="0"/>
                <w:sz w:val="24"/>
                <w:szCs w:val="24"/>
              </w:rPr>
            </w:pPr>
            <w:r>
              <w:rPr>
                <w:rFonts w:hint="eastAsia" w:ascii="仿宋_GB2312" w:hAnsi="宋体" w:eastAsia="仿宋_GB2312" w:cs="仿宋"/>
                <w:bCs/>
                <w:spacing w:val="1"/>
                <w:kern w:val="0"/>
                <w:sz w:val="24"/>
                <w:szCs w:val="24"/>
              </w:rPr>
              <w:t>冰醋酸</w:t>
            </w:r>
          </w:p>
        </w:tc>
        <w:tc>
          <w:tcPr>
            <w:tcW w:w="1167" w:type="dxa"/>
            <w:vAlign w:val="center"/>
          </w:tcPr>
          <w:p>
            <w:pPr>
              <w:adjustRightInd w:val="0"/>
              <w:snapToGrid w:val="0"/>
              <w:jc w:val="center"/>
              <w:rPr>
                <w:rFonts w:ascii="仿宋_GB2312" w:hAnsi="宋体" w:eastAsia="仿宋_GB2312" w:cs="仿宋"/>
                <w:bCs/>
                <w:spacing w:val="1"/>
                <w:kern w:val="0"/>
                <w:sz w:val="24"/>
                <w:szCs w:val="24"/>
              </w:rPr>
            </w:pPr>
            <w:r>
              <w:rPr>
                <w:rFonts w:hint="eastAsia" w:ascii="仿宋_GB2312" w:hAnsi="宋体" w:eastAsia="仿宋_GB2312" w:cs="仿宋"/>
                <w:bCs/>
                <w:spacing w:val="1"/>
                <w:kern w:val="0"/>
                <w:sz w:val="24"/>
                <w:szCs w:val="24"/>
              </w:rPr>
              <w:t>60.05</w:t>
            </w:r>
          </w:p>
        </w:tc>
        <w:tc>
          <w:tcPr>
            <w:tcW w:w="1726" w:type="dxa"/>
            <w:vAlign w:val="center"/>
          </w:tcPr>
          <w:p>
            <w:pPr>
              <w:adjustRightInd w:val="0"/>
              <w:snapToGrid w:val="0"/>
              <w:jc w:val="center"/>
              <w:rPr>
                <w:rFonts w:ascii="仿宋_GB2312" w:hAnsi="宋体" w:eastAsia="仿宋_GB2312" w:cs="仿宋"/>
                <w:bCs/>
                <w:spacing w:val="1"/>
                <w:kern w:val="0"/>
                <w:sz w:val="24"/>
                <w:szCs w:val="24"/>
              </w:rPr>
            </w:pPr>
            <w:r>
              <w:rPr>
                <w:rFonts w:hint="eastAsia" w:ascii="仿宋_GB2312" w:hAnsi="宋体" w:eastAsia="仿宋_GB2312" w:cs="仿宋"/>
                <w:bCs/>
                <w:spacing w:val="1"/>
                <w:kern w:val="0"/>
                <w:sz w:val="24"/>
                <w:szCs w:val="24"/>
              </w:rPr>
              <w:t>1.049</w:t>
            </w:r>
          </w:p>
        </w:tc>
        <w:tc>
          <w:tcPr>
            <w:tcW w:w="1340" w:type="dxa"/>
            <w:vAlign w:val="center"/>
          </w:tcPr>
          <w:p>
            <w:pPr>
              <w:adjustRightInd w:val="0"/>
              <w:snapToGrid w:val="0"/>
              <w:jc w:val="center"/>
              <w:rPr>
                <w:rFonts w:ascii="仿宋_GB2312" w:hAnsi="宋体" w:eastAsia="仿宋_GB2312" w:cs="仿宋"/>
                <w:bCs/>
                <w:spacing w:val="1"/>
                <w:kern w:val="0"/>
                <w:sz w:val="24"/>
                <w:szCs w:val="24"/>
              </w:rPr>
            </w:pPr>
            <w:r>
              <w:rPr>
                <w:rFonts w:hint="eastAsia" w:ascii="仿宋_GB2312" w:hAnsi="宋体" w:eastAsia="仿宋_GB2312" w:cs="仿宋"/>
                <w:bCs/>
                <w:spacing w:val="1"/>
                <w:kern w:val="0"/>
                <w:sz w:val="24"/>
                <w:szCs w:val="24"/>
              </w:rPr>
              <w:t>118</w:t>
            </w:r>
          </w:p>
        </w:tc>
        <w:tc>
          <w:tcPr>
            <w:tcW w:w="1360" w:type="dxa"/>
            <w:vAlign w:val="center"/>
          </w:tcPr>
          <w:p>
            <w:pPr>
              <w:adjustRightInd w:val="0"/>
              <w:snapToGrid w:val="0"/>
              <w:jc w:val="center"/>
              <w:rPr>
                <w:rFonts w:ascii="仿宋_GB2312" w:hAnsi="宋体" w:eastAsia="仿宋_GB2312" w:cs="仿宋"/>
                <w:bCs/>
                <w:spacing w:val="1"/>
                <w:kern w:val="0"/>
                <w:sz w:val="24"/>
                <w:szCs w:val="24"/>
              </w:rPr>
            </w:pPr>
            <w:r>
              <w:rPr>
                <w:rFonts w:hint="eastAsia" w:ascii="仿宋_GB2312" w:hAnsi="宋体" w:eastAsia="仿宋_GB2312" w:cs="仿宋"/>
                <w:bCs/>
                <w:spacing w:val="1"/>
                <w:kern w:val="0"/>
                <w:sz w:val="24"/>
                <w:szCs w:val="24"/>
              </w:rPr>
              <w:t>1.376</w:t>
            </w:r>
          </w:p>
        </w:tc>
        <w:tc>
          <w:tcPr>
            <w:tcW w:w="1832" w:type="dxa"/>
            <w:vAlign w:val="center"/>
          </w:tcPr>
          <w:p>
            <w:pPr>
              <w:adjustRightInd w:val="0"/>
              <w:snapToGrid w:val="0"/>
              <w:jc w:val="center"/>
              <w:rPr>
                <w:rFonts w:ascii="仿宋_GB2312" w:hAnsi="宋体" w:eastAsia="仿宋_GB2312" w:cs="仿宋"/>
                <w:bCs/>
                <w:spacing w:val="1"/>
                <w:kern w:val="0"/>
                <w:sz w:val="24"/>
                <w:szCs w:val="24"/>
              </w:rPr>
            </w:pPr>
            <w:r>
              <w:rPr>
                <w:rFonts w:hint="eastAsia" w:ascii="仿宋_GB2312" w:hAnsi="宋体" w:eastAsia="仿宋_GB2312" w:cs="仿宋"/>
                <w:bCs/>
                <w:spacing w:val="1"/>
                <w:kern w:val="0"/>
                <w:sz w:val="24"/>
                <w:szCs w:val="24"/>
              </w:rPr>
              <w:t>易溶于水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exact"/>
          <w:jc w:val="center"/>
        </w:trPr>
        <w:tc>
          <w:tcPr>
            <w:tcW w:w="1633" w:type="dxa"/>
            <w:vAlign w:val="center"/>
          </w:tcPr>
          <w:p>
            <w:pPr>
              <w:adjustRightInd w:val="0"/>
              <w:snapToGrid w:val="0"/>
              <w:jc w:val="center"/>
              <w:rPr>
                <w:rFonts w:ascii="仿宋_GB2312" w:hAnsi="宋体" w:eastAsia="仿宋_GB2312" w:cs="仿宋"/>
                <w:bCs/>
                <w:spacing w:val="1"/>
                <w:kern w:val="0"/>
                <w:sz w:val="24"/>
                <w:szCs w:val="24"/>
              </w:rPr>
            </w:pPr>
            <w:r>
              <w:rPr>
                <w:rFonts w:hint="eastAsia" w:ascii="仿宋_GB2312" w:hAnsi="宋体" w:eastAsia="仿宋_GB2312" w:cs="仿宋"/>
                <w:bCs/>
                <w:spacing w:val="1"/>
                <w:kern w:val="0"/>
                <w:sz w:val="24"/>
                <w:szCs w:val="24"/>
              </w:rPr>
              <w:t>乙醇</w:t>
            </w:r>
          </w:p>
        </w:tc>
        <w:tc>
          <w:tcPr>
            <w:tcW w:w="1167" w:type="dxa"/>
            <w:vAlign w:val="center"/>
          </w:tcPr>
          <w:p>
            <w:pPr>
              <w:adjustRightInd w:val="0"/>
              <w:snapToGrid w:val="0"/>
              <w:jc w:val="center"/>
              <w:rPr>
                <w:rFonts w:ascii="仿宋_GB2312" w:hAnsi="宋体" w:eastAsia="仿宋_GB2312" w:cs="仿宋"/>
                <w:bCs/>
                <w:spacing w:val="1"/>
                <w:kern w:val="0"/>
                <w:sz w:val="24"/>
                <w:szCs w:val="24"/>
              </w:rPr>
            </w:pPr>
            <w:r>
              <w:rPr>
                <w:rFonts w:hint="eastAsia" w:ascii="仿宋_GB2312" w:hAnsi="宋体" w:eastAsia="仿宋_GB2312" w:cs="仿宋"/>
                <w:bCs/>
                <w:spacing w:val="1"/>
                <w:kern w:val="0"/>
                <w:sz w:val="24"/>
                <w:szCs w:val="24"/>
              </w:rPr>
              <w:t>46.07</w:t>
            </w:r>
          </w:p>
        </w:tc>
        <w:tc>
          <w:tcPr>
            <w:tcW w:w="1726" w:type="dxa"/>
            <w:vAlign w:val="center"/>
          </w:tcPr>
          <w:p>
            <w:pPr>
              <w:adjustRightInd w:val="0"/>
              <w:snapToGrid w:val="0"/>
              <w:jc w:val="center"/>
              <w:rPr>
                <w:rFonts w:ascii="仿宋_GB2312" w:hAnsi="宋体" w:eastAsia="仿宋_GB2312" w:cs="仿宋"/>
                <w:bCs/>
                <w:spacing w:val="1"/>
                <w:kern w:val="0"/>
                <w:sz w:val="24"/>
                <w:szCs w:val="24"/>
              </w:rPr>
            </w:pPr>
            <w:r>
              <w:rPr>
                <w:rFonts w:hint="eastAsia" w:ascii="仿宋_GB2312" w:hAnsi="宋体" w:eastAsia="仿宋_GB2312" w:cs="仿宋"/>
                <w:bCs/>
                <w:spacing w:val="1"/>
                <w:kern w:val="0"/>
                <w:sz w:val="24"/>
                <w:szCs w:val="24"/>
              </w:rPr>
              <w:t>0.789</w:t>
            </w:r>
          </w:p>
        </w:tc>
        <w:tc>
          <w:tcPr>
            <w:tcW w:w="1340" w:type="dxa"/>
            <w:vAlign w:val="center"/>
          </w:tcPr>
          <w:p>
            <w:pPr>
              <w:adjustRightInd w:val="0"/>
              <w:snapToGrid w:val="0"/>
              <w:jc w:val="center"/>
              <w:rPr>
                <w:rFonts w:ascii="仿宋_GB2312" w:hAnsi="宋体" w:eastAsia="仿宋_GB2312" w:cs="仿宋"/>
                <w:bCs/>
                <w:spacing w:val="1"/>
                <w:kern w:val="0"/>
                <w:sz w:val="24"/>
                <w:szCs w:val="24"/>
              </w:rPr>
            </w:pPr>
            <w:r>
              <w:rPr>
                <w:rFonts w:hint="eastAsia" w:ascii="仿宋_GB2312" w:hAnsi="宋体" w:eastAsia="仿宋_GB2312" w:cs="仿宋"/>
                <w:bCs/>
                <w:spacing w:val="1"/>
                <w:kern w:val="0"/>
                <w:sz w:val="24"/>
                <w:szCs w:val="24"/>
              </w:rPr>
              <w:t>78.4</w:t>
            </w:r>
          </w:p>
        </w:tc>
        <w:tc>
          <w:tcPr>
            <w:tcW w:w="1360" w:type="dxa"/>
            <w:vAlign w:val="center"/>
          </w:tcPr>
          <w:p>
            <w:pPr>
              <w:adjustRightInd w:val="0"/>
              <w:snapToGrid w:val="0"/>
              <w:jc w:val="center"/>
              <w:rPr>
                <w:rFonts w:ascii="仿宋_GB2312" w:hAnsi="宋体" w:eastAsia="仿宋_GB2312" w:cs="仿宋"/>
                <w:bCs/>
                <w:spacing w:val="1"/>
                <w:kern w:val="0"/>
                <w:sz w:val="24"/>
                <w:szCs w:val="24"/>
              </w:rPr>
            </w:pPr>
            <w:r>
              <w:rPr>
                <w:rFonts w:hint="eastAsia" w:ascii="仿宋_GB2312" w:hAnsi="宋体" w:eastAsia="仿宋_GB2312" w:cs="仿宋"/>
                <w:bCs/>
                <w:spacing w:val="1"/>
                <w:kern w:val="0"/>
                <w:sz w:val="24"/>
                <w:szCs w:val="24"/>
              </w:rPr>
              <w:t>1.361</w:t>
            </w:r>
          </w:p>
        </w:tc>
        <w:tc>
          <w:tcPr>
            <w:tcW w:w="1832" w:type="dxa"/>
            <w:vAlign w:val="center"/>
          </w:tcPr>
          <w:p>
            <w:pPr>
              <w:adjustRightInd w:val="0"/>
              <w:snapToGrid w:val="0"/>
              <w:jc w:val="center"/>
              <w:rPr>
                <w:rFonts w:ascii="仿宋_GB2312" w:hAnsi="宋体" w:eastAsia="仿宋_GB2312" w:cs="仿宋"/>
                <w:bCs/>
                <w:spacing w:val="1"/>
                <w:kern w:val="0"/>
                <w:sz w:val="24"/>
                <w:szCs w:val="24"/>
              </w:rPr>
            </w:pPr>
            <w:r>
              <w:rPr>
                <w:rFonts w:hint="eastAsia" w:ascii="仿宋_GB2312" w:hAnsi="宋体" w:eastAsia="仿宋_GB2312" w:cs="仿宋"/>
                <w:bCs/>
                <w:spacing w:val="1"/>
                <w:kern w:val="0"/>
                <w:sz w:val="24"/>
                <w:szCs w:val="24"/>
              </w:rPr>
              <w:t>易溶于水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exact"/>
          <w:jc w:val="center"/>
        </w:trPr>
        <w:tc>
          <w:tcPr>
            <w:tcW w:w="1633" w:type="dxa"/>
            <w:vAlign w:val="center"/>
          </w:tcPr>
          <w:p>
            <w:pPr>
              <w:adjustRightInd w:val="0"/>
              <w:snapToGrid w:val="0"/>
              <w:jc w:val="center"/>
              <w:rPr>
                <w:rFonts w:ascii="仿宋_GB2312" w:hAnsi="宋体" w:eastAsia="仿宋_GB2312" w:cs="仿宋"/>
                <w:bCs/>
                <w:spacing w:val="1"/>
                <w:kern w:val="0"/>
                <w:sz w:val="24"/>
                <w:szCs w:val="24"/>
              </w:rPr>
            </w:pPr>
            <w:r>
              <w:rPr>
                <w:rFonts w:hint="eastAsia" w:ascii="仿宋_GB2312" w:hAnsi="宋体" w:eastAsia="仿宋_GB2312" w:cs="仿宋"/>
                <w:bCs/>
                <w:spacing w:val="1"/>
                <w:kern w:val="0"/>
                <w:sz w:val="24"/>
                <w:szCs w:val="24"/>
              </w:rPr>
              <w:t>乙酸乙酯</w:t>
            </w:r>
          </w:p>
        </w:tc>
        <w:tc>
          <w:tcPr>
            <w:tcW w:w="1167" w:type="dxa"/>
            <w:vAlign w:val="center"/>
          </w:tcPr>
          <w:p>
            <w:pPr>
              <w:adjustRightInd w:val="0"/>
              <w:snapToGrid w:val="0"/>
              <w:jc w:val="center"/>
              <w:rPr>
                <w:rFonts w:ascii="仿宋_GB2312" w:hAnsi="宋体" w:eastAsia="仿宋_GB2312" w:cs="仿宋"/>
                <w:bCs/>
                <w:spacing w:val="1"/>
                <w:kern w:val="0"/>
                <w:sz w:val="24"/>
                <w:szCs w:val="24"/>
              </w:rPr>
            </w:pPr>
            <w:r>
              <w:rPr>
                <w:rFonts w:hint="eastAsia" w:ascii="仿宋_GB2312" w:hAnsi="宋体" w:eastAsia="仿宋_GB2312" w:cs="仿宋"/>
                <w:bCs/>
                <w:spacing w:val="1"/>
                <w:kern w:val="0"/>
                <w:sz w:val="24"/>
                <w:szCs w:val="24"/>
              </w:rPr>
              <w:t>88.11</w:t>
            </w:r>
          </w:p>
        </w:tc>
        <w:tc>
          <w:tcPr>
            <w:tcW w:w="1726" w:type="dxa"/>
            <w:vAlign w:val="center"/>
          </w:tcPr>
          <w:p>
            <w:pPr>
              <w:adjustRightInd w:val="0"/>
              <w:snapToGrid w:val="0"/>
              <w:jc w:val="center"/>
              <w:rPr>
                <w:rFonts w:ascii="仿宋_GB2312" w:hAnsi="宋体" w:eastAsia="仿宋_GB2312" w:cs="仿宋"/>
                <w:bCs/>
                <w:spacing w:val="1"/>
                <w:kern w:val="0"/>
                <w:sz w:val="24"/>
                <w:szCs w:val="24"/>
              </w:rPr>
            </w:pPr>
            <w:r>
              <w:rPr>
                <w:rFonts w:hint="eastAsia" w:ascii="仿宋_GB2312" w:hAnsi="宋体" w:eastAsia="仿宋_GB2312" w:cs="仿宋"/>
                <w:bCs/>
                <w:spacing w:val="1"/>
                <w:kern w:val="0"/>
                <w:sz w:val="24"/>
                <w:szCs w:val="24"/>
              </w:rPr>
              <w:t>0.9005</w:t>
            </w:r>
          </w:p>
        </w:tc>
        <w:tc>
          <w:tcPr>
            <w:tcW w:w="1340" w:type="dxa"/>
            <w:vAlign w:val="center"/>
          </w:tcPr>
          <w:p>
            <w:pPr>
              <w:adjustRightInd w:val="0"/>
              <w:snapToGrid w:val="0"/>
              <w:jc w:val="center"/>
              <w:rPr>
                <w:rFonts w:ascii="仿宋_GB2312" w:hAnsi="宋体" w:eastAsia="仿宋_GB2312" w:cs="仿宋"/>
                <w:bCs/>
                <w:spacing w:val="1"/>
                <w:kern w:val="0"/>
                <w:sz w:val="24"/>
                <w:szCs w:val="24"/>
              </w:rPr>
            </w:pPr>
            <w:r>
              <w:rPr>
                <w:rFonts w:hint="eastAsia" w:ascii="仿宋_GB2312" w:hAnsi="宋体" w:eastAsia="仿宋_GB2312" w:cs="仿宋"/>
                <w:bCs/>
                <w:spacing w:val="1"/>
                <w:kern w:val="0"/>
                <w:sz w:val="24"/>
                <w:szCs w:val="24"/>
              </w:rPr>
              <w:t>77.1</w:t>
            </w:r>
          </w:p>
        </w:tc>
        <w:tc>
          <w:tcPr>
            <w:tcW w:w="1360" w:type="dxa"/>
            <w:vAlign w:val="center"/>
          </w:tcPr>
          <w:p>
            <w:pPr>
              <w:adjustRightInd w:val="0"/>
              <w:snapToGrid w:val="0"/>
              <w:jc w:val="center"/>
              <w:rPr>
                <w:rFonts w:ascii="仿宋_GB2312" w:hAnsi="宋体" w:eastAsia="仿宋_GB2312" w:cs="仿宋"/>
                <w:bCs/>
                <w:spacing w:val="1"/>
                <w:kern w:val="0"/>
                <w:sz w:val="24"/>
                <w:szCs w:val="24"/>
              </w:rPr>
            </w:pPr>
            <w:r>
              <w:rPr>
                <w:rFonts w:hint="eastAsia" w:ascii="仿宋_GB2312" w:hAnsi="宋体" w:eastAsia="仿宋_GB2312" w:cs="仿宋"/>
                <w:bCs/>
                <w:spacing w:val="1"/>
                <w:kern w:val="0"/>
                <w:sz w:val="24"/>
                <w:szCs w:val="24"/>
              </w:rPr>
              <w:t>1.372</w:t>
            </w:r>
          </w:p>
        </w:tc>
        <w:tc>
          <w:tcPr>
            <w:tcW w:w="1832" w:type="dxa"/>
            <w:vAlign w:val="center"/>
          </w:tcPr>
          <w:p>
            <w:pPr>
              <w:adjustRightInd w:val="0"/>
              <w:snapToGrid w:val="0"/>
              <w:jc w:val="center"/>
              <w:rPr>
                <w:rFonts w:ascii="仿宋_GB2312" w:hAnsi="宋体" w:eastAsia="仿宋_GB2312" w:cs="仿宋"/>
                <w:bCs/>
                <w:spacing w:val="1"/>
                <w:kern w:val="0"/>
                <w:sz w:val="24"/>
                <w:szCs w:val="24"/>
              </w:rPr>
            </w:pPr>
            <w:r>
              <w:rPr>
                <w:rFonts w:hint="eastAsia" w:ascii="仿宋_GB2312" w:hAnsi="宋体" w:eastAsia="仿宋_GB2312" w:cs="仿宋"/>
                <w:bCs/>
                <w:spacing w:val="1"/>
                <w:kern w:val="0"/>
                <w:sz w:val="24"/>
                <w:szCs w:val="24"/>
              </w:rPr>
              <w:t>微溶于水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exact"/>
          <w:jc w:val="center"/>
        </w:trPr>
        <w:tc>
          <w:tcPr>
            <w:tcW w:w="1633" w:type="dxa"/>
            <w:vAlign w:val="center"/>
          </w:tcPr>
          <w:p>
            <w:pPr>
              <w:adjustRightInd w:val="0"/>
              <w:snapToGrid w:val="0"/>
              <w:jc w:val="center"/>
              <w:rPr>
                <w:rFonts w:ascii="仿宋_GB2312" w:hAnsi="宋体" w:eastAsia="仿宋_GB2312" w:cs="仿宋"/>
                <w:bCs/>
                <w:spacing w:val="1"/>
                <w:kern w:val="0"/>
                <w:sz w:val="24"/>
                <w:szCs w:val="24"/>
              </w:rPr>
            </w:pPr>
            <w:r>
              <w:rPr>
                <w:rFonts w:hint="eastAsia" w:ascii="仿宋_GB2312" w:hAnsi="宋体" w:eastAsia="仿宋_GB2312" w:cs="仿宋"/>
                <w:bCs/>
                <w:spacing w:val="1"/>
                <w:kern w:val="0"/>
                <w:sz w:val="24"/>
                <w:szCs w:val="24"/>
              </w:rPr>
              <w:t>浓硫酸</w:t>
            </w:r>
          </w:p>
        </w:tc>
        <w:tc>
          <w:tcPr>
            <w:tcW w:w="1167" w:type="dxa"/>
            <w:vAlign w:val="center"/>
          </w:tcPr>
          <w:p>
            <w:pPr>
              <w:adjustRightInd w:val="0"/>
              <w:snapToGrid w:val="0"/>
              <w:jc w:val="center"/>
              <w:rPr>
                <w:rFonts w:ascii="仿宋_GB2312" w:hAnsi="宋体" w:eastAsia="仿宋_GB2312" w:cs="仿宋"/>
                <w:bCs/>
                <w:spacing w:val="1"/>
                <w:kern w:val="0"/>
                <w:sz w:val="24"/>
                <w:szCs w:val="24"/>
              </w:rPr>
            </w:pPr>
            <w:r>
              <w:rPr>
                <w:rFonts w:hint="eastAsia" w:ascii="仿宋_GB2312" w:hAnsi="宋体" w:eastAsia="仿宋_GB2312" w:cs="仿宋"/>
                <w:bCs/>
                <w:spacing w:val="1"/>
                <w:kern w:val="0"/>
                <w:sz w:val="24"/>
                <w:szCs w:val="24"/>
              </w:rPr>
              <w:t>98.08</w:t>
            </w:r>
          </w:p>
        </w:tc>
        <w:tc>
          <w:tcPr>
            <w:tcW w:w="1726" w:type="dxa"/>
            <w:vAlign w:val="center"/>
          </w:tcPr>
          <w:p>
            <w:pPr>
              <w:adjustRightInd w:val="0"/>
              <w:snapToGrid w:val="0"/>
              <w:jc w:val="center"/>
              <w:rPr>
                <w:rFonts w:ascii="仿宋_GB2312" w:hAnsi="宋体" w:eastAsia="仿宋_GB2312" w:cs="仿宋"/>
                <w:bCs/>
                <w:spacing w:val="1"/>
                <w:kern w:val="0"/>
                <w:sz w:val="24"/>
                <w:szCs w:val="24"/>
              </w:rPr>
            </w:pPr>
            <w:r>
              <w:rPr>
                <w:rFonts w:hint="eastAsia" w:ascii="仿宋_GB2312" w:hAnsi="宋体" w:eastAsia="仿宋_GB2312" w:cs="仿宋"/>
                <w:bCs/>
                <w:spacing w:val="1"/>
                <w:kern w:val="0"/>
                <w:sz w:val="24"/>
                <w:szCs w:val="24"/>
              </w:rPr>
              <w:t>1.84</w:t>
            </w:r>
          </w:p>
        </w:tc>
        <w:tc>
          <w:tcPr>
            <w:tcW w:w="1340" w:type="dxa"/>
            <w:vAlign w:val="center"/>
          </w:tcPr>
          <w:p>
            <w:pPr>
              <w:adjustRightInd w:val="0"/>
              <w:snapToGrid w:val="0"/>
              <w:jc w:val="center"/>
              <w:rPr>
                <w:rFonts w:ascii="仿宋_GB2312" w:hAnsi="宋体" w:eastAsia="仿宋_GB2312" w:cs="仿宋"/>
                <w:bCs/>
                <w:spacing w:val="1"/>
                <w:kern w:val="0"/>
                <w:sz w:val="24"/>
                <w:szCs w:val="24"/>
              </w:rPr>
            </w:pPr>
            <w:r>
              <w:rPr>
                <w:rFonts w:hint="eastAsia" w:ascii="仿宋_GB2312" w:hAnsi="宋体" w:eastAsia="仿宋_GB2312" w:cs="仿宋"/>
                <w:bCs/>
                <w:spacing w:val="1"/>
                <w:kern w:val="0"/>
                <w:sz w:val="24"/>
                <w:szCs w:val="24"/>
              </w:rPr>
              <w:t>——</w:t>
            </w:r>
          </w:p>
        </w:tc>
        <w:tc>
          <w:tcPr>
            <w:tcW w:w="1360" w:type="dxa"/>
            <w:vAlign w:val="center"/>
          </w:tcPr>
          <w:p>
            <w:pPr>
              <w:adjustRightInd w:val="0"/>
              <w:snapToGrid w:val="0"/>
              <w:jc w:val="center"/>
              <w:rPr>
                <w:rFonts w:ascii="仿宋_GB2312" w:hAnsi="宋体" w:eastAsia="仿宋_GB2312" w:cs="仿宋"/>
                <w:bCs/>
                <w:spacing w:val="1"/>
                <w:kern w:val="0"/>
                <w:sz w:val="24"/>
                <w:szCs w:val="24"/>
              </w:rPr>
            </w:pPr>
            <w:r>
              <w:rPr>
                <w:rFonts w:hint="eastAsia" w:ascii="仿宋_GB2312" w:hAnsi="宋体" w:eastAsia="仿宋_GB2312" w:cs="仿宋"/>
                <w:bCs/>
                <w:spacing w:val="1"/>
                <w:kern w:val="0"/>
                <w:sz w:val="24"/>
                <w:szCs w:val="24"/>
              </w:rPr>
              <w:t>——</w:t>
            </w:r>
          </w:p>
        </w:tc>
        <w:tc>
          <w:tcPr>
            <w:tcW w:w="1832" w:type="dxa"/>
            <w:vAlign w:val="center"/>
          </w:tcPr>
          <w:p>
            <w:pPr>
              <w:adjustRightInd w:val="0"/>
              <w:snapToGrid w:val="0"/>
              <w:jc w:val="center"/>
              <w:rPr>
                <w:rFonts w:ascii="仿宋_GB2312" w:hAnsi="宋体" w:eastAsia="仿宋_GB2312" w:cs="仿宋"/>
                <w:bCs/>
                <w:spacing w:val="1"/>
                <w:kern w:val="0"/>
                <w:sz w:val="24"/>
                <w:szCs w:val="24"/>
              </w:rPr>
            </w:pPr>
            <w:r>
              <w:rPr>
                <w:rFonts w:hint="eastAsia" w:ascii="仿宋_GB2312" w:hAnsi="宋体" w:eastAsia="仿宋_GB2312" w:cs="仿宋"/>
                <w:bCs/>
                <w:spacing w:val="1"/>
                <w:kern w:val="0"/>
                <w:sz w:val="24"/>
                <w:szCs w:val="24"/>
              </w:rPr>
              <w:t>易溶于水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jc w:val="center"/>
        </w:trPr>
        <w:tc>
          <w:tcPr>
            <w:tcW w:w="1633" w:type="dxa"/>
            <w:vAlign w:val="center"/>
          </w:tcPr>
          <w:p>
            <w:pPr>
              <w:adjustRightInd w:val="0"/>
              <w:snapToGrid w:val="0"/>
              <w:jc w:val="center"/>
              <w:rPr>
                <w:rFonts w:ascii="仿宋_GB2312" w:hAnsi="宋体" w:eastAsia="仿宋_GB2312" w:cs="仿宋"/>
                <w:bCs/>
                <w:spacing w:val="1"/>
                <w:kern w:val="0"/>
                <w:sz w:val="24"/>
                <w:szCs w:val="24"/>
              </w:rPr>
            </w:pPr>
            <w:r>
              <w:rPr>
                <w:rFonts w:hint="eastAsia" w:ascii="仿宋_GB2312" w:hAnsi="宋体" w:eastAsia="仿宋_GB2312" w:cs="仿宋"/>
                <w:bCs/>
                <w:spacing w:val="1"/>
                <w:kern w:val="0"/>
                <w:sz w:val="24"/>
                <w:szCs w:val="24"/>
              </w:rPr>
              <w:t>乙酸正丙酯</w:t>
            </w:r>
          </w:p>
        </w:tc>
        <w:tc>
          <w:tcPr>
            <w:tcW w:w="1167" w:type="dxa"/>
            <w:vAlign w:val="center"/>
          </w:tcPr>
          <w:p>
            <w:pPr>
              <w:adjustRightInd w:val="0"/>
              <w:snapToGrid w:val="0"/>
              <w:jc w:val="center"/>
              <w:rPr>
                <w:rFonts w:ascii="仿宋_GB2312" w:hAnsi="宋体" w:eastAsia="仿宋_GB2312" w:cs="仿宋"/>
                <w:bCs/>
                <w:spacing w:val="1"/>
                <w:kern w:val="0"/>
                <w:sz w:val="24"/>
                <w:szCs w:val="24"/>
              </w:rPr>
            </w:pPr>
            <w:r>
              <w:rPr>
                <w:rFonts w:hint="eastAsia" w:ascii="仿宋_GB2312" w:hAnsi="宋体" w:eastAsia="仿宋_GB2312" w:cs="仿宋"/>
                <w:bCs/>
                <w:spacing w:val="1"/>
                <w:kern w:val="0"/>
                <w:sz w:val="24"/>
                <w:szCs w:val="24"/>
              </w:rPr>
              <w:t>102.13</w:t>
            </w:r>
          </w:p>
        </w:tc>
        <w:tc>
          <w:tcPr>
            <w:tcW w:w="1726" w:type="dxa"/>
            <w:vAlign w:val="center"/>
          </w:tcPr>
          <w:p>
            <w:pPr>
              <w:adjustRightInd w:val="0"/>
              <w:snapToGrid w:val="0"/>
              <w:jc w:val="center"/>
              <w:rPr>
                <w:rFonts w:ascii="仿宋_GB2312" w:hAnsi="宋体" w:eastAsia="仿宋_GB2312" w:cs="仿宋"/>
                <w:bCs/>
                <w:spacing w:val="1"/>
                <w:kern w:val="0"/>
                <w:sz w:val="24"/>
                <w:szCs w:val="24"/>
              </w:rPr>
            </w:pPr>
            <w:r>
              <w:rPr>
                <w:rFonts w:hint="eastAsia" w:ascii="仿宋_GB2312" w:hAnsi="宋体" w:eastAsia="仿宋_GB2312" w:cs="仿宋"/>
                <w:bCs/>
                <w:spacing w:val="1"/>
                <w:kern w:val="0"/>
                <w:sz w:val="24"/>
                <w:szCs w:val="24"/>
              </w:rPr>
              <w:t>0.8878</w:t>
            </w:r>
          </w:p>
        </w:tc>
        <w:tc>
          <w:tcPr>
            <w:tcW w:w="1340" w:type="dxa"/>
            <w:vAlign w:val="center"/>
          </w:tcPr>
          <w:p>
            <w:pPr>
              <w:adjustRightInd w:val="0"/>
              <w:snapToGrid w:val="0"/>
              <w:jc w:val="center"/>
              <w:rPr>
                <w:rFonts w:ascii="仿宋_GB2312" w:hAnsi="宋体" w:eastAsia="仿宋_GB2312" w:cs="仿宋"/>
                <w:bCs/>
                <w:spacing w:val="1"/>
                <w:kern w:val="0"/>
                <w:sz w:val="24"/>
                <w:szCs w:val="24"/>
              </w:rPr>
            </w:pPr>
            <w:r>
              <w:rPr>
                <w:rFonts w:hint="eastAsia" w:ascii="仿宋_GB2312" w:hAnsi="宋体" w:eastAsia="仿宋_GB2312" w:cs="仿宋"/>
                <w:bCs/>
                <w:spacing w:val="1"/>
                <w:kern w:val="0"/>
                <w:sz w:val="24"/>
                <w:szCs w:val="24"/>
              </w:rPr>
              <w:t>101.6</w:t>
            </w:r>
          </w:p>
        </w:tc>
        <w:tc>
          <w:tcPr>
            <w:tcW w:w="1360" w:type="dxa"/>
            <w:vAlign w:val="center"/>
          </w:tcPr>
          <w:p>
            <w:pPr>
              <w:adjustRightInd w:val="0"/>
              <w:snapToGrid w:val="0"/>
              <w:jc w:val="center"/>
              <w:rPr>
                <w:rFonts w:ascii="仿宋_GB2312" w:hAnsi="宋体" w:eastAsia="仿宋_GB2312" w:cs="仿宋"/>
                <w:bCs/>
                <w:spacing w:val="1"/>
                <w:kern w:val="0"/>
                <w:sz w:val="24"/>
                <w:szCs w:val="24"/>
              </w:rPr>
            </w:pPr>
            <w:r>
              <w:rPr>
                <w:rFonts w:hint="eastAsia" w:ascii="仿宋_GB2312" w:hAnsi="宋体" w:eastAsia="仿宋_GB2312" w:cs="仿宋"/>
                <w:bCs/>
                <w:spacing w:val="1"/>
                <w:kern w:val="0"/>
                <w:sz w:val="24"/>
                <w:szCs w:val="24"/>
              </w:rPr>
              <w:t>1.383</w:t>
            </w:r>
          </w:p>
        </w:tc>
        <w:tc>
          <w:tcPr>
            <w:tcW w:w="1832" w:type="dxa"/>
            <w:vAlign w:val="center"/>
          </w:tcPr>
          <w:p>
            <w:pPr>
              <w:adjustRightInd w:val="0"/>
              <w:snapToGrid w:val="0"/>
              <w:jc w:val="center"/>
              <w:rPr>
                <w:rFonts w:ascii="仿宋_GB2312" w:hAnsi="宋体" w:eastAsia="仿宋_GB2312" w:cs="仿宋"/>
                <w:bCs/>
                <w:spacing w:val="1"/>
                <w:kern w:val="0"/>
                <w:sz w:val="24"/>
                <w:szCs w:val="24"/>
              </w:rPr>
            </w:pPr>
            <w:r>
              <w:rPr>
                <w:rFonts w:hint="eastAsia" w:ascii="仿宋_GB2312" w:hAnsi="宋体" w:eastAsia="仿宋_GB2312" w:cs="仿宋"/>
                <w:bCs/>
                <w:spacing w:val="1"/>
                <w:kern w:val="0"/>
                <w:sz w:val="24"/>
                <w:szCs w:val="24"/>
              </w:rPr>
              <w:t>微溶于水</w:t>
            </w:r>
          </w:p>
        </w:tc>
      </w:tr>
    </w:tbl>
    <w:p>
      <w:pPr>
        <w:adjustRightInd w:val="0"/>
        <w:snapToGrid w:val="0"/>
        <w:rPr>
          <w:rFonts w:ascii="仿宋_GB2312" w:eastAsia="仿宋_GB2312"/>
          <w:sz w:val="28"/>
          <w:szCs w:val="28"/>
        </w:rPr>
      </w:pPr>
    </w:p>
    <w:p>
      <w:pPr>
        <w:numPr>
          <w:ilvl w:val="0"/>
          <w:numId w:val="20"/>
        </w:numPr>
        <w:adjustRightInd w:val="0"/>
        <w:snapToGrid w:val="0"/>
        <w:ind w:left="1327"/>
        <w:rPr>
          <w:rFonts w:ascii="仿宋_GB2312" w:eastAsia="仿宋_GB2312"/>
          <w:sz w:val="30"/>
          <w:szCs w:val="30"/>
        </w:rPr>
      </w:pPr>
      <w:r>
        <w:rPr>
          <w:rFonts w:hint="eastAsia" w:ascii="仿宋_GB2312" w:eastAsia="仿宋_GB2312"/>
          <w:sz w:val="30"/>
          <w:szCs w:val="30"/>
        </w:rPr>
        <w:t>乙酸乙酯测定的色谱条件</w:t>
      </w:r>
    </w:p>
    <w:tbl>
      <w:tblPr>
        <w:tblStyle w:val="8"/>
        <w:tblW w:w="90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3"/>
        <w:gridCol w:w="4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4343" w:type="dxa"/>
            <w:vAlign w:val="center"/>
          </w:tcPr>
          <w:p>
            <w:pPr>
              <w:adjustRightInd w:val="0"/>
              <w:snapToGrid w:val="0"/>
              <w:jc w:val="center"/>
              <w:textAlignment w:val="center"/>
              <w:rPr>
                <w:rFonts w:ascii="黑体" w:hAnsi="黑体" w:eastAsia="黑体" w:cs="黑体"/>
                <w:bCs/>
                <w:spacing w:val="1"/>
                <w:kern w:val="0"/>
                <w:sz w:val="24"/>
                <w:szCs w:val="20"/>
              </w:rPr>
            </w:pPr>
            <w:r>
              <w:rPr>
                <w:rFonts w:hint="eastAsia" w:ascii="黑体" w:hAnsi="黑体" w:eastAsia="黑体" w:cs="黑体"/>
                <w:bCs/>
                <w:spacing w:val="1"/>
                <w:kern w:val="0"/>
                <w:sz w:val="24"/>
                <w:szCs w:val="20"/>
              </w:rPr>
              <w:t>色谱柱</w:t>
            </w:r>
          </w:p>
        </w:tc>
        <w:tc>
          <w:tcPr>
            <w:tcW w:w="4703" w:type="dxa"/>
            <w:vAlign w:val="center"/>
          </w:tcPr>
          <w:p>
            <w:pPr>
              <w:adjustRightInd w:val="0"/>
              <w:snapToGrid w:val="0"/>
              <w:jc w:val="center"/>
              <w:textAlignment w:val="center"/>
              <w:rPr>
                <w:rFonts w:ascii="黑体" w:hAnsi="黑体" w:eastAsia="黑体" w:cs="黑体"/>
                <w:bCs/>
                <w:spacing w:val="1"/>
                <w:kern w:val="0"/>
                <w:sz w:val="24"/>
                <w:szCs w:val="20"/>
              </w:rPr>
            </w:pPr>
            <w:r>
              <w:rPr>
                <w:rFonts w:hint="eastAsia" w:ascii="黑体" w:hAnsi="黑体" w:eastAsia="黑体" w:cs="黑体"/>
                <w:bCs/>
                <w:spacing w:val="1"/>
                <w:kern w:val="0"/>
                <w:sz w:val="24"/>
                <w:szCs w:val="20"/>
              </w:rPr>
              <w:t>PEG（聚乙二醇）毛细管柱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4343" w:type="dxa"/>
            <w:vAlign w:val="center"/>
          </w:tcPr>
          <w:p>
            <w:pPr>
              <w:adjustRightInd w:val="0"/>
              <w:snapToGrid w:val="0"/>
              <w:jc w:val="center"/>
              <w:textAlignment w:val="center"/>
              <w:rPr>
                <w:rFonts w:ascii="仿宋_GB2312" w:hAnsi="宋体" w:eastAsia="仿宋_GB2312"/>
                <w:bCs/>
                <w:kern w:val="0"/>
                <w:sz w:val="24"/>
                <w:szCs w:val="20"/>
              </w:rPr>
            </w:pPr>
            <w:r>
              <w:rPr>
                <w:rFonts w:hint="eastAsia" w:ascii="仿宋_GB2312" w:hAnsi="宋体" w:eastAsia="仿宋_GB2312"/>
                <w:bCs/>
                <w:kern w:val="0"/>
                <w:sz w:val="24"/>
                <w:szCs w:val="20"/>
              </w:rPr>
              <w:t>柱长/柱内径/液膜厚度</w:t>
            </w:r>
          </w:p>
        </w:tc>
        <w:tc>
          <w:tcPr>
            <w:tcW w:w="4703" w:type="dxa"/>
            <w:vAlign w:val="center"/>
          </w:tcPr>
          <w:p>
            <w:pPr>
              <w:adjustRightInd w:val="0"/>
              <w:snapToGrid w:val="0"/>
              <w:jc w:val="center"/>
              <w:textAlignment w:val="center"/>
              <w:rPr>
                <w:rFonts w:ascii="仿宋_GB2312" w:hAnsi="宋体" w:eastAsia="仿宋_GB2312"/>
                <w:bCs/>
                <w:kern w:val="0"/>
                <w:sz w:val="24"/>
                <w:szCs w:val="20"/>
              </w:rPr>
            </w:pPr>
            <w:r>
              <w:rPr>
                <w:rFonts w:hint="eastAsia" w:ascii="仿宋_GB2312" w:hAnsi="宋体" w:eastAsia="仿宋_GB2312"/>
                <w:bCs/>
                <w:kern w:val="0"/>
                <w:sz w:val="24"/>
                <w:szCs w:val="20"/>
              </w:rPr>
              <w:t>50m/0.25mm/0.2μm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4343" w:type="dxa"/>
            <w:vAlign w:val="center"/>
          </w:tcPr>
          <w:p>
            <w:pPr>
              <w:adjustRightInd w:val="0"/>
              <w:snapToGrid w:val="0"/>
              <w:jc w:val="center"/>
              <w:textAlignment w:val="center"/>
              <w:rPr>
                <w:rFonts w:ascii="仿宋_GB2312" w:hAnsi="宋体" w:eastAsia="仿宋_GB2312"/>
                <w:bCs/>
                <w:kern w:val="0"/>
                <w:sz w:val="24"/>
                <w:szCs w:val="20"/>
              </w:rPr>
            </w:pPr>
            <w:r>
              <w:rPr>
                <w:rFonts w:hint="eastAsia" w:ascii="仿宋_GB2312" w:hAnsi="宋体" w:eastAsia="仿宋_GB2312"/>
                <w:bCs/>
                <w:kern w:val="0"/>
                <w:sz w:val="24"/>
                <w:szCs w:val="20"/>
              </w:rPr>
              <w:t>柱温</w:t>
            </w:r>
          </w:p>
        </w:tc>
        <w:tc>
          <w:tcPr>
            <w:tcW w:w="4703" w:type="dxa"/>
            <w:vAlign w:val="center"/>
          </w:tcPr>
          <w:p>
            <w:pPr>
              <w:adjustRightInd w:val="0"/>
              <w:snapToGrid w:val="0"/>
              <w:jc w:val="center"/>
              <w:textAlignment w:val="center"/>
              <w:rPr>
                <w:rFonts w:ascii="仿宋_GB2312" w:hAnsi="宋体" w:eastAsia="仿宋_GB2312"/>
                <w:bCs/>
                <w:kern w:val="0"/>
                <w:sz w:val="24"/>
                <w:szCs w:val="20"/>
              </w:rPr>
            </w:pPr>
            <w:r>
              <w:rPr>
                <w:rFonts w:hint="eastAsia" w:ascii="仿宋_GB2312" w:hAnsi="宋体" w:eastAsia="仿宋_GB2312"/>
                <w:bCs/>
                <w:kern w:val="0"/>
                <w:sz w:val="24"/>
                <w:szCs w:val="20"/>
              </w:rPr>
              <w:t>140-150℃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4343" w:type="dxa"/>
            <w:vAlign w:val="center"/>
          </w:tcPr>
          <w:p>
            <w:pPr>
              <w:adjustRightInd w:val="0"/>
              <w:snapToGrid w:val="0"/>
              <w:jc w:val="center"/>
              <w:textAlignment w:val="center"/>
              <w:rPr>
                <w:rFonts w:ascii="仿宋_GB2312" w:hAnsi="宋体" w:eastAsia="仿宋_GB2312"/>
                <w:bCs/>
                <w:kern w:val="0"/>
                <w:sz w:val="24"/>
                <w:szCs w:val="20"/>
              </w:rPr>
            </w:pPr>
            <w:r>
              <w:rPr>
                <w:rFonts w:hint="eastAsia" w:ascii="仿宋_GB2312" w:hAnsi="宋体" w:eastAsia="仿宋_GB2312"/>
                <w:bCs/>
                <w:kern w:val="0"/>
                <w:sz w:val="24"/>
                <w:szCs w:val="20"/>
              </w:rPr>
              <w:t>气化室温度</w:t>
            </w:r>
          </w:p>
        </w:tc>
        <w:tc>
          <w:tcPr>
            <w:tcW w:w="4703" w:type="dxa"/>
            <w:vAlign w:val="center"/>
          </w:tcPr>
          <w:p>
            <w:pPr>
              <w:adjustRightInd w:val="0"/>
              <w:snapToGrid w:val="0"/>
              <w:jc w:val="center"/>
              <w:textAlignment w:val="center"/>
              <w:rPr>
                <w:rFonts w:ascii="仿宋_GB2312" w:hAnsi="宋体" w:eastAsia="仿宋_GB2312"/>
                <w:bCs/>
                <w:kern w:val="0"/>
                <w:sz w:val="24"/>
                <w:szCs w:val="20"/>
              </w:rPr>
            </w:pPr>
            <w:r>
              <w:rPr>
                <w:rFonts w:hint="eastAsia" w:ascii="仿宋_GB2312" w:hAnsi="宋体" w:eastAsia="仿宋_GB2312"/>
                <w:bCs/>
                <w:kern w:val="0"/>
                <w:sz w:val="24"/>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4343" w:type="dxa"/>
            <w:vAlign w:val="center"/>
          </w:tcPr>
          <w:p>
            <w:pPr>
              <w:adjustRightInd w:val="0"/>
              <w:snapToGrid w:val="0"/>
              <w:jc w:val="center"/>
              <w:textAlignment w:val="center"/>
              <w:rPr>
                <w:rFonts w:ascii="仿宋_GB2312" w:hAnsi="宋体" w:eastAsia="仿宋_GB2312"/>
                <w:bCs/>
                <w:kern w:val="0"/>
                <w:sz w:val="24"/>
                <w:szCs w:val="20"/>
              </w:rPr>
            </w:pPr>
            <w:r>
              <w:rPr>
                <w:rFonts w:hint="eastAsia" w:ascii="仿宋_GB2312" w:hAnsi="宋体" w:eastAsia="仿宋_GB2312"/>
                <w:bCs/>
                <w:kern w:val="0"/>
                <w:sz w:val="24"/>
                <w:szCs w:val="20"/>
              </w:rPr>
              <w:t>检测器温度</w:t>
            </w:r>
          </w:p>
        </w:tc>
        <w:tc>
          <w:tcPr>
            <w:tcW w:w="4703" w:type="dxa"/>
            <w:vAlign w:val="center"/>
          </w:tcPr>
          <w:p>
            <w:pPr>
              <w:adjustRightInd w:val="0"/>
              <w:snapToGrid w:val="0"/>
              <w:jc w:val="center"/>
              <w:textAlignment w:val="center"/>
              <w:rPr>
                <w:rFonts w:ascii="仿宋_GB2312" w:hAnsi="宋体" w:eastAsia="仿宋_GB2312"/>
                <w:bCs/>
                <w:kern w:val="0"/>
                <w:sz w:val="24"/>
                <w:szCs w:val="20"/>
              </w:rPr>
            </w:pPr>
            <w:r>
              <w:rPr>
                <w:rFonts w:hint="eastAsia" w:ascii="仿宋_GB2312" w:hAnsi="宋体" w:eastAsia="仿宋_GB2312"/>
                <w:bCs/>
                <w:kern w:val="0"/>
                <w:sz w:val="24"/>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4343" w:type="dxa"/>
            <w:vAlign w:val="center"/>
          </w:tcPr>
          <w:p>
            <w:pPr>
              <w:adjustRightInd w:val="0"/>
              <w:snapToGrid w:val="0"/>
              <w:jc w:val="center"/>
              <w:textAlignment w:val="center"/>
              <w:rPr>
                <w:rFonts w:ascii="仿宋_GB2312" w:hAnsi="宋体" w:eastAsia="仿宋_GB2312"/>
                <w:bCs/>
                <w:kern w:val="0"/>
                <w:sz w:val="24"/>
                <w:szCs w:val="20"/>
              </w:rPr>
            </w:pPr>
            <w:r>
              <w:rPr>
                <w:rFonts w:hint="eastAsia" w:ascii="仿宋_GB2312" w:hAnsi="宋体" w:eastAsia="仿宋_GB2312"/>
                <w:bCs/>
                <w:kern w:val="0"/>
                <w:sz w:val="24"/>
                <w:szCs w:val="20"/>
              </w:rPr>
              <w:t>载气（N</w:t>
            </w:r>
            <w:r>
              <w:rPr>
                <w:rFonts w:hint="eastAsia" w:ascii="仿宋_GB2312" w:hAnsi="宋体" w:eastAsia="仿宋_GB2312"/>
                <w:bCs/>
                <w:kern w:val="0"/>
                <w:sz w:val="24"/>
                <w:szCs w:val="20"/>
                <w:vertAlign w:val="subscript"/>
              </w:rPr>
              <w:t>2</w:t>
            </w:r>
            <w:r>
              <w:rPr>
                <w:rFonts w:hint="eastAsia" w:ascii="仿宋_GB2312" w:hAnsi="宋体" w:eastAsia="仿宋_GB2312"/>
                <w:bCs/>
                <w:kern w:val="0"/>
                <w:sz w:val="24"/>
                <w:szCs w:val="20"/>
              </w:rPr>
              <w:t>）平均速度</w:t>
            </w:r>
          </w:p>
        </w:tc>
        <w:tc>
          <w:tcPr>
            <w:tcW w:w="4703" w:type="dxa"/>
            <w:vAlign w:val="center"/>
          </w:tcPr>
          <w:p>
            <w:pPr>
              <w:adjustRightInd w:val="0"/>
              <w:snapToGrid w:val="0"/>
              <w:jc w:val="center"/>
              <w:textAlignment w:val="center"/>
              <w:rPr>
                <w:rFonts w:ascii="仿宋_GB2312" w:hAnsi="宋体" w:eastAsia="仿宋_GB2312"/>
                <w:bCs/>
                <w:kern w:val="0"/>
                <w:sz w:val="24"/>
                <w:szCs w:val="20"/>
              </w:rPr>
            </w:pPr>
            <w:r>
              <w:rPr>
                <w:rFonts w:hint="eastAsia" w:ascii="仿宋_GB2312" w:hAnsi="宋体" w:eastAsia="仿宋_GB2312"/>
                <w:bCs/>
                <w:kern w:val="0"/>
                <w:sz w:val="24"/>
                <w:szCs w:val="20"/>
              </w:rPr>
              <w:t>50cm/s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4343" w:type="dxa"/>
            <w:vAlign w:val="center"/>
          </w:tcPr>
          <w:p>
            <w:pPr>
              <w:adjustRightInd w:val="0"/>
              <w:snapToGrid w:val="0"/>
              <w:jc w:val="center"/>
              <w:textAlignment w:val="center"/>
              <w:rPr>
                <w:rFonts w:ascii="仿宋_GB2312" w:hAnsi="宋体" w:eastAsia="仿宋_GB2312"/>
                <w:bCs/>
                <w:kern w:val="0"/>
                <w:sz w:val="24"/>
                <w:szCs w:val="20"/>
              </w:rPr>
            </w:pPr>
            <w:r>
              <w:rPr>
                <w:rFonts w:hint="eastAsia" w:ascii="仿宋_GB2312" w:hAnsi="宋体" w:eastAsia="仿宋_GB2312"/>
                <w:bCs/>
                <w:kern w:val="0"/>
                <w:sz w:val="24"/>
                <w:szCs w:val="20"/>
              </w:rPr>
              <w:t>空气流量</w:t>
            </w:r>
          </w:p>
        </w:tc>
        <w:tc>
          <w:tcPr>
            <w:tcW w:w="4703" w:type="dxa"/>
            <w:vAlign w:val="center"/>
          </w:tcPr>
          <w:p>
            <w:pPr>
              <w:adjustRightInd w:val="0"/>
              <w:snapToGrid w:val="0"/>
              <w:jc w:val="center"/>
              <w:textAlignment w:val="center"/>
              <w:rPr>
                <w:rFonts w:ascii="仿宋_GB2312" w:hAnsi="宋体" w:eastAsia="仿宋_GB2312"/>
                <w:bCs/>
                <w:kern w:val="0"/>
                <w:sz w:val="24"/>
                <w:szCs w:val="20"/>
              </w:rPr>
            </w:pPr>
            <w:r>
              <w:rPr>
                <w:rFonts w:hint="eastAsia" w:ascii="仿宋_GB2312" w:hAnsi="宋体" w:eastAsia="仿宋_GB2312"/>
                <w:bCs/>
                <w:kern w:val="0"/>
                <w:sz w:val="24"/>
                <w:szCs w:val="20"/>
              </w:rPr>
              <w:t>300mL/min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4343" w:type="dxa"/>
            <w:vAlign w:val="center"/>
          </w:tcPr>
          <w:p>
            <w:pPr>
              <w:adjustRightInd w:val="0"/>
              <w:snapToGrid w:val="0"/>
              <w:jc w:val="center"/>
              <w:textAlignment w:val="center"/>
              <w:rPr>
                <w:rFonts w:ascii="仿宋_GB2312" w:hAnsi="宋体" w:eastAsia="仿宋_GB2312"/>
                <w:bCs/>
                <w:kern w:val="0"/>
                <w:sz w:val="24"/>
                <w:szCs w:val="20"/>
              </w:rPr>
            </w:pPr>
            <w:r>
              <w:rPr>
                <w:rFonts w:hint="eastAsia" w:ascii="仿宋_GB2312" w:hAnsi="宋体" w:eastAsia="仿宋_GB2312"/>
                <w:bCs/>
                <w:kern w:val="0"/>
                <w:sz w:val="24"/>
                <w:szCs w:val="20"/>
              </w:rPr>
              <w:t>氢气流量</w:t>
            </w:r>
          </w:p>
        </w:tc>
        <w:tc>
          <w:tcPr>
            <w:tcW w:w="4703" w:type="dxa"/>
            <w:vAlign w:val="center"/>
          </w:tcPr>
          <w:p>
            <w:pPr>
              <w:adjustRightInd w:val="0"/>
              <w:snapToGrid w:val="0"/>
              <w:jc w:val="center"/>
              <w:textAlignment w:val="center"/>
              <w:rPr>
                <w:rFonts w:ascii="仿宋_GB2312" w:hAnsi="宋体" w:eastAsia="仿宋_GB2312"/>
                <w:bCs/>
                <w:kern w:val="0"/>
                <w:sz w:val="24"/>
                <w:szCs w:val="20"/>
              </w:rPr>
            </w:pPr>
            <w:r>
              <w:rPr>
                <w:rFonts w:hint="eastAsia" w:ascii="仿宋_GB2312" w:hAnsi="宋体" w:eastAsia="仿宋_GB2312"/>
                <w:bCs/>
                <w:kern w:val="0"/>
                <w:sz w:val="24"/>
                <w:szCs w:val="20"/>
              </w:rPr>
              <w:t>30mL/min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4343" w:type="dxa"/>
            <w:vAlign w:val="center"/>
          </w:tcPr>
          <w:p>
            <w:pPr>
              <w:adjustRightInd w:val="0"/>
              <w:snapToGrid w:val="0"/>
              <w:jc w:val="center"/>
              <w:textAlignment w:val="center"/>
              <w:rPr>
                <w:rFonts w:ascii="仿宋_GB2312" w:hAnsi="宋体" w:eastAsia="仿宋_GB2312"/>
                <w:bCs/>
                <w:kern w:val="0"/>
                <w:sz w:val="24"/>
                <w:szCs w:val="20"/>
              </w:rPr>
            </w:pPr>
            <w:r>
              <w:rPr>
                <w:rFonts w:hint="eastAsia" w:ascii="仿宋_GB2312" w:hAnsi="宋体" w:eastAsia="仿宋_GB2312"/>
                <w:bCs/>
                <w:kern w:val="0"/>
                <w:sz w:val="24"/>
                <w:szCs w:val="20"/>
              </w:rPr>
              <w:t>分流比</w:t>
            </w:r>
          </w:p>
        </w:tc>
        <w:tc>
          <w:tcPr>
            <w:tcW w:w="4703" w:type="dxa"/>
            <w:vAlign w:val="center"/>
          </w:tcPr>
          <w:p>
            <w:pPr>
              <w:adjustRightInd w:val="0"/>
              <w:snapToGrid w:val="0"/>
              <w:jc w:val="center"/>
              <w:textAlignment w:val="center"/>
              <w:rPr>
                <w:rFonts w:ascii="仿宋_GB2312" w:hAnsi="宋体" w:eastAsia="仿宋_GB2312"/>
                <w:bCs/>
                <w:kern w:val="0"/>
                <w:sz w:val="24"/>
                <w:szCs w:val="20"/>
              </w:rPr>
            </w:pPr>
            <w:r>
              <w:rPr>
                <w:rFonts w:hint="eastAsia" w:ascii="仿宋_GB2312" w:hAnsi="宋体" w:eastAsia="仿宋_GB2312"/>
                <w:bCs/>
                <w:kern w:val="0"/>
                <w:sz w:val="24"/>
                <w:szCs w:val="20"/>
              </w:rP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exact"/>
          <w:jc w:val="center"/>
        </w:trPr>
        <w:tc>
          <w:tcPr>
            <w:tcW w:w="4343" w:type="dxa"/>
            <w:vAlign w:val="center"/>
          </w:tcPr>
          <w:p>
            <w:pPr>
              <w:adjustRightInd w:val="0"/>
              <w:snapToGrid w:val="0"/>
              <w:jc w:val="center"/>
              <w:textAlignment w:val="center"/>
              <w:rPr>
                <w:rFonts w:ascii="仿宋_GB2312" w:hAnsi="宋体" w:eastAsia="仿宋_GB2312"/>
                <w:bCs/>
                <w:kern w:val="0"/>
                <w:sz w:val="24"/>
                <w:szCs w:val="20"/>
              </w:rPr>
            </w:pPr>
            <w:r>
              <w:rPr>
                <w:rFonts w:hint="eastAsia" w:ascii="仿宋_GB2312" w:hAnsi="宋体" w:eastAsia="仿宋_GB2312"/>
                <w:bCs/>
                <w:kern w:val="0"/>
                <w:sz w:val="24"/>
                <w:szCs w:val="20"/>
              </w:rPr>
              <w:t>进样量</w:t>
            </w:r>
          </w:p>
        </w:tc>
        <w:tc>
          <w:tcPr>
            <w:tcW w:w="4703" w:type="dxa"/>
            <w:vAlign w:val="center"/>
          </w:tcPr>
          <w:p>
            <w:pPr>
              <w:adjustRightInd w:val="0"/>
              <w:snapToGrid w:val="0"/>
              <w:jc w:val="center"/>
              <w:textAlignment w:val="center"/>
              <w:rPr>
                <w:rFonts w:ascii="仿宋_GB2312" w:hAnsi="宋体" w:eastAsia="仿宋_GB2312"/>
                <w:bCs/>
                <w:kern w:val="0"/>
                <w:sz w:val="24"/>
                <w:szCs w:val="20"/>
              </w:rPr>
            </w:pPr>
            <w:r>
              <w:rPr>
                <w:rFonts w:hint="eastAsia" w:ascii="仿宋_GB2312" w:hAnsi="宋体" w:eastAsia="仿宋_GB2312"/>
                <w:bCs/>
                <w:kern w:val="0"/>
                <w:sz w:val="24"/>
                <w:szCs w:val="20"/>
              </w:rPr>
              <w:t>0.2～1.0μL</w:t>
            </w:r>
          </w:p>
        </w:tc>
      </w:tr>
    </w:tbl>
    <w:p>
      <w:pPr>
        <w:adjustRightInd w:val="0"/>
        <w:snapToGrid w:val="0"/>
        <w:rPr>
          <w:rFonts w:ascii="仿宋_GB2312" w:eastAsia="仿宋_GB2312"/>
          <w:sz w:val="28"/>
          <w:szCs w:val="28"/>
        </w:rPr>
      </w:pPr>
    </w:p>
    <w:p>
      <w:pPr>
        <w:keepNext w:val="0"/>
        <w:keepLines w:val="0"/>
        <w:pageBreakBefore w:val="0"/>
        <w:widowControl w:val="0"/>
        <w:numPr>
          <w:ilvl w:val="0"/>
          <w:numId w:val="19"/>
        </w:numPr>
        <w:kinsoku/>
        <w:wordWrap/>
        <w:overflowPunct/>
        <w:topLinePunct w:val="0"/>
        <w:autoSpaceDE/>
        <w:autoSpaceDN/>
        <w:bidi w:val="0"/>
        <w:adjustRightInd w:val="0"/>
        <w:snapToGrid w:val="0"/>
        <w:spacing w:line="560" w:lineRule="exact"/>
        <w:ind w:hanging="420"/>
        <w:textAlignment w:val="auto"/>
        <w:outlineLvl w:val="9"/>
        <w:rPr>
          <w:rFonts w:ascii="仿宋_GB2312" w:eastAsia="仿宋_GB2312"/>
          <w:sz w:val="30"/>
          <w:szCs w:val="30"/>
        </w:rPr>
      </w:pPr>
      <w:r>
        <w:rPr>
          <w:rFonts w:hint="eastAsia" w:ascii="仿宋_GB2312" w:eastAsia="仿宋_GB2312"/>
          <w:sz w:val="30"/>
          <w:szCs w:val="30"/>
        </w:rPr>
        <w:t>目标</w:t>
      </w:r>
    </w:p>
    <w:p>
      <w:pPr>
        <w:keepNext w:val="0"/>
        <w:keepLines w:val="0"/>
        <w:pageBreakBefore w:val="0"/>
        <w:widowControl w:val="0"/>
        <w:numPr>
          <w:ilvl w:val="0"/>
          <w:numId w:val="21"/>
        </w:numPr>
        <w:kinsoku/>
        <w:wordWrap/>
        <w:overflowPunct/>
        <w:topLinePunct w:val="0"/>
        <w:autoSpaceDE/>
        <w:autoSpaceDN/>
        <w:bidi w:val="0"/>
        <w:adjustRightInd w:val="0"/>
        <w:snapToGrid w:val="0"/>
        <w:spacing w:line="560" w:lineRule="exact"/>
        <w:ind w:hanging="420"/>
        <w:textAlignment w:val="auto"/>
        <w:outlineLvl w:val="9"/>
        <w:rPr>
          <w:rFonts w:ascii="仿宋_GB2312" w:eastAsia="仿宋_GB2312"/>
          <w:sz w:val="30"/>
          <w:szCs w:val="30"/>
        </w:rPr>
      </w:pPr>
      <w:r>
        <w:rPr>
          <w:rFonts w:hint="eastAsia" w:ascii="仿宋_GB2312" w:eastAsia="仿宋_GB2312"/>
          <w:sz w:val="30"/>
          <w:szCs w:val="30"/>
        </w:rPr>
        <w:t>根据流程进行乙酸乙酯的制备</w:t>
      </w:r>
    </w:p>
    <w:p>
      <w:pPr>
        <w:keepNext w:val="0"/>
        <w:keepLines w:val="0"/>
        <w:pageBreakBefore w:val="0"/>
        <w:widowControl w:val="0"/>
        <w:numPr>
          <w:ilvl w:val="0"/>
          <w:numId w:val="21"/>
        </w:numPr>
        <w:kinsoku/>
        <w:wordWrap/>
        <w:overflowPunct/>
        <w:topLinePunct w:val="0"/>
        <w:autoSpaceDE/>
        <w:autoSpaceDN/>
        <w:bidi w:val="0"/>
        <w:adjustRightInd w:val="0"/>
        <w:snapToGrid w:val="0"/>
        <w:spacing w:line="560" w:lineRule="exact"/>
        <w:ind w:hanging="420"/>
        <w:textAlignment w:val="auto"/>
        <w:outlineLvl w:val="9"/>
        <w:rPr>
          <w:rFonts w:ascii="仿宋_GB2312" w:eastAsia="仿宋_GB2312"/>
          <w:sz w:val="30"/>
          <w:szCs w:val="30"/>
        </w:rPr>
      </w:pPr>
      <w:r>
        <w:rPr>
          <w:rFonts w:hint="eastAsia" w:ascii="仿宋_GB2312" w:eastAsia="仿宋_GB2312"/>
          <w:sz w:val="30"/>
          <w:szCs w:val="30"/>
        </w:rPr>
        <w:t>计算乙酸乙酯的产率（%）</w:t>
      </w:r>
    </w:p>
    <w:p>
      <w:pPr>
        <w:keepNext w:val="0"/>
        <w:keepLines w:val="0"/>
        <w:pageBreakBefore w:val="0"/>
        <w:widowControl w:val="0"/>
        <w:numPr>
          <w:ilvl w:val="0"/>
          <w:numId w:val="21"/>
        </w:numPr>
        <w:kinsoku/>
        <w:wordWrap/>
        <w:overflowPunct/>
        <w:topLinePunct w:val="0"/>
        <w:autoSpaceDE/>
        <w:autoSpaceDN/>
        <w:bidi w:val="0"/>
        <w:adjustRightInd w:val="0"/>
        <w:snapToGrid w:val="0"/>
        <w:spacing w:line="560" w:lineRule="exact"/>
        <w:ind w:hanging="420"/>
        <w:textAlignment w:val="auto"/>
        <w:outlineLvl w:val="9"/>
        <w:rPr>
          <w:rFonts w:ascii="仿宋_GB2312" w:eastAsia="仿宋_GB2312"/>
          <w:sz w:val="30"/>
          <w:szCs w:val="30"/>
        </w:rPr>
      </w:pPr>
      <w:r>
        <w:rPr>
          <w:rFonts w:hint="eastAsia" w:ascii="仿宋_GB2312" w:eastAsia="仿宋_GB2312"/>
          <w:sz w:val="30"/>
          <w:szCs w:val="30"/>
        </w:rPr>
        <w:t>准备标准溶液和内标溶液</w:t>
      </w:r>
    </w:p>
    <w:p>
      <w:pPr>
        <w:keepNext w:val="0"/>
        <w:keepLines w:val="0"/>
        <w:pageBreakBefore w:val="0"/>
        <w:widowControl w:val="0"/>
        <w:numPr>
          <w:ilvl w:val="0"/>
          <w:numId w:val="21"/>
        </w:numPr>
        <w:kinsoku/>
        <w:wordWrap/>
        <w:overflowPunct/>
        <w:topLinePunct w:val="0"/>
        <w:autoSpaceDE/>
        <w:autoSpaceDN/>
        <w:bidi w:val="0"/>
        <w:adjustRightInd w:val="0"/>
        <w:snapToGrid w:val="0"/>
        <w:spacing w:line="560" w:lineRule="exact"/>
        <w:ind w:hanging="420"/>
        <w:textAlignment w:val="auto"/>
        <w:outlineLvl w:val="9"/>
        <w:rPr>
          <w:rFonts w:ascii="仿宋_GB2312" w:eastAsia="仿宋_GB2312"/>
          <w:sz w:val="30"/>
          <w:szCs w:val="30"/>
        </w:rPr>
      </w:pPr>
      <w:r>
        <w:rPr>
          <w:rFonts w:hint="eastAsia" w:ascii="仿宋_GB2312" w:eastAsia="仿宋_GB2312"/>
          <w:sz w:val="30"/>
          <w:szCs w:val="30"/>
        </w:rPr>
        <w:t>测定乙酸乙酯的含量</w:t>
      </w:r>
    </w:p>
    <w:p>
      <w:pPr>
        <w:keepNext w:val="0"/>
        <w:keepLines w:val="0"/>
        <w:pageBreakBefore w:val="0"/>
        <w:widowControl w:val="0"/>
        <w:numPr>
          <w:ilvl w:val="0"/>
          <w:numId w:val="21"/>
        </w:numPr>
        <w:kinsoku/>
        <w:wordWrap/>
        <w:overflowPunct/>
        <w:topLinePunct w:val="0"/>
        <w:autoSpaceDE/>
        <w:autoSpaceDN/>
        <w:bidi w:val="0"/>
        <w:adjustRightInd w:val="0"/>
        <w:snapToGrid w:val="0"/>
        <w:spacing w:line="560" w:lineRule="exact"/>
        <w:ind w:hanging="420"/>
        <w:textAlignment w:val="auto"/>
        <w:outlineLvl w:val="9"/>
        <w:rPr>
          <w:rFonts w:ascii="仿宋_GB2312" w:eastAsia="仿宋_GB2312"/>
          <w:sz w:val="30"/>
          <w:szCs w:val="30"/>
        </w:rPr>
      </w:pPr>
      <w:r>
        <w:rPr>
          <w:rFonts w:hint="eastAsia" w:ascii="仿宋_GB2312" w:eastAsia="仿宋_GB2312"/>
          <w:sz w:val="30"/>
          <w:szCs w:val="30"/>
        </w:rPr>
        <w:t>完成报告</w:t>
      </w:r>
    </w:p>
    <w:p>
      <w:pPr>
        <w:keepNext w:val="0"/>
        <w:keepLines w:val="0"/>
        <w:pageBreakBefore w:val="0"/>
        <w:widowControl/>
        <w:kinsoku/>
        <w:wordWrap/>
        <w:overflowPunct/>
        <w:topLinePunct w:val="0"/>
        <w:autoSpaceDE/>
        <w:autoSpaceDN/>
        <w:bidi w:val="0"/>
        <w:spacing w:line="560" w:lineRule="exact"/>
        <w:jc w:val="left"/>
        <w:textAlignment w:val="auto"/>
        <w:outlineLvl w:val="9"/>
        <w:rPr>
          <w:rFonts w:hint="eastAsia" w:ascii="仿宋_GB2312" w:eastAsia="仿宋_GB2312"/>
          <w:sz w:val="30"/>
          <w:szCs w:val="30"/>
        </w:rPr>
      </w:pPr>
      <w:r>
        <w:rPr>
          <w:rFonts w:ascii="仿宋" w:hAnsi="仿宋" w:eastAsia="仿宋" w:cs="仿宋"/>
          <w:b/>
          <w:bCs/>
          <w:color w:val="000000"/>
          <w:kern w:val="0"/>
          <w:sz w:val="30"/>
          <w:szCs w:val="30"/>
          <w:lang w:bidi="ar"/>
        </w:rPr>
        <w:t xml:space="preserve"> </w:t>
      </w:r>
      <w:r>
        <w:rPr>
          <w:rFonts w:hint="eastAsia" w:ascii="仿宋" w:hAnsi="仿宋" w:eastAsia="仿宋" w:cs="仿宋"/>
          <w:b/>
          <w:bCs/>
          <w:color w:val="000000"/>
          <w:kern w:val="0"/>
          <w:sz w:val="30"/>
          <w:szCs w:val="30"/>
          <w:lang w:bidi="ar"/>
        </w:rPr>
        <w:t xml:space="preserve">   </w:t>
      </w:r>
      <w:r>
        <w:rPr>
          <w:rFonts w:hint="eastAsia" w:ascii="仿宋_GB2312" w:eastAsia="仿宋_GB2312"/>
          <w:sz w:val="30"/>
          <w:szCs w:val="30"/>
        </w:rPr>
        <w:t xml:space="preserve"> 实际产品鉴定的上机操作均由气相色谱技术专家进行，选手配制好待测样品并填写送样单（包括编号、进样量、进样顺序，不得要求改变色谱条件），由工作人员统一送至气相色谱分析室。选手应仔细考虑实验设计，以适应总时间，例如制备哪些溶液、重复测量次数等。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eastAsia="仿宋_GB2312"/>
          <w:sz w:val="30"/>
          <w:szCs w:val="30"/>
        </w:rPr>
      </w:pPr>
      <w:r>
        <w:rPr>
          <w:rFonts w:hint="eastAsia" w:ascii="仿宋_GB2312" w:eastAsia="仿宋_GB2312"/>
          <w:sz w:val="30"/>
          <w:szCs w:val="30"/>
        </w:rPr>
        <w:t>完成工作的总时间是420 分钟，包括实验操作（360 分钟）、色谱仿真软件操作（60分钟）两个相对独立的考核阶段。</w:t>
      </w:r>
    </w:p>
    <w:p>
      <w:pPr>
        <w:keepNext w:val="0"/>
        <w:keepLines w:val="0"/>
        <w:pageBreakBefore w:val="0"/>
        <w:numPr>
          <w:ilvl w:val="0"/>
          <w:numId w:val="19"/>
        </w:numPr>
        <w:kinsoku/>
        <w:wordWrap/>
        <w:overflowPunct/>
        <w:topLinePunct w:val="0"/>
        <w:autoSpaceDE/>
        <w:autoSpaceDN/>
        <w:bidi w:val="0"/>
        <w:adjustRightInd w:val="0"/>
        <w:snapToGrid w:val="0"/>
        <w:spacing w:line="560" w:lineRule="exact"/>
        <w:textAlignment w:val="auto"/>
        <w:outlineLvl w:val="9"/>
        <w:rPr>
          <w:rFonts w:ascii="仿宋_GB2312" w:eastAsia="仿宋_GB2312"/>
          <w:sz w:val="30"/>
          <w:szCs w:val="30"/>
        </w:rPr>
      </w:pPr>
      <w:r>
        <w:rPr>
          <w:rFonts w:hint="eastAsia" w:ascii="仿宋_GB2312" w:eastAsia="仿宋_GB2312"/>
          <w:sz w:val="30"/>
          <w:szCs w:val="30"/>
        </w:rPr>
        <w:t>仪器设备、试剂和解决方案</w:t>
      </w:r>
    </w:p>
    <w:p>
      <w:pPr>
        <w:keepNext w:val="0"/>
        <w:keepLines w:val="0"/>
        <w:pageBreakBefore w:val="0"/>
        <w:kinsoku/>
        <w:wordWrap/>
        <w:overflowPunct/>
        <w:topLinePunct w:val="0"/>
        <w:autoSpaceDE/>
        <w:autoSpaceDN/>
        <w:bidi w:val="0"/>
        <w:adjustRightInd w:val="0"/>
        <w:snapToGrid w:val="0"/>
        <w:spacing w:line="560" w:lineRule="exact"/>
        <w:ind w:left="405" w:leftChars="193" w:firstLine="600" w:firstLineChars="200"/>
        <w:textAlignment w:val="auto"/>
        <w:outlineLvl w:val="9"/>
        <w:rPr>
          <w:rFonts w:ascii="楷体_GB2312" w:eastAsia="楷体_GB2312"/>
          <w:bCs/>
          <w:sz w:val="30"/>
          <w:szCs w:val="30"/>
        </w:rPr>
      </w:pPr>
      <w:r>
        <w:rPr>
          <w:rFonts w:hint="eastAsia" w:ascii="楷体_GB2312" w:eastAsia="楷体_GB2312"/>
          <w:bCs/>
          <w:sz w:val="30"/>
          <w:szCs w:val="30"/>
        </w:rPr>
        <w:t>1．仪器设备、试剂清单</w:t>
      </w:r>
    </w:p>
    <w:tbl>
      <w:tblPr>
        <w:tblStyle w:val="8"/>
        <w:tblW w:w="89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restart"/>
            <w:vAlign w:val="center"/>
          </w:tcPr>
          <w:p>
            <w:pPr>
              <w:tabs>
                <w:tab w:val="left" w:pos="1134"/>
              </w:tabs>
              <w:adjustRightInd w:val="0"/>
              <w:snapToGrid w:val="0"/>
              <w:jc w:val="center"/>
              <w:textAlignment w:val="baseline"/>
              <w:rPr>
                <w:rFonts w:ascii="仿宋_GB2312" w:eastAsia="仿宋_GB2312"/>
                <w:b/>
                <w:spacing w:val="2"/>
                <w:kern w:val="0"/>
                <w:sz w:val="24"/>
                <w:szCs w:val="24"/>
              </w:rPr>
            </w:pPr>
            <w:r>
              <w:rPr>
                <w:rFonts w:hint="eastAsia" w:ascii="仿宋_GB2312" w:eastAsia="仿宋_GB2312"/>
                <w:b/>
                <w:spacing w:val="2"/>
                <w:kern w:val="0"/>
                <w:sz w:val="24"/>
                <w:szCs w:val="24"/>
              </w:rPr>
              <w:t>主要设备</w:t>
            </w:r>
          </w:p>
        </w:tc>
        <w:tc>
          <w:tcPr>
            <w:tcW w:w="7364" w:type="dxa"/>
            <w:vAlign w:val="center"/>
          </w:tcPr>
          <w:p>
            <w:pPr>
              <w:widowControl/>
              <w:shd w:val="clear" w:color="auto" w:fill="FFFFFF"/>
              <w:adjustRightInd w:val="0"/>
              <w:snapToGrid w:val="0"/>
              <w:ind w:left="25" w:leftChars="12"/>
              <w:jc w:val="left"/>
              <w:textAlignment w:val="baseline"/>
              <w:rPr>
                <w:rFonts w:ascii="仿宋_GB2312" w:eastAsia="仿宋_GB2312"/>
                <w:kern w:val="0"/>
                <w:sz w:val="24"/>
                <w:szCs w:val="24"/>
                <w:lang w:eastAsia="ru-RU"/>
              </w:rPr>
            </w:pPr>
            <w:r>
              <w:rPr>
                <w:rFonts w:hint="eastAsia" w:ascii="仿宋_GB2312" w:hAnsi="仿宋" w:eastAsia="仿宋_GB2312" w:cs="仿宋"/>
                <w:color w:val="000000"/>
                <w:kern w:val="0"/>
                <w:sz w:val="24"/>
                <w:szCs w:val="24"/>
                <w:lang w:bidi="ar"/>
              </w:rPr>
              <w:t xml:space="preserve">电热套（98-II-B，250 mL，磁力搅拌，可调温）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center"/>
              <w:textAlignment w:val="baseline"/>
              <w:rPr>
                <w:rFonts w:ascii="仿宋_GB2312" w:eastAsia="仿宋_GB2312"/>
                <w:b/>
                <w:spacing w:val="2"/>
                <w:kern w:val="0"/>
                <w:sz w:val="24"/>
                <w:szCs w:val="24"/>
              </w:rPr>
            </w:pPr>
          </w:p>
        </w:tc>
        <w:tc>
          <w:tcPr>
            <w:tcW w:w="7364" w:type="dxa"/>
            <w:vAlign w:val="center"/>
          </w:tcPr>
          <w:p>
            <w:pPr>
              <w:widowControl/>
              <w:shd w:val="clear" w:color="auto" w:fill="FFFFFF"/>
              <w:adjustRightInd w:val="0"/>
              <w:snapToGrid w:val="0"/>
              <w:ind w:left="25" w:leftChars="12"/>
              <w:jc w:val="left"/>
              <w:textAlignment w:val="baseline"/>
              <w:rPr>
                <w:rFonts w:ascii="仿宋_GB2312" w:eastAsia="仿宋_GB2312"/>
                <w:kern w:val="0"/>
                <w:sz w:val="24"/>
                <w:szCs w:val="24"/>
                <w:lang w:eastAsia="ru-RU"/>
              </w:rPr>
            </w:pPr>
            <w:r>
              <w:rPr>
                <w:rFonts w:hint="eastAsia" w:ascii="仿宋_GB2312" w:hAnsi="仿宋" w:eastAsia="仿宋_GB2312" w:cs="仿宋"/>
                <w:color w:val="000000"/>
                <w:kern w:val="0"/>
                <w:sz w:val="24"/>
                <w:szCs w:val="24"/>
                <w:lang w:bidi="ar"/>
              </w:rPr>
              <w:t xml:space="preserve">升降台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center"/>
              <w:textAlignment w:val="baseline"/>
              <w:rPr>
                <w:rFonts w:ascii="仿宋_GB2312" w:eastAsia="仿宋_GB2312"/>
                <w:b/>
                <w:spacing w:val="2"/>
                <w:kern w:val="0"/>
                <w:sz w:val="24"/>
                <w:szCs w:val="24"/>
              </w:rPr>
            </w:pPr>
          </w:p>
        </w:tc>
        <w:tc>
          <w:tcPr>
            <w:tcW w:w="7364" w:type="dxa"/>
            <w:vAlign w:val="center"/>
          </w:tcPr>
          <w:p>
            <w:pPr>
              <w:widowControl/>
              <w:shd w:val="clear" w:color="auto" w:fill="FFFFFF"/>
              <w:adjustRightInd w:val="0"/>
              <w:snapToGrid w:val="0"/>
              <w:ind w:left="25" w:leftChars="12"/>
              <w:jc w:val="left"/>
              <w:textAlignment w:val="baseline"/>
              <w:rPr>
                <w:rFonts w:ascii="仿宋_GB2312" w:eastAsia="仿宋_GB2312"/>
                <w:kern w:val="0"/>
                <w:sz w:val="24"/>
                <w:szCs w:val="24"/>
                <w:lang w:eastAsia="ru-RU"/>
              </w:rPr>
            </w:pPr>
            <w:r>
              <w:rPr>
                <w:rFonts w:hint="eastAsia" w:ascii="仿宋_GB2312" w:hAnsi="仿宋" w:eastAsia="仿宋_GB2312" w:cs="仿宋"/>
                <w:color w:val="000000"/>
                <w:kern w:val="0"/>
                <w:sz w:val="24"/>
                <w:szCs w:val="24"/>
                <w:lang w:bidi="ar"/>
              </w:rPr>
              <w:t xml:space="preserve">带十字夹的铁架台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center"/>
              <w:textAlignment w:val="baseline"/>
              <w:rPr>
                <w:rFonts w:ascii="仿宋_GB2312" w:eastAsia="仿宋_GB2312"/>
                <w:b/>
                <w:spacing w:val="2"/>
                <w:kern w:val="0"/>
                <w:sz w:val="24"/>
                <w:szCs w:val="24"/>
              </w:rPr>
            </w:pPr>
          </w:p>
        </w:tc>
        <w:tc>
          <w:tcPr>
            <w:tcW w:w="7364" w:type="dxa"/>
            <w:vAlign w:val="center"/>
          </w:tcPr>
          <w:p>
            <w:pPr>
              <w:widowControl/>
              <w:shd w:val="clear" w:color="auto" w:fill="FFFFFF"/>
              <w:adjustRightInd w:val="0"/>
              <w:snapToGrid w:val="0"/>
              <w:ind w:left="25" w:leftChars="12"/>
              <w:jc w:val="left"/>
              <w:textAlignment w:val="baseline"/>
              <w:rPr>
                <w:rFonts w:ascii="仿宋_GB2312" w:eastAsia="仿宋_GB2312"/>
                <w:kern w:val="0"/>
                <w:sz w:val="24"/>
                <w:szCs w:val="24"/>
                <w:lang w:eastAsia="ru-RU"/>
              </w:rPr>
            </w:pPr>
            <w:r>
              <w:rPr>
                <w:rFonts w:hint="eastAsia" w:ascii="仿宋_GB2312" w:hAnsi="仿宋" w:eastAsia="仿宋_GB2312" w:cs="仿宋"/>
                <w:color w:val="000000"/>
                <w:kern w:val="0"/>
                <w:sz w:val="24"/>
                <w:szCs w:val="24"/>
                <w:lang w:bidi="ar"/>
              </w:rPr>
              <w:t xml:space="preserve">电子天平（精度 0.01g、0.0001g）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center"/>
              <w:textAlignment w:val="baseline"/>
              <w:rPr>
                <w:rFonts w:ascii="仿宋_GB2312" w:eastAsia="仿宋_GB2312"/>
                <w:b/>
                <w:spacing w:val="2"/>
                <w:kern w:val="0"/>
                <w:sz w:val="24"/>
                <w:szCs w:val="24"/>
              </w:rPr>
            </w:pPr>
          </w:p>
        </w:tc>
        <w:tc>
          <w:tcPr>
            <w:tcW w:w="7364" w:type="dxa"/>
            <w:vAlign w:val="center"/>
          </w:tcPr>
          <w:p>
            <w:pPr>
              <w:widowControl/>
              <w:shd w:val="clear" w:color="auto" w:fill="FFFFFF"/>
              <w:adjustRightInd w:val="0"/>
              <w:snapToGrid w:val="0"/>
              <w:ind w:left="25" w:leftChars="12"/>
              <w:jc w:val="left"/>
              <w:textAlignment w:val="baseline"/>
              <w:rPr>
                <w:rFonts w:ascii="仿宋_GB2312" w:eastAsia="仿宋_GB2312"/>
                <w:kern w:val="0"/>
                <w:sz w:val="24"/>
                <w:szCs w:val="24"/>
                <w:lang w:eastAsia="ru-RU"/>
              </w:rPr>
            </w:pPr>
            <w:r>
              <w:rPr>
                <w:rFonts w:hint="eastAsia" w:ascii="仿宋_GB2312" w:hAnsi="仿宋" w:eastAsia="仿宋_GB2312" w:cs="仿宋"/>
                <w:color w:val="000000"/>
                <w:kern w:val="0"/>
                <w:sz w:val="24"/>
                <w:szCs w:val="24"/>
                <w:lang w:bidi="ar"/>
              </w:rPr>
              <w:t xml:space="preserve">通风设备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center"/>
              <w:textAlignment w:val="baseline"/>
              <w:rPr>
                <w:rFonts w:ascii="仿宋_GB2312" w:eastAsia="仿宋_GB2312"/>
                <w:b/>
                <w:spacing w:val="2"/>
                <w:kern w:val="0"/>
                <w:sz w:val="24"/>
                <w:szCs w:val="24"/>
              </w:rPr>
            </w:pPr>
          </w:p>
        </w:tc>
        <w:tc>
          <w:tcPr>
            <w:tcW w:w="7364" w:type="dxa"/>
            <w:vAlign w:val="center"/>
          </w:tcPr>
          <w:p>
            <w:pPr>
              <w:widowControl/>
              <w:shd w:val="clear" w:color="auto" w:fill="FFFFFF"/>
              <w:adjustRightInd w:val="0"/>
              <w:snapToGrid w:val="0"/>
              <w:ind w:left="25" w:leftChars="12"/>
              <w:jc w:val="left"/>
              <w:textAlignment w:val="baseline"/>
              <w:rPr>
                <w:rFonts w:ascii="仿宋_GB2312" w:eastAsia="仿宋_GB2312"/>
                <w:kern w:val="0"/>
                <w:sz w:val="24"/>
                <w:szCs w:val="24"/>
                <w:lang w:eastAsia="ru-RU"/>
              </w:rPr>
            </w:pPr>
            <w:r>
              <w:rPr>
                <w:rFonts w:hint="eastAsia" w:ascii="仿宋_GB2312" w:hAnsi="仿宋" w:eastAsia="仿宋_GB2312" w:cs="仿宋"/>
                <w:color w:val="000000"/>
                <w:kern w:val="0"/>
                <w:sz w:val="24"/>
                <w:szCs w:val="24"/>
                <w:lang w:bidi="ar"/>
              </w:rPr>
              <w:t xml:space="preserve">气流烘干器（30 孔，不锈钢）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center"/>
              <w:textAlignment w:val="baseline"/>
              <w:rPr>
                <w:rFonts w:ascii="仿宋_GB2312" w:eastAsia="仿宋_GB2312"/>
                <w:b/>
                <w:spacing w:val="2"/>
                <w:kern w:val="0"/>
                <w:sz w:val="24"/>
                <w:szCs w:val="24"/>
              </w:rPr>
            </w:pPr>
          </w:p>
        </w:tc>
        <w:tc>
          <w:tcPr>
            <w:tcW w:w="7364" w:type="dxa"/>
            <w:vAlign w:val="center"/>
          </w:tcPr>
          <w:p>
            <w:pPr>
              <w:widowControl/>
              <w:shd w:val="clear" w:color="auto" w:fill="FFFFFF"/>
              <w:adjustRightInd w:val="0"/>
              <w:snapToGrid w:val="0"/>
              <w:ind w:left="25" w:leftChars="12"/>
              <w:jc w:val="left"/>
              <w:textAlignment w:val="baseline"/>
              <w:rPr>
                <w:rFonts w:ascii="仿宋_GB2312" w:eastAsia="仿宋_GB2312"/>
                <w:kern w:val="0"/>
                <w:sz w:val="24"/>
                <w:szCs w:val="24"/>
                <w:lang w:eastAsia="ru-RU"/>
              </w:rPr>
            </w:pPr>
            <w:r>
              <w:rPr>
                <w:rFonts w:hint="eastAsia" w:ascii="仿宋_GB2312" w:hAnsi="仿宋" w:eastAsia="仿宋_GB2312" w:cs="仿宋"/>
                <w:color w:val="000000"/>
                <w:kern w:val="0"/>
                <w:sz w:val="24"/>
                <w:szCs w:val="24"/>
                <w:lang w:bidi="ar"/>
              </w:rPr>
              <w:t xml:space="preserve">气相色谱系统（火焰离子化检测器 FID）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jc w:val="center"/>
        </w:trPr>
        <w:tc>
          <w:tcPr>
            <w:tcW w:w="1555" w:type="dxa"/>
            <w:vMerge w:val="continue"/>
          </w:tcPr>
          <w:p>
            <w:pPr>
              <w:tabs>
                <w:tab w:val="left" w:pos="1134"/>
              </w:tabs>
              <w:adjustRightInd w:val="0"/>
              <w:snapToGrid w:val="0"/>
              <w:jc w:val="center"/>
              <w:textAlignment w:val="baseline"/>
              <w:rPr>
                <w:rFonts w:ascii="仿宋_GB2312" w:eastAsia="仿宋_GB2312"/>
                <w:b/>
                <w:spacing w:val="2"/>
                <w:kern w:val="0"/>
                <w:sz w:val="24"/>
                <w:szCs w:val="24"/>
              </w:rPr>
            </w:pPr>
          </w:p>
        </w:tc>
        <w:tc>
          <w:tcPr>
            <w:tcW w:w="7364" w:type="dxa"/>
            <w:vAlign w:val="center"/>
          </w:tcPr>
          <w:p>
            <w:pPr>
              <w:widowControl/>
              <w:shd w:val="clear" w:color="auto" w:fill="FFFFFF"/>
              <w:adjustRightInd w:val="0"/>
              <w:snapToGrid w:val="0"/>
              <w:ind w:left="25" w:leftChars="12"/>
              <w:jc w:val="left"/>
              <w:textAlignment w:val="baseline"/>
              <w:rPr>
                <w:rFonts w:ascii="仿宋_GB2312" w:eastAsia="仿宋_GB2312"/>
                <w:kern w:val="0"/>
                <w:sz w:val="24"/>
                <w:szCs w:val="24"/>
                <w:lang w:eastAsia="ru-RU"/>
              </w:rPr>
            </w:pPr>
            <w:r>
              <w:rPr>
                <w:rFonts w:hint="eastAsia" w:ascii="仿宋_GB2312" w:hAnsi="仿宋" w:eastAsia="仿宋_GB2312" w:cs="仿宋"/>
                <w:color w:val="000000"/>
                <w:kern w:val="0"/>
                <w:sz w:val="24"/>
                <w:szCs w:val="24"/>
                <w:lang w:bidi="ar"/>
              </w:rPr>
              <w:t>色谱柱（PEG（聚乙二醇）毛细管柱）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restart"/>
            <w:vAlign w:val="center"/>
          </w:tcPr>
          <w:p>
            <w:pPr>
              <w:tabs>
                <w:tab w:val="left" w:pos="1134"/>
              </w:tabs>
              <w:adjustRightInd w:val="0"/>
              <w:snapToGrid w:val="0"/>
              <w:jc w:val="center"/>
              <w:textAlignment w:val="baseline"/>
              <w:rPr>
                <w:rFonts w:ascii="仿宋_GB2312" w:eastAsia="仿宋_GB2312"/>
                <w:b/>
                <w:spacing w:val="2"/>
                <w:kern w:val="0"/>
                <w:sz w:val="24"/>
                <w:szCs w:val="24"/>
              </w:rPr>
            </w:pPr>
            <w:r>
              <w:rPr>
                <w:rFonts w:hint="eastAsia" w:ascii="仿宋_GB2312" w:eastAsia="仿宋_GB2312"/>
                <w:b/>
                <w:spacing w:val="2"/>
                <w:kern w:val="0"/>
                <w:sz w:val="24"/>
                <w:szCs w:val="24"/>
              </w:rPr>
              <w:t>玻璃器皿</w:t>
            </w:r>
          </w:p>
        </w:tc>
        <w:tc>
          <w:tcPr>
            <w:tcW w:w="7364" w:type="dxa"/>
            <w:vAlign w:val="center"/>
          </w:tcPr>
          <w:p>
            <w:pPr>
              <w:widowControl/>
              <w:shd w:val="clear" w:color="auto" w:fill="FFFFFF"/>
              <w:adjustRightInd w:val="0"/>
              <w:snapToGrid w:val="0"/>
              <w:ind w:left="25" w:leftChars="12"/>
              <w:jc w:val="left"/>
              <w:textAlignment w:val="baseline"/>
              <w:rPr>
                <w:rFonts w:ascii="仿宋_GB2312" w:eastAsia="仿宋_GB2312"/>
                <w:kern w:val="0"/>
                <w:sz w:val="24"/>
                <w:szCs w:val="24"/>
                <w:lang w:eastAsia="ru-RU"/>
              </w:rPr>
            </w:pPr>
            <w:r>
              <w:rPr>
                <w:rFonts w:hint="eastAsia" w:ascii="仿宋_GB2312" w:hAnsi="仿宋" w:eastAsia="仿宋_GB2312" w:cs="仿宋"/>
                <w:color w:val="000000"/>
                <w:kern w:val="0"/>
                <w:sz w:val="24"/>
                <w:szCs w:val="24"/>
                <w:lang w:bidi="ar"/>
              </w:rPr>
              <w:t xml:space="preserve">单口烧瓶（100mL/24#，磨口）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center"/>
              <w:textAlignment w:val="baseline"/>
              <w:rPr>
                <w:rFonts w:ascii="仿宋_GB2312" w:eastAsia="仿宋_GB2312"/>
                <w:b/>
                <w:spacing w:val="2"/>
                <w:kern w:val="0"/>
                <w:sz w:val="24"/>
                <w:szCs w:val="24"/>
              </w:rPr>
            </w:pPr>
          </w:p>
        </w:tc>
        <w:tc>
          <w:tcPr>
            <w:tcW w:w="7364" w:type="dxa"/>
            <w:vAlign w:val="center"/>
          </w:tcPr>
          <w:p>
            <w:pPr>
              <w:widowControl/>
              <w:shd w:val="clear" w:color="auto" w:fill="FFFFFF"/>
              <w:adjustRightInd w:val="0"/>
              <w:snapToGrid w:val="0"/>
              <w:ind w:left="25" w:leftChars="12"/>
              <w:jc w:val="left"/>
              <w:textAlignment w:val="baseline"/>
              <w:rPr>
                <w:rFonts w:ascii="仿宋_GB2312" w:eastAsia="仿宋_GB2312"/>
                <w:kern w:val="0"/>
                <w:sz w:val="24"/>
                <w:szCs w:val="24"/>
                <w:lang w:val="ru-RU" w:eastAsia="ru-RU"/>
              </w:rPr>
            </w:pPr>
            <w:r>
              <w:rPr>
                <w:rFonts w:hint="eastAsia" w:ascii="仿宋_GB2312" w:hAnsi="仿宋" w:eastAsia="仿宋_GB2312" w:cs="仿宋"/>
                <w:color w:val="000000"/>
                <w:kern w:val="0"/>
                <w:sz w:val="24"/>
                <w:szCs w:val="24"/>
                <w:lang w:bidi="ar"/>
              </w:rPr>
              <w:t xml:space="preserve">三口烧瓶（100mL/24#，磨口）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center"/>
              <w:textAlignment w:val="baseline"/>
              <w:rPr>
                <w:rFonts w:ascii="仿宋_GB2312" w:eastAsia="仿宋_GB2312"/>
                <w:b/>
                <w:spacing w:val="2"/>
                <w:kern w:val="0"/>
                <w:sz w:val="24"/>
                <w:szCs w:val="24"/>
              </w:rPr>
            </w:pPr>
          </w:p>
        </w:tc>
        <w:tc>
          <w:tcPr>
            <w:tcW w:w="7364" w:type="dxa"/>
            <w:vAlign w:val="center"/>
          </w:tcPr>
          <w:p>
            <w:pPr>
              <w:widowControl/>
              <w:shd w:val="clear" w:color="auto" w:fill="FFFFFF"/>
              <w:adjustRightInd w:val="0"/>
              <w:snapToGrid w:val="0"/>
              <w:ind w:left="25" w:leftChars="12"/>
              <w:jc w:val="left"/>
              <w:textAlignment w:val="baseline"/>
              <w:rPr>
                <w:rFonts w:ascii="仿宋_GB2312" w:eastAsia="仿宋_GB2312"/>
                <w:kern w:val="0"/>
                <w:sz w:val="24"/>
                <w:szCs w:val="24"/>
                <w:lang w:eastAsia="ru-RU"/>
              </w:rPr>
            </w:pPr>
            <w:r>
              <w:rPr>
                <w:rFonts w:hint="eastAsia" w:ascii="仿宋_GB2312" w:hAnsi="仿宋" w:eastAsia="仿宋_GB2312" w:cs="仿宋"/>
                <w:color w:val="000000"/>
                <w:kern w:val="0"/>
                <w:sz w:val="24"/>
                <w:szCs w:val="24"/>
                <w:lang w:bidi="ar"/>
              </w:rPr>
              <w:t xml:space="preserve">分液漏斗（125mL，聚四氟乙烯旋塞）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center"/>
              <w:textAlignment w:val="baseline"/>
              <w:rPr>
                <w:rFonts w:ascii="仿宋_GB2312" w:eastAsia="仿宋_GB2312"/>
                <w:b/>
                <w:spacing w:val="2"/>
                <w:kern w:val="0"/>
                <w:sz w:val="24"/>
                <w:szCs w:val="24"/>
              </w:rPr>
            </w:pPr>
          </w:p>
        </w:tc>
        <w:tc>
          <w:tcPr>
            <w:tcW w:w="7364" w:type="dxa"/>
            <w:vAlign w:val="center"/>
          </w:tcPr>
          <w:p>
            <w:pPr>
              <w:widowControl/>
              <w:shd w:val="clear" w:color="auto" w:fill="FFFFFF"/>
              <w:adjustRightInd w:val="0"/>
              <w:snapToGrid w:val="0"/>
              <w:ind w:left="25" w:leftChars="12"/>
              <w:jc w:val="left"/>
              <w:textAlignment w:val="baseline"/>
              <w:rPr>
                <w:rFonts w:ascii="仿宋_GB2312" w:eastAsia="仿宋_GB2312"/>
                <w:kern w:val="0"/>
                <w:sz w:val="24"/>
                <w:szCs w:val="24"/>
                <w:lang w:eastAsia="ru-RU"/>
              </w:rPr>
            </w:pPr>
            <w:r>
              <w:rPr>
                <w:rFonts w:hint="eastAsia" w:ascii="仿宋_GB2312" w:hAnsi="仿宋" w:eastAsia="仿宋_GB2312" w:cs="仿宋"/>
                <w:color w:val="000000"/>
                <w:kern w:val="0"/>
                <w:sz w:val="24"/>
                <w:szCs w:val="24"/>
                <w:lang w:bidi="ar"/>
              </w:rPr>
              <w:t xml:space="preserve">恒压长颈滴液漏斗（60mL，磨口）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center"/>
              <w:textAlignment w:val="baseline"/>
              <w:rPr>
                <w:rFonts w:ascii="仿宋_GB2312" w:eastAsia="仿宋_GB2312"/>
                <w:b/>
                <w:spacing w:val="2"/>
                <w:kern w:val="0"/>
                <w:sz w:val="24"/>
                <w:szCs w:val="24"/>
              </w:rPr>
            </w:pPr>
          </w:p>
        </w:tc>
        <w:tc>
          <w:tcPr>
            <w:tcW w:w="7364" w:type="dxa"/>
            <w:vAlign w:val="center"/>
          </w:tcPr>
          <w:p>
            <w:pPr>
              <w:widowControl/>
              <w:shd w:val="clear" w:color="auto" w:fill="FFFFFF"/>
              <w:adjustRightInd w:val="0"/>
              <w:snapToGrid w:val="0"/>
              <w:ind w:left="25" w:leftChars="12"/>
              <w:jc w:val="left"/>
              <w:textAlignment w:val="baseline"/>
              <w:rPr>
                <w:rFonts w:ascii="仿宋_GB2312" w:eastAsia="仿宋_GB2312"/>
                <w:kern w:val="0"/>
                <w:sz w:val="24"/>
                <w:szCs w:val="24"/>
                <w:lang w:eastAsia="ru-RU"/>
              </w:rPr>
            </w:pPr>
            <w:r>
              <w:rPr>
                <w:rFonts w:hint="eastAsia" w:ascii="仿宋_GB2312" w:hAnsi="仿宋" w:eastAsia="仿宋_GB2312" w:cs="仿宋"/>
                <w:color w:val="000000"/>
                <w:kern w:val="0"/>
                <w:sz w:val="24"/>
                <w:szCs w:val="24"/>
                <w:lang w:bidi="ar"/>
              </w:rPr>
              <w:t xml:space="preserve">直形冷凝管（直形 200mm/24#，磨口）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center"/>
              <w:textAlignment w:val="baseline"/>
              <w:rPr>
                <w:rFonts w:ascii="仿宋_GB2312" w:eastAsia="仿宋_GB2312"/>
                <w:b/>
                <w:spacing w:val="2"/>
                <w:kern w:val="0"/>
                <w:sz w:val="24"/>
                <w:szCs w:val="24"/>
              </w:rPr>
            </w:pPr>
          </w:p>
        </w:tc>
        <w:tc>
          <w:tcPr>
            <w:tcW w:w="7364" w:type="dxa"/>
            <w:vAlign w:val="center"/>
          </w:tcPr>
          <w:p>
            <w:pPr>
              <w:widowControl/>
              <w:shd w:val="clear" w:color="auto" w:fill="FFFFFF"/>
              <w:adjustRightInd w:val="0"/>
              <w:snapToGrid w:val="0"/>
              <w:ind w:left="25" w:leftChars="12"/>
              <w:jc w:val="left"/>
              <w:textAlignment w:val="baseline"/>
              <w:rPr>
                <w:rFonts w:ascii="仿宋_GB2312" w:eastAsia="仿宋_GB2312"/>
                <w:kern w:val="0"/>
                <w:sz w:val="24"/>
                <w:szCs w:val="24"/>
                <w:lang w:eastAsia="ru-RU"/>
              </w:rPr>
            </w:pPr>
            <w:r>
              <w:rPr>
                <w:rFonts w:hint="eastAsia" w:ascii="仿宋_GB2312" w:hAnsi="仿宋" w:eastAsia="仿宋_GB2312" w:cs="仿宋"/>
                <w:color w:val="000000"/>
                <w:kern w:val="0"/>
                <w:sz w:val="24"/>
                <w:szCs w:val="24"/>
                <w:lang w:bidi="ar"/>
              </w:rPr>
              <w:t xml:space="preserve">蒸馏头（24#，磨口）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center"/>
              <w:textAlignment w:val="baseline"/>
              <w:rPr>
                <w:rFonts w:ascii="仿宋_GB2312" w:eastAsia="仿宋_GB2312"/>
                <w:b/>
                <w:spacing w:val="2"/>
                <w:kern w:val="0"/>
                <w:sz w:val="24"/>
                <w:szCs w:val="24"/>
              </w:rPr>
            </w:pPr>
          </w:p>
        </w:tc>
        <w:tc>
          <w:tcPr>
            <w:tcW w:w="7364" w:type="dxa"/>
            <w:vAlign w:val="center"/>
          </w:tcPr>
          <w:p>
            <w:pPr>
              <w:widowControl/>
              <w:shd w:val="clear" w:color="auto" w:fill="FFFFFF"/>
              <w:adjustRightInd w:val="0"/>
              <w:snapToGrid w:val="0"/>
              <w:ind w:left="25" w:leftChars="12"/>
              <w:jc w:val="left"/>
              <w:textAlignment w:val="baseline"/>
              <w:rPr>
                <w:rFonts w:ascii="仿宋_GB2312" w:eastAsia="仿宋_GB2312"/>
                <w:kern w:val="0"/>
                <w:sz w:val="24"/>
                <w:szCs w:val="24"/>
                <w:lang w:eastAsia="ru-RU"/>
              </w:rPr>
            </w:pPr>
            <w:r>
              <w:rPr>
                <w:rFonts w:hint="eastAsia" w:ascii="仿宋_GB2312" w:hAnsi="仿宋" w:eastAsia="仿宋_GB2312" w:cs="仿宋"/>
                <w:color w:val="000000"/>
                <w:kern w:val="0"/>
                <w:sz w:val="24"/>
                <w:szCs w:val="24"/>
                <w:lang w:bidi="ar"/>
              </w:rPr>
              <w:t xml:space="preserve">真空尾接管（24#，双磨口）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center"/>
              <w:textAlignment w:val="baseline"/>
              <w:rPr>
                <w:rFonts w:ascii="仿宋_GB2312" w:eastAsia="仿宋_GB2312"/>
                <w:b/>
                <w:spacing w:val="2"/>
                <w:kern w:val="0"/>
                <w:sz w:val="24"/>
                <w:szCs w:val="24"/>
              </w:rPr>
            </w:pPr>
          </w:p>
        </w:tc>
        <w:tc>
          <w:tcPr>
            <w:tcW w:w="7364" w:type="dxa"/>
            <w:vAlign w:val="center"/>
          </w:tcPr>
          <w:p>
            <w:pPr>
              <w:widowControl/>
              <w:shd w:val="clear" w:color="auto" w:fill="FFFFFF"/>
              <w:adjustRightInd w:val="0"/>
              <w:snapToGrid w:val="0"/>
              <w:ind w:left="25" w:leftChars="12"/>
              <w:jc w:val="left"/>
              <w:textAlignment w:val="baseline"/>
              <w:rPr>
                <w:rFonts w:ascii="仿宋_GB2312" w:eastAsia="仿宋_GB2312"/>
                <w:kern w:val="0"/>
                <w:sz w:val="24"/>
                <w:szCs w:val="24"/>
                <w:lang w:eastAsia="ru-RU"/>
              </w:rPr>
            </w:pPr>
            <w:r>
              <w:rPr>
                <w:rFonts w:hint="eastAsia" w:ascii="仿宋_GB2312" w:hAnsi="仿宋" w:eastAsia="仿宋_GB2312" w:cs="仿宋"/>
                <w:color w:val="000000"/>
                <w:kern w:val="0"/>
                <w:sz w:val="24"/>
                <w:szCs w:val="24"/>
                <w:lang w:bidi="ar"/>
              </w:rPr>
              <w:t xml:space="preserve">玻璃塞（磨口）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center"/>
              <w:textAlignment w:val="baseline"/>
              <w:rPr>
                <w:rFonts w:ascii="仿宋_GB2312" w:eastAsia="仿宋_GB2312"/>
                <w:b/>
                <w:spacing w:val="2"/>
                <w:kern w:val="0"/>
                <w:sz w:val="24"/>
                <w:szCs w:val="24"/>
              </w:rPr>
            </w:pPr>
          </w:p>
        </w:tc>
        <w:tc>
          <w:tcPr>
            <w:tcW w:w="7364" w:type="dxa"/>
            <w:vAlign w:val="center"/>
          </w:tcPr>
          <w:p>
            <w:pPr>
              <w:widowControl/>
              <w:shd w:val="clear" w:color="auto" w:fill="FFFFFF"/>
              <w:adjustRightInd w:val="0"/>
              <w:snapToGrid w:val="0"/>
              <w:ind w:left="25" w:leftChars="12"/>
              <w:jc w:val="left"/>
              <w:textAlignment w:val="baseline"/>
              <w:rPr>
                <w:rFonts w:ascii="仿宋_GB2312" w:eastAsia="仿宋_GB2312"/>
                <w:kern w:val="0"/>
                <w:sz w:val="24"/>
                <w:szCs w:val="24"/>
                <w:lang w:eastAsia="ru-RU"/>
              </w:rPr>
            </w:pPr>
            <w:r>
              <w:rPr>
                <w:rFonts w:hint="eastAsia" w:ascii="仿宋_GB2312" w:hAnsi="仿宋" w:eastAsia="仿宋_GB2312" w:cs="仿宋"/>
                <w:color w:val="000000"/>
                <w:kern w:val="0"/>
                <w:sz w:val="24"/>
                <w:szCs w:val="24"/>
                <w:lang w:bidi="ar"/>
              </w:rPr>
              <w:t xml:space="preserve">玻璃漏斗（40mm）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center"/>
              <w:textAlignment w:val="baseline"/>
              <w:rPr>
                <w:rFonts w:ascii="仿宋_GB2312" w:eastAsia="仿宋_GB2312"/>
                <w:b/>
                <w:spacing w:val="2"/>
                <w:kern w:val="0"/>
                <w:sz w:val="24"/>
                <w:szCs w:val="24"/>
              </w:rPr>
            </w:pPr>
          </w:p>
        </w:tc>
        <w:tc>
          <w:tcPr>
            <w:tcW w:w="7364" w:type="dxa"/>
            <w:vAlign w:val="center"/>
          </w:tcPr>
          <w:p>
            <w:pPr>
              <w:widowControl/>
              <w:shd w:val="clear" w:color="auto" w:fill="FFFFFF"/>
              <w:adjustRightInd w:val="0"/>
              <w:snapToGrid w:val="0"/>
              <w:ind w:left="25" w:leftChars="12"/>
              <w:jc w:val="left"/>
              <w:textAlignment w:val="baseline"/>
              <w:rPr>
                <w:rFonts w:ascii="仿宋_GB2312" w:eastAsia="仿宋_GB2312"/>
                <w:kern w:val="0"/>
                <w:sz w:val="24"/>
                <w:szCs w:val="24"/>
                <w:lang w:eastAsia="ru-RU"/>
              </w:rPr>
            </w:pPr>
            <w:r>
              <w:rPr>
                <w:rFonts w:hint="eastAsia" w:ascii="仿宋_GB2312" w:hAnsi="仿宋" w:eastAsia="仿宋_GB2312" w:cs="仿宋"/>
                <w:color w:val="000000"/>
                <w:kern w:val="0"/>
                <w:sz w:val="24"/>
                <w:szCs w:val="24"/>
                <w:lang w:bidi="ar"/>
              </w:rPr>
              <w:t xml:space="preserve">锥形瓶（50mL/24#，磨口）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center"/>
              <w:textAlignment w:val="baseline"/>
              <w:rPr>
                <w:rFonts w:ascii="仿宋_GB2312" w:eastAsia="仿宋_GB2312"/>
                <w:b/>
                <w:spacing w:val="2"/>
                <w:kern w:val="0"/>
                <w:sz w:val="24"/>
                <w:szCs w:val="24"/>
              </w:rPr>
            </w:pPr>
          </w:p>
        </w:tc>
        <w:tc>
          <w:tcPr>
            <w:tcW w:w="7364" w:type="dxa"/>
            <w:vAlign w:val="center"/>
          </w:tcPr>
          <w:p>
            <w:pPr>
              <w:widowControl/>
              <w:shd w:val="clear" w:color="auto" w:fill="FFFFFF"/>
              <w:adjustRightInd w:val="0"/>
              <w:snapToGrid w:val="0"/>
              <w:ind w:left="25" w:leftChars="12"/>
              <w:jc w:val="left"/>
              <w:textAlignment w:val="baseline"/>
              <w:rPr>
                <w:rFonts w:ascii="仿宋_GB2312" w:eastAsia="仿宋_GB2312"/>
                <w:kern w:val="0"/>
                <w:sz w:val="24"/>
                <w:szCs w:val="24"/>
                <w:lang w:eastAsia="ru-RU"/>
              </w:rPr>
            </w:pPr>
            <w:r>
              <w:rPr>
                <w:rFonts w:hint="eastAsia" w:ascii="仿宋_GB2312" w:hAnsi="仿宋" w:eastAsia="仿宋_GB2312" w:cs="仿宋"/>
                <w:color w:val="000000"/>
                <w:kern w:val="0"/>
                <w:sz w:val="24"/>
                <w:szCs w:val="24"/>
                <w:lang w:bidi="ar"/>
              </w:rPr>
              <w:t>量筒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center"/>
              <w:textAlignment w:val="baseline"/>
              <w:rPr>
                <w:rFonts w:ascii="仿宋_GB2312" w:eastAsia="仿宋_GB2312"/>
                <w:b/>
                <w:spacing w:val="2"/>
                <w:kern w:val="0"/>
                <w:sz w:val="24"/>
                <w:szCs w:val="24"/>
              </w:rPr>
            </w:pPr>
          </w:p>
        </w:tc>
        <w:tc>
          <w:tcPr>
            <w:tcW w:w="7364" w:type="dxa"/>
            <w:vAlign w:val="center"/>
          </w:tcPr>
          <w:p>
            <w:pPr>
              <w:widowControl/>
              <w:jc w:val="left"/>
              <w:rPr>
                <w:rFonts w:ascii="仿宋_GB2312" w:eastAsia="仿宋_GB2312"/>
                <w:sz w:val="24"/>
                <w:szCs w:val="24"/>
              </w:rPr>
            </w:pPr>
            <w:r>
              <w:rPr>
                <w:rFonts w:hint="eastAsia" w:ascii="仿宋_GB2312" w:hAnsi="仿宋" w:eastAsia="仿宋_GB2312" w:cs="仿宋"/>
                <w:color w:val="000000"/>
                <w:kern w:val="0"/>
                <w:sz w:val="24"/>
                <w:szCs w:val="24"/>
                <w:lang w:bidi="ar"/>
              </w:rPr>
              <w:t>烧杯</w:t>
            </w:r>
          </w:p>
          <w:p>
            <w:pPr>
              <w:widowControl/>
              <w:shd w:val="clear" w:color="auto" w:fill="FFFFFF"/>
              <w:tabs>
                <w:tab w:val="left" w:pos="1134"/>
              </w:tabs>
              <w:adjustRightInd w:val="0"/>
              <w:snapToGrid w:val="0"/>
              <w:ind w:left="25" w:leftChars="12"/>
              <w:textAlignment w:val="baseline"/>
              <w:rPr>
                <w:rFonts w:ascii="仿宋_GB2312" w:eastAsia="仿宋_GB2312"/>
                <w:kern w:val="0"/>
                <w:sz w:val="24"/>
                <w:szCs w:val="24"/>
                <w:lang w:val="ru-RU"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restart"/>
            <w:vAlign w:val="center"/>
          </w:tcPr>
          <w:p>
            <w:pPr>
              <w:tabs>
                <w:tab w:val="left" w:pos="1134"/>
              </w:tabs>
              <w:adjustRightInd w:val="0"/>
              <w:snapToGrid w:val="0"/>
              <w:jc w:val="center"/>
              <w:textAlignment w:val="baseline"/>
              <w:rPr>
                <w:rFonts w:ascii="仿宋_GB2312" w:eastAsia="仿宋_GB2312"/>
                <w:b/>
                <w:spacing w:val="2"/>
                <w:kern w:val="0"/>
                <w:sz w:val="24"/>
                <w:szCs w:val="24"/>
              </w:rPr>
            </w:pPr>
            <w:r>
              <w:rPr>
                <w:rFonts w:hint="eastAsia" w:ascii="仿宋_GB2312" w:eastAsia="仿宋_GB2312"/>
                <w:b/>
                <w:spacing w:val="2"/>
                <w:kern w:val="0"/>
                <w:sz w:val="24"/>
                <w:szCs w:val="24"/>
              </w:rPr>
              <w:t>试剂和溶液</w:t>
            </w:r>
          </w:p>
        </w:tc>
        <w:tc>
          <w:tcPr>
            <w:tcW w:w="7364" w:type="dxa"/>
            <w:vAlign w:val="center"/>
          </w:tcPr>
          <w:p>
            <w:pPr>
              <w:widowControl/>
              <w:shd w:val="clear" w:color="auto" w:fill="FFFFFF"/>
              <w:tabs>
                <w:tab w:val="left" w:pos="1134"/>
              </w:tabs>
              <w:adjustRightInd w:val="0"/>
              <w:snapToGrid w:val="0"/>
              <w:ind w:left="25" w:leftChars="12"/>
              <w:textAlignment w:val="baseline"/>
              <w:rPr>
                <w:rFonts w:ascii="仿宋_GB2312" w:eastAsia="仿宋_GB2312"/>
                <w:kern w:val="0"/>
                <w:sz w:val="24"/>
                <w:szCs w:val="24"/>
                <w:lang w:eastAsia="ru-RU"/>
              </w:rPr>
            </w:pPr>
            <w:r>
              <w:rPr>
                <w:rFonts w:hint="eastAsia" w:ascii="仿宋_GB2312" w:eastAsia="仿宋_GB2312"/>
                <w:kern w:val="0"/>
                <w:sz w:val="24"/>
                <w:szCs w:val="24"/>
              </w:rPr>
              <w:t>乙醇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left"/>
              <w:textAlignment w:val="baseline"/>
              <w:rPr>
                <w:rFonts w:ascii="仿宋_GB2312" w:eastAsia="仿宋_GB2312"/>
                <w:b/>
                <w:spacing w:val="2"/>
                <w:kern w:val="0"/>
                <w:sz w:val="24"/>
                <w:szCs w:val="24"/>
              </w:rPr>
            </w:pPr>
          </w:p>
        </w:tc>
        <w:tc>
          <w:tcPr>
            <w:tcW w:w="7364" w:type="dxa"/>
            <w:vAlign w:val="center"/>
          </w:tcPr>
          <w:p>
            <w:pPr>
              <w:widowControl/>
              <w:shd w:val="clear" w:color="auto" w:fill="FFFFFF"/>
              <w:tabs>
                <w:tab w:val="left" w:pos="1134"/>
              </w:tabs>
              <w:adjustRightInd w:val="0"/>
              <w:snapToGrid w:val="0"/>
              <w:ind w:left="25" w:leftChars="12"/>
              <w:textAlignment w:val="baseline"/>
              <w:rPr>
                <w:rFonts w:ascii="仿宋_GB2312" w:eastAsia="仿宋_GB2312"/>
                <w:kern w:val="0"/>
                <w:sz w:val="24"/>
                <w:szCs w:val="24"/>
              </w:rPr>
            </w:pPr>
            <w:r>
              <w:rPr>
                <w:rFonts w:hint="eastAsia" w:ascii="仿宋_GB2312" w:eastAsia="仿宋_GB2312"/>
                <w:kern w:val="0"/>
                <w:sz w:val="24"/>
                <w:szCs w:val="24"/>
              </w:rPr>
              <w:t>冰醋酸（乙酸</w:t>
            </w:r>
            <w:r>
              <w:rPr>
                <w:rFonts w:hint="eastAsia" w:ascii="仿宋_GB2312" w:eastAsia="仿宋_GB2312"/>
                <w:kern w:val="0"/>
                <w:sz w:val="24"/>
                <w:szCs w:val="24"/>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left"/>
              <w:textAlignment w:val="baseline"/>
              <w:rPr>
                <w:rFonts w:ascii="仿宋_GB2312" w:eastAsia="仿宋_GB2312"/>
                <w:b/>
                <w:spacing w:val="2"/>
                <w:kern w:val="0"/>
                <w:sz w:val="24"/>
                <w:szCs w:val="24"/>
              </w:rPr>
            </w:pPr>
          </w:p>
        </w:tc>
        <w:tc>
          <w:tcPr>
            <w:tcW w:w="7364" w:type="dxa"/>
            <w:vAlign w:val="center"/>
          </w:tcPr>
          <w:p>
            <w:pPr>
              <w:widowControl/>
              <w:shd w:val="clear" w:color="auto" w:fill="FFFFFF"/>
              <w:tabs>
                <w:tab w:val="left" w:pos="1134"/>
              </w:tabs>
              <w:adjustRightInd w:val="0"/>
              <w:snapToGrid w:val="0"/>
              <w:ind w:left="25" w:leftChars="12"/>
              <w:textAlignment w:val="baseline"/>
              <w:rPr>
                <w:rFonts w:ascii="仿宋_GB2312" w:eastAsia="仿宋_GB2312"/>
                <w:kern w:val="0"/>
                <w:sz w:val="24"/>
                <w:szCs w:val="24"/>
                <w:lang w:eastAsia="ru-RU"/>
              </w:rPr>
            </w:pPr>
            <w:r>
              <w:rPr>
                <w:rFonts w:hint="eastAsia" w:ascii="仿宋_GB2312" w:eastAsia="仿宋_GB2312"/>
                <w:kern w:val="0"/>
                <w:sz w:val="24"/>
                <w:szCs w:val="24"/>
              </w:rPr>
              <w:t>浓硫酸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left"/>
              <w:textAlignment w:val="baseline"/>
              <w:rPr>
                <w:rFonts w:ascii="仿宋_GB2312" w:eastAsia="仿宋_GB2312"/>
                <w:b/>
                <w:spacing w:val="2"/>
                <w:kern w:val="0"/>
                <w:sz w:val="24"/>
                <w:szCs w:val="24"/>
              </w:rPr>
            </w:pPr>
          </w:p>
        </w:tc>
        <w:tc>
          <w:tcPr>
            <w:tcW w:w="7364" w:type="dxa"/>
            <w:vAlign w:val="center"/>
          </w:tcPr>
          <w:p>
            <w:pPr>
              <w:widowControl/>
              <w:shd w:val="clear" w:color="auto" w:fill="FFFFFF"/>
              <w:tabs>
                <w:tab w:val="left" w:pos="1134"/>
              </w:tabs>
              <w:adjustRightInd w:val="0"/>
              <w:snapToGrid w:val="0"/>
              <w:ind w:left="25" w:leftChars="12"/>
              <w:textAlignment w:val="baseline"/>
              <w:rPr>
                <w:rFonts w:ascii="仿宋_GB2312" w:eastAsia="仿宋_GB2312"/>
                <w:kern w:val="0"/>
                <w:sz w:val="24"/>
                <w:szCs w:val="24"/>
                <w:lang w:eastAsia="ru-RU"/>
              </w:rPr>
            </w:pPr>
            <w:r>
              <w:rPr>
                <w:rFonts w:hint="eastAsia" w:ascii="仿宋_GB2312" w:eastAsia="仿宋_GB2312"/>
                <w:kern w:val="0"/>
                <w:sz w:val="24"/>
                <w:szCs w:val="24"/>
              </w:rPr>
              <w:t>饱和碳酸钠溶液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left"/>
              <w:textAlignment w:val="baseline"/>
              <w:rPr>
                <w:rFonts w:ascii="仿宋_GB2312" w:eastAsia="仿宋_GB2312"/>
                <w:b/>
                <w:spacing w:val="2"/>
                <w:kern w:val="0"/>
                <w:sz w:val="24"/>
                <w:szCs w:val="24"/>
              </w:rPr>
            </w:pPr>
          </w:p>
        </w:tc>
        <w:tc>
          <w:tcPr>
            <w:tcW w:w="7364" w:type="dxa"/>
            <w:vAlign w:val="center"/>
          </w:tcPr>
          <w:p>
            <w:pPr>
              <w:widowControl/>
              <w:shd w:val="clear" w:color="auto" w:fill="FFFFFF"/>
              <w:tabs>
                <w:tab w:val="left" w:pos="1134"/>
              </w:tabs>
              <w:adjustRightInd w:val="0"/>
              <w:snapToGrid w:val="0"/>
              <w:ind w:left="25" w:leftChars="12"/>
              <w:textAlignment w:val="baseline"/>
              <w:rPr>
                <w:rFonts w:ascii="仿宋_GB2312" w:eastAsia="仿宋_GB2312"/>
                <w:kern w:val="0"/>
                <w:sz w:val="24"/>
                <w:szCs w:val="24"/>
              </w:rPr>
            </w:pPr>
            <w:r>
              <w:rPr>
                <w:rFonts w:hint="eastAsia" w:ascii="仿宋_GB2312" w:eastAsia="仿宋_GB2312"/>
                <w:kern w:val="0"/>
                <w:sz w:val="24"/>
                <w:szCs w:val="24"/>
              </w:rPr>
              <w:t>氯化钠溶液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left"/>
              <w:textAlignment w:val="baseline"/>
              <w:rPr>
                <w:rFonts w:ascii="仿宋_GB2312" w:eastAsia="仿宋_GB2312"/>
                <w:b/>
                <w:spacing w:val="2"/>
                <w:kern w:val="0"/>
                <w:sz w:val="24"/>
                <w:szCs w:val="24"/>
              </w:rPr>
            </w:pPr>
          </w:p>
        </w:tc>
        <w:tc>
          <w:tcPr>
            <w:tcW w:w="7364" w:type="dxa"/>
            <w:vAlign w:val="center"/>
          </w:tcPr>
          <w:p>
            <w:pPr>
              <w:widowControl/>
              <w:shd w:val="clear" w:color="auto" w:fill="FFFFFF"/>
              <w:tabs>
                <w:tab w:val="left" w:pos="1134"/>
              </w:tabs>
              <w:adjustRightInd w:val="0"/>
              <w:snapToGrid w:val="0"/>
              <w:ind w:left="25" w:leftChars="12"/>
              <w:textAlignment w:val="baseline"/>
              <w:rPr>
                <w:rFonts w:ascii="仿宋_GB2312" w:eastAsia="仿宋_GB2312"/>
                <w:kern w:val="0"/>
                <w:sz w:val="24"/>
                <w:szCs w:val="24"/>
              </w:rPr>
            </w:pPr>
            <w:r>
              <w:rPr>
                <w:rFonts w:hint="eastAsia" w:ascii="仿宋_GB2312" w:eastAsia="仿宋_GB2312"/>
                <w:kern w:val="0"/>
                <w:sz w:val="24"/>
                <w:szCs w:val="24"/>
              </w:rPr>
              <w:t>氯化钙溶液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left"/>
              <w:textAlignment w:val="baseline"/>
              <w:rPr>
                <w:rFonts w:ascii="仿宋_GB2312" w:eastAsia="仿宋_GB2312"/>
                <w:b/>
                <w:spacing w:val="2"/>
                <w:kern w:val="0"/>
                <w:sz w:val="24"/>
                <w:szCs w:val="24"/>
              </w:rPr>
            </w:pPr>
          </w:p>
        </w:tc>
        <w:tc>
          <w:tcPr>
            <w:tcW w:w="7364" w:type="dxa"/>
            <w:vAlign w:val="center"/>
          </w:tcPr>
          <w:p>
            <w:pPr>
              <w:widowControl/>
              <w:shd w:val="clear" w:color="auto" w:fill="FFFFFF"/>
              <w:tabs>
                <w:tab w:val="left" w:pos="1134"/>
              </w:tabs>
              <w:adjustRightInd w:val="0"/>
              <w:snapToGrid w:val="0"/>
              <w:ind w:left="25" w:leftChars="12"/>
              <w:textAlignment w:val="baseline"/>
              <w:rPr>
                <w:rFonts w:ascii="仿宋_GB2312" w:eastAsia="仿宋_GB2312"/>
                <w:kern w:val="0"/>
                <w:sz w:val="24"/>
                <w:szCs w:val="24"/>
              </w:rPr>
            </w:pPr>
            <w:r>
              <w:rPr>
                <w:rFonts w:hint="eastAsia" w:ascii="仿宋_GB2312" w:eastAsia="仿宋_GB2312"/>
                <w:kern w:val="0"/>
                <w:sz w:val="24"/>
                <w:szCs w:val="24"/>
              </w:rPr>
              <w:t>无水硫酸镁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left"/>
              <w:textAlignment w:val="baseline"/>
              <w:rPr>
                <w:rFonts w:ascii="仿宋_GB2312" w:eastAsia="仿宋_GB2312"/>
                <w:b/>
                <w:spacing w:val="2"/>
                <w:kern w:val="0"/>
                <w:sz w:val="24"/>
                <w:szCs w:val="24"/>
              </w:rPr>
            </w:pPr>
          </w:p>
        </w:tc>
        <w:tc>
          <w:tcPr>
            <w:tcW w:w="7364" w:type="dxa"/>
            <w:vAlign w:val="center"/>
          </w:tcPr>
          <w:p>
            <w:pPr>
              <w:widowControl/>
              <w:shd w:val="clear" w:color="auto" w:fill="FFFFFF"/>
              <w:tabs>
                <w:tab w:val="left" w:pos="1134"/>
              </w:tabs>
              <w:adjustRightInd w:val="0"/>
              <w:snapToGrid w:val="0"/>
              <w:ind w:left="25" w:leftChars="12"/>
              <w:textAlignment w:val="baseline"/>
              <w:rPr>
                <w:rFonts w:ascii="仿宋_GB2312" w:eastAsia="仿宋_GB2312"/>
                <w:kern w:val="0"/>
                <w:sz w:val="24"/>
                <w:szCs w:val="24"/>
              </w:rPr>
            </w:pPr>
            <w:r>
              <w:rPr>
                <w:rFonts w:hint="eastAsia" w:ascii="仿宋_GB2312" w:eastAsia="仿宋_GB2312"/>
                <w:kern w:val="0"/>
                <w:sz w:val="24"/>
                <w:szCs w:val="24"/>
              </w:rPr>
              <w:t>乙酸乙酯标准品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left"/>
              <w:textAlignment w:val="baseline"/>
              <w:rPr>
                <w:rFonts w:ascii="仿宋_GB2312" w:eastAsia="仿宋_GB2312"/>
                <w:b/>
                <w:spacing w:val="2"/>
                <w:kern w:val="0"/>
                <w:sz w:val="24"/>
                <w:szCs w:val="24"/>
              </w:rPr>
            </w:pPr>
          </w:p>
        </w:tc>
        <w:tc>
          <w:tcPr>
            <w:tcW w:w="7364" w:type="dxa"/>
            <w:vAlign w:val="center"/>
          </w:tcPr>
          <w:p>
            <w:pPr>
              <w:widowControl/>
              <w:shd w:val="clear" w:color="auto" w:fill="FFFFFF"/>
              <w:tabs>
                <w:tab w:val="left" w:pos="1134"/>
              </w:tabs>
              <w:adjustRightInd w:val="0"/>
              <w:snapToGrid w:val="0"/>
              <w:ind w:left="25" w:leftChars="12"/>
              <w:textAlignment w:val="baseline"/>
              <w:rPr>
                <w:rFonts w:ascii="仿宋_GB2312" w:eastAsia="仿宋_GB2312"/>
                <w:kern w:val="0"/>
                <w:sz w:val="24"/>
                <w:szCs w:val="24"/>
              </w:rPr>
            </w:pPr>
            <w:r>
              <w:rPr>
                <w:rFonts w:hint="eastAsia" w:ascii="仿宋_GB2312" w:eastAsia="仿宋_GB2312"/>
                <w:kern w:val="0"/>
                <w:sz w:val="24"/>
                <w:szCs w:val="24"/>
              </w:rPr>
              <w:t>乙酸正丙酯标准品（内标物）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55" w:type="dxa"/>
            <w:vMerge w:val="continue"/>
          </w:tcPr>
          <w:p>
            <w:pPr>
              <w:tabs>
                <w:tab w:val="left" w:pos="1134"/>
              </w:tabs>
              <w:adjustRightInd w:val="0"/>
              <w:snapToGrid w:val="0"/>
              <w:jc w:val="left"/>
              <w:textAlignment w:val="baseline"/>
              <w:rPr>
                <w:rFonts w:ascii="仿宋_GB2312" w:eastAsia="仿宋_GB2312"/>
                <w:b/>
                <w:spacing w:val="2"/>
                <w:kern w:val="0"/>
                <w:sz w:val="24"/>
                <w:szCs w:val="24"/>
              </w:rPr>
            </w:pPr>
          </w:p>
        </w:tc>
        <w:tc>
          <w:tcPr>
            <w:tcW w:w="7364" w:type="dxa"/>
            <w:vAlign w:val="center"/>
          </w:tcPr>
          <w:p>
            <w:pPr>
              <w:widowControl/>
              <w:shd w:val="clear" w:color="auto" w:fill="FFFFFF"/>
              <w:tabs>
                <w:tab w:val="left" w:pos="1134"/>
              </w:tabs>
              <w:adjustRightInd w:val="0"/>
              <w:snapToGrid w:val="0"/>
              <w:ind w:left="25" w:leftChars="12"/>
              <w:textAlignment w:val="baseline"/>
              <w:rPr>
                <w:rFonts w:ascii="仿宋_GB2312" w:eastAsia="仿宋_GB2312"/>
                <w:kern w:val="0"/>
                <w:sz w:val="24"/>
                <w:szCs w:val="24"/>
              </w:rPr>
            </w:pPr>
            <w:r>
              <w:rPr>
                <w:rFonts w:hint="eastAsia" w:ascii="仿宋_GB2312" w:eastAsia="仿宋_GB2312"/>
                <w:kern w:val="0"/>
                <w:sz w:val="24"/>
                <w:szCs w:val="24"/>
              </w:rPr>
              <w:t>去离子水</w:t>
            </w:r>
          </w:p>
        </w:tc>
      </w:tr>
    </w:tbl>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outlineLvl w:val="9"/>
        <w:rPr>
          <w:rFonts w:ascii="楷体_GB2312" w:hAnsi="仿宋" w:eastAsia="楷体_GB2312" w:cs="仿宋"/>
          <w:bCs/>
          <w:color w:val="000000"/>
          <w:kern w:val="0"/>
          <w:sz w:val="30"/>
          <w:szCs w:val="30"/>
          <w:lang w:bidi="ar"/>
        </w:rPr>
      </w:pPr>
      <w:r>
        <w:rPr>
          <w:rFonts w:hint="eastAsia" w:ascii="楷体_GB2312" w:eastAsia="楷体_GB2312"/>
          <w:bCs/>
          <w:sz w:val="30"/>
          <w:szCs w:val="30"/>
        </w:rPr>
        <w:t>2.溶液准备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eastAsia="仿宋_GB2312"/>
          <w:sz w:val="30"/>
          <w:szCs w:val="30"/>
        </w:rPr>
      </w:pPr>
      <w:r>
        <w:rPr>
          <w:rFonts w:hint="eastAsia" w:ascii="仿宋_GB2312" w:eastAsia="仿宋_GB2312"/>
          <w:sz w:val="30"/>
          <w:szCs w:val="30"/>
        </w:rPr>
        <w:t>按赛题要求配制指定的实验试剂溶液。</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9"/>
        <w:rPr>
          <w:rFonts w:ascii="楷体_GB2312" w:eastAsia="楷体_GB2312"/>
          <w:bCs/>
          <w:sz w:val="30"/>
          <w:szCs w:val="30"/>
        </w:rPr>
      </w:pPr>
      <w:r>
        <w:rPr>
          <w:rFonts w:hint="eastAsia" w:ascii="楷体_GB2312" w:eastAsia="楷体_GB2312"/>
          <w:bCs/>
          <w:sz w:val="30"/>
          <w:szCs w:val="30"/>
        </w:rPr>
        <w:t>3.合成</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outlineLvl w:val="9"/>
        <w:rPr>
          <w:rFonts w:ascii="仿宋_GB2312" w:hAnsi="宋体" w:eastAsia="仿宋_GB2312"/>
          <w:bCs/>
          <w:sz w:val="30"/>
          <w:szCs w:val="30"/>
        </w:rPr>
      </w:pPr>
      <w:r>
        <w:rPr>
          <w:rFonts w:hint="eastAsia" w:ascii="仿宋_GB2312" w:hAnsi="宋体" w:eastAsia="仿宋_GB2312"/>
          <w:bCs/>
          <w:sz w:val="30"/>
          <w:szCs w:val="30"/>
        </w:rPr>
        <w:t>（1）乙酸乙酯的合成</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eastAsia="仿宋_GB2312"/>
          <w:sz w:val="30"/>
          <w:szCs w:val="30"/>
        </w:rPr>
      </w:pPr>
      <w:r>
        <w:rPr>
          <w:rFonts w:hint="eastAsia" w:ascii="仿宋_GB2312" w:eastAsia="仿宋_GB2312"/>
          <w:sz w:val="30"/>
          <w:szCs w:val="30"/>
        </w:rPr>
        <w:t>在三口烧瓶中，加入适量乙醇、浓硫酸，混匀后加入磁力搅拌子。在滴液漏斗内加入适量乙醇和冰醋酸并混匀。开始加热，当温度升至约 120℃时，开始滴加乙醇和冰醋酸的混合液，调节滴液速度，使滴入速度与馏出乙酸乙酯的速度大致相等。反应结束后，停止加热，收集粗产品。</w:t>
      </w:r>
    </w:p>
    <w:p>
      <w:pPr>
        <w:widowControl/>
        <w:jc w:val="center"/>
      </w:pPr>
      <w:r>
        <w:drawing>
          <wp:inline distT="0" distB="0" distL="0" distR="0">
            <wp:extent cx="4690110" cy="21990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690110" cy="2199005"/>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bidi="ar"/>
        </w:rPr>
        <w:t>（2）乙酸乙酯的精制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eastAsia="仿宋_GB2312"/>
          <w:sz w:val="30"/>
          <w:szCs w:val="30"/>
        </w:rPr>
      </w:pPr>
      <w:r>
        <w:rPr>
          <w:rFonts w:hint="eastAsia" w:ascii="仿宋_GB2312" w:eastAsia="仿宋_GB2312"/>
          <w:sz w:val="30"/>
          <w:szCs w:val="30"/>
        </w:rPr>
        <w:t xml:space="preserve">洗涤：在粗品乙酸乙酯中加入饱和碳酸钠溶液洗涤至中性，然后将此混合液移入分液漏斗中，充分振摇，静置分层后，分出水层。接着用饱和氯化钠溶液洗涤，分出水层。再用饱和氯化钙溶液洗涤酯层，分出水层。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eastAsia="仿宋_GB2312"/>
          <w:sz w:val="30"/>
          <w:szCs w:val="30"/>
        </w:rPr>
      </w:pPr>
      <w:r>
        <w:rPr>
          <w:rFonts w:hint="eastAsia" w:ascii="仿宋_GB2312" w:eastAsia="仿宋_GB2312"/>
          <w:sz w:val="30"/>
          <w:szCs w:val="30"/>
        </w:rPr>
        <w:t xml:space="preserve">干燥：将酯层倒入锥形瓶中，并放入一定质量的无水硫酸镁，配上塞子，充分振摇至液体澄清透明，再放置干燥。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eastAsia="仿宋_GB2312"/>
          <w:sz w:val="30"/>
          <w:szCs w:val="30"/>
        </w:rPr>
      </w:pPr>
      <w:r>
        <w:rPr>
          <w:rFonts w:hint="eastAsia" w:ascii="仿宋_GB2312" w:eastAsia="仿宋_GB2312"/>
          <w:sz w:val="30"/>
          <w:szCs w:val="30"/>
        </w:rPr>
        <w:t xml:space="preserve">蒸馏：将干燥后的乙酸乙酯用漏斗经脱脂棉过滤至干燥的蒸馏烧瓶中，加入磁力搅拌子，搭建好蒸馏装置，加热进行蒸馏。按要求收集乙酸乙酯馏分，记录精制乙酸乙酯的产量。 </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9"/>
        <w:rPr>
          <w:rFonts w:hint="eastAsia" w:ascii="楷体_GB2312" w:eastAsia="楷体_GB2312"/>
          <w:bCs/>
          <w:sz w:val="30"/>
          <w:szCs w:val="30"/>
        </w:rPr>
      </w:pPr>
      <w:r>
        <w:rPr>
          <w:rFonts w:hint="eastAsia" w:ascii="楷体_GB2312" w:eastAsia="楷体_GB2312"/>
          <w:bCs/>
          <w:sz w:val="30"/>
          <w:szCs w:val="30"/>
        </w:rPr>
        <w:t>4.产物分析</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eastAsia="仿宋_GB2312"/>
          <w:sz w:val="30"/>
          <w:szCs w:val="30"/>
        </w:rPr>
      </w:pPr>
      <w:r>
        <w:rPr>
          <w:rFonts w:hint="eastAsia" w:ascii="仿宋_GB2312" w:eastAsia="仿宋_GB2312"/>
          <w:sz w:val="30"/>
          <w:szCs w:val="30"/>
        </w:rPr>
        <w:t>（1）相对质量校正因子的测定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eastAsia="仿宋_GB2312"/>
          <w:sz w:val="30"/>
          <w:szCs w:val="30"/>
        </w:rPr>
      </w:pPr>
      <w:r>
        <w:rPr>
          <w:rFonts w:hint="eastAsia" w:ascii="仿宋_GB2312" w:eastAsia="仿宋_GB2312"/>
          <w:sz w:val="30"/>
          <w:szCs w:val="30"/>
        </w:rPr>
        <w:t>含内标物的标准溶液配制：准确称取一定质量的待测组分（乙酸乙酯）标准品于样品瓶中，然后加入一定质量的内标物（乙酸正丙酯标准品），准确称量并计算内标物质量。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eastAsia="仿宋_GB2312"/>
          <w:sz w:val="30"/>
          <w:szCs w:val="30"/>
        </w:rPr>
      </w:pPr>
      <w:r>
        <w:rPr>
          <w:rFonts w:hint="eastAsia" w:ascii="仿宋_GB2312" w:eastAsia="仿宋_GB2312"/>
          <w:sz w:val="30"/>
          <w:szCs w:val="30"/>
        </w:rPr>
        <w:t>相对质量校正因子的测定：将上述配好的内标物溶液混合均匀，然后用微量注射器取样、进样，根据所得色谱图获得相关峰的峰面积。平行测定3次。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eastAsia="仿宋_GB2312"/>
          <w:sz w:val="30"/>
          <w:szCs w:val="30"/>
        </w:rPr>
      </w:pPr>
      <w:r>
        <w:rPr>
          <w:rFonts w:hint="eastAsia" w:ascii="仿宋_GB2312" w:eastAsia="仿宋_GB2312"/>
          <w:sz w:val="30"/>
          <w:szCs w:val="30"/>
        </w:rPr>
        <w:t>（2）产物样品的测定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eastAsia="仿宋_GB2312"/>
          <w:sz w:val="30"/>
          <w:szCs w:val="30"/>
        </w:rPr>
      </w:pPr>
      <w:r>
        <w:rPr>
          <w:rFonts w:hint="eastAsia" w:ascii="仿宋_GB2312" w:eastAsia="仿宋_GB2312"/>
          <w:sz w:val="30"/>
          <w:szCs w:val="30"/>
        </w:rPr>
        <w:t>含内标物的产物样品溶液制备：采用上述方法，准确称取一定质量的合成产物（乙酸乙酯产品），然后加入一定质量的乙酸正丙酯标准品作内标物。</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eastAsia="仿宋_GB2312"/>
          <w:sz w:val="30"/>
          <w:szCs w:val="30"/>
        </w:rPr>
      </w:pPr>
      <w:r>
        <w:rPr>
          <w:rFonts w:hint="eastAsia" w:ascii="仿宋_GB2312" w:eastAsia="仿宋_GB2312"/>
          <w:sz w:val="30"/>
          <w:szCs w:val="30"/>
        </w:rPr>
        <w:t>产物样品溶液测定：将上述配好的样品溶液混合均匀后，用微量注射器取一定体积进样，从色谱图获得乙酸乙酯及内标物的峰面积。平行测定3次。</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9"/>
        <w:rPr>
          <w:rFonts w:hint="eastAsia" w:ascii="楷体_GB2312" w:eastAsia="楷体_GB2312"/>
          <w:bCs/>
          <w:sz w:val="30"/>
          <w:szCs w:val="30"/>
        </w:rPr>
      </w:pPr>
      <w:r>
        <w:rPr>
          <w:rFonts w:hint="eastAsia" w:ascii="楷体_GB2312" w:eastAsia="楷体_GB2312"/>
          <w:bCs/>
          <w:sz w:val="30"/>
          <w:szCs w:val="30"/>
        </w:rPr>
        <w:t>5.结果处理、分析和报告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eastAsia="仿宋_GB2312"/>
          <w:sz w:val="30"/>
          <w:szCs w:val="30"/>
        </w:rPr>
      </w:pPr>
      <w:r>
        <w:rPr>
          <w:rFonts w:hint="eastAsia" w:ascii="仿宋_GB2312" w:eastAsia="仿宋_GB2312"/>
          <w:sz w:val="30"/>
          <w:szCs w:val="30"/>
        </w:rPr>
        <w:t>（1）根据标准溶液的色谱图，判断内标物和待测物的保留时间（tR），计算峰面积（A）。测量结果总结在表中，并用于识别样品峰。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eastAsia="仿宋_GB2312"/>
          <w:sz w:val="30"/>
          <w:szCs w:val="30"/>
        </w:rPr>
      </w:pPr>
      <w:r>
        <w:rPr>
          <w:rFonts w:hint="eastAsia" w:ascii="仿宋_GB2312" w:eastAsia="仿宋_GB2312"/>
          <w:sz w:val="30"/>
          <w:szCs w:val="30"/>
        </w:rPr>
        <w:t>（2）计算内标物的相对质量校正因子（</w:t>
      </w:r>
      <w:r>
        <w:rPr>
          <w:rFonts w:hint="eastAsia" w:ascii="仿宋_GB2312" w:eastAsia="仿宋_GB2312"/>
          <w:sz w:val="30"/>
          <w:szCs w:val="30"/>
        </w:rPr>
        <w:fldChar w:fldCharType="begin"/>
      </w:r>
      <w:r>
        <w:rPr>
          <w:rFonts w:hint="eastAsia" w:ascii="仿宋_GB2312" w:eastAsia="仿宋_GB2312"/>
          <w:sz w:val="30"/>
          <w:szCs w:val="30"/>
        </w:rPr>
        <w:instrText xml:space="preserve"> QUOTE </w:instrText>
      </w:r>
      <w:r>
        <w:rPr>
          <w:rFonts w:hint="eastAsia" w:ascii="仿宋_GB2312" w:eastAsia="仿宋_GB2312"/>
          <w:sz w:val="30"/>
          <w:szCs w:val="30"/>
        </w:rPr>
        <w:pict>
          <v:shape id="_x0000_i1033" o:spt="75" type="#_x0000_t75" style="height:29.25pt;width:35.25pt;" filled="f" o:preferrelative="t" stroked="f" coordsize="21600,21600">
            <v:path/>
            <v:fill on="f" focussize="0,0"/>
            <v:stroke on="f" joinstyle="miter"/>
            <v:imagedata r:id="rId14" chromakey="#FFFFFF" o:title=""/>
            <o:lock v:ext="edit" aspectratio="t"/>
            <w10:wrap type="none"/>
            <w10:anchorlock/>
          </v:shape>
        </w:pict>
      </w:r>
      <w:r>
        <w:rPr>
          <w:rFonts w:hint="eastAsia" w:ascii="仿宋_GB2312" w:eastAsia="仿宋_GB2312"/>
          <w:sz w:val="30"/>
          <w:szCs w:val="30"/>
        </w:rPr>
        <w:fldChar w:fldCharType="separate"/>
      </w:r>
      <w:r>
        <w:rPr>
          <w:rFonts w:hint="eastAsia" w:ascii="仿宋_GB2312" w:eastAsia="仿宋_GB2312"/>
          <w:sz w:val="30"/>
          <w:szCs w:val="30"/>
        </w:rPr>
        <w:pict>
          <v:shape id="_x0000_i1034" o:spt="75" type="#_x0000_t75" style="height:29.25pt;width:35.25pt;" filled="f" o:preferrelative="t" stroked="f" coordsize="21600,21600">
            <v:path/>
            <v:fill on="f" focussize="0,0"/>
            <v:stroke on="f" joinstyle="miter"/>
            <v:imagedata r:id="rId14" chromakey="#FFFFFF" o:title=""/>
            <o:lock v:ext="edit" aspectratio="t"/>
            <w10:wrap type="none"/>
            <w10:anchorlock/>
          </v:shape>
        </w:pict>
      </w:r>
      <w:r>
        <w:rPr>
          <w:rFonts w:hint="eastAsia" w:ascii="仿宋_GB2312" w:eastAsia="仿宋_GB2312"/>
          <w:sz w:val="30"/>
          <w:szCs w:val="30"/>
        </w:rPr>
        <w:fldChar w:fldCharType="end"/>
      </w:r>
      <w:r>
        <w:rPr>
          <w:rFonts w:hint="eastAsia" w:ascii="仿宋_GB2312" w:eastAsia="仿宋_GB2312"/>
          <w:sz w:val="30"/>
          <w:szCs w:val="30"/>
        </w:rPr>
        <w:t>），结果精确至小数点后 2 位，公式如下：</w:t>
      </w:r>
    </w:p>
    <w:p>
      <w:pPr>
        <w:adjustRightInd w:val="0"/>
        <w:snapToGrid w:val="0"/>
        <w:ind w:firstLine="420"/>
        <w:jc w:val="center"/>
        <w:rPr>
          <w:rFonts w:ascii="仿宋_GB2312" w:hAnsi="宋体" w:eastAsia="仿宋_GB2312"/>
          <w:sz w:val="30"/>
          <w:szCs w:val="30"/>
        </w:rPr>
      </w:pPr>
      <w:r>
        <w:rPr>
          <w:rFonts w:ascii="仿宋_GB2312" w:eastAsia="仿宋_GB2312"/>
          <w:sz w:val="30"/>
          <w:szCs w:val="30"/>
        </w:rPr>
        <w:pict>
          <v:shape id="_x0000_i1035" o:spt="75" type="#_x0000_t75" style="height:50.25pt;width:101.25pt;" filled="f" o:preferrelative="t" stroked="f" coordsize="21600,21600">
            <v:path/>
            <v:fill on="f" focussize="0,0"/>
            <v:stroke on="f" joinstyle="miter"/>
            <v:imagedata r:id="rId15" chromakey="#FFFFFF" o:title=""/>
            <o:lock v:ext="edit" aspectratio="t"/>
            <w10:wrap type="none"/>
            <w10:anchorlock/>
          </v:shape>
        </w:pict>
      </w:r>
    </w:p>
    <w:p>
      <w:pPr>
        <w:keepNext w:val="0"/>
        <w:keepLines w:val="0"/>
        <w:pageBreakBefore w:val="0"/>
        <w:widowControl w:val="0"/>
        <w:kinsoku/>
        <w:wordWrap/>
        <w:overflowPunct/>
        <w:topLinePunct w:val="0"/>
        <w:autoSpaceDE/>
        <w:autoSpaceDN/>
        <w:bidi w:val="0"/>
        <w:adjustRightInd w:val="0"/>
        <w:snapToGrid w:val="0"/>
        <w:spacing w:line="560" w:lineRule="exact"/>
        <w:ind w:left="405" w:leftChars="193" w:firstLine="600" w:firstLineChars="200"/>
        <w:textAlignment w:val="auto"/>
        <w:outlineLvl w:val="9"/>
        <w:rPr>
          <w:rFonts w:ascii="仿宋_GB2312" w:eastAsia="仿宋_GB2312"/>
          <w:sz w:val="30"/>
          <w:szCs w:val="30"/>
        </w:rPr>
      </w:pPr>
      <w:r>
        <w:rPr>
          <w:rFonts w:hint="eastAsia" w:ascii="仿宋_GB2312" w:eastAsia="仿宋_GB2312"/>
          <w:sz w:val="30"/>
          <w:szCs w:val="30"/>
        </w:rPr>
        <w:t>式中：</w:t>
      </w:r>
      <w:r>
        <w:rPr>
          <w:rFonts w:hint="eastAsia" w:ascii="仿宋_GB2312" w:eastAsia="仿宋_GB2312"/>
          <w:i/>
          <w:iCs/>
          <w:sz w:val="30"/>
          <w:szCs w:val="30"/>
        </w:rPr>
        <w:t>A</w:t>
      </w:r>
      <w:r>
        <w:rPr>
          <w:rFonts w:hint="eastAsia" w:ascii="仿宋_GB2312" w:eastAsia="仿宋_GB2312"/>
          <w:i/>
          <w:iCs/>
          <w:sz w:val="30"/>
          <w:szCs w:val="30"/>
          <w:vertAlign w:val="subscript"/>
        </w:rPr>
        <w:t>i</w:t>
      </w:r>
      <w:r>
        <w:rPr>
          <w:rFonts w:hint="eastAsia" w:ascii="仿宋_GB2312" w:eastAsia="仿宋_GB2312"/>
          <w:sz w:val="30"/>
          <w:szCs w:val="30"/>
        </w:rPr>
        <w:t xml:space="preserve"> ——乙酸乙酯的峰面积；</w:t>
      </w:r>
    </w:p>
    <w:p>
      <w:pPr>
        <w:keepNext w:val="0"/>
        <w:keepLines w:val="0"/>
        <w:pageBreakBefore w:val="0"/>
        <w:widowControl w:val="0"/>
        <w:kinsoku/>
        <w:wordWrap/>
        <w:overflowPunct/>
        <w:topLinePunct w:val="0"/>
        <w:autoSpaceDE/>
        <w:autoSpaceDN/>
        <w:bidi w:val="0"/>
        <w:adjustRightInd w:val="0"/>
        <w:snapToGrid w:val="0"/>
        <w:spacing w:line="560" w:lineRule="exact"/>
        <w:ind w:left="947" w:leftChars="451" w:firstLine="900" w:firstLineChars="300"/>
        <w:textAlignment w:val="auto"/>
        <w:outlineLvl w:val="9"/>
        <w:rPr>
          <w:rFonts w:ascii="仿宋_GB2312" w:eastAsia="仿宋_GB2312"/>
          <w:sz w:val="30"/>
          <w:szCs w:val="30"/>
        </w:rPr>
      </w:pPr>
      <w:r>
        <w:rPr>
          <w:rFonts w:hint="eastAsia" w:ascii="仿宋_GB2312" w:eastAsia="仿宋_GB2312"/>
          <w:i/>
          <w:iCs/>
          <w:sz w:val="30"/>
          <w:szCs w:val="30"/>
        </w:rPr>
        <w:t>m</w:t>
      </w:r>
      <w:r>
        <w:rPr>
          <w:rFonts w:hint="eastAsia" w:ascii="仿宋_GB2312" w:eastAsia="仿宋_GB2312"/>
          <w:i/>
          <w:iCs/>
          <w:sz w:val="30"/>
          <w:szCs w:val="30"/>
          <w:vertAlign w:val="subscript"/>
        </w:rPr>
        <w:t>i</w:t>
      </w:r>
      <w:r>
        <w:rPr>
          <w:rFonts w:hint="eastAsia" w:ascii="仿宋_GB2312" w:eastAsia="仿宋_GB2312"/>
          <w:sz w:val="30"/>
          <w:szCs w:val="30"/>
        </w:rPr>
        <w:t>——乙酸乙酯的质量；</w:t>
      </w:r>
    </w:p>
    <w:p>
      <w:pPr>
        <w:keepNext w:val="0"/>
        <w:keepLines w:val="0"/>
        <w:pageBreakBefore w:val="0"/>
        <w:widowControl w:val="0"/>
        <w:kinsoku/>
        <w:wordWrap/>
        <w:overflowPunct/>
        <w:topLinePunct w:val="0"/>
        <w:autoSpaceDE/>
        <w:autoSpaceDN/>
        <w:bidi w:val="0"/>
        <w:adjustRightInd w:val="0"/>
        <w:snapToGrid w:val="0"/>
        <w:spacing w:line="560" w:lineRule="exact"/>
        <w:ind w:left="947" w:leftChars="451" w:firstLine="900" w:firstLineChars="300"/>
        <w:textAlignment w:val="auto"/>
        <w:outlineLvl w:val="9"/>
        <w:rPr>
          <w:rFonts w:ascii="仿宋_GB2312" w:eastAsia="仿宋_GB2312"/>
          <w:sz w:val="30"/>
          <w:szCs w:val="30"/>
        </w:rPr>
      </w:pPr>
      <w:r>
        <w:rPr>
          <w:rFonts w:hint="eastAsia" w:ascii="仿宋_GB2312" w:eastAsia="仿宋_GB2312"/>
          <w:i/>
          <w:iCs/>
          <w:sz w:val="30"/>
          <w:szCs w:val="30"/>
        </w:rPr>
        <w:t>A</w:t>
      </w:r>
      <w:r>
        <w:rPr>
          <w:rFonts w:hint="eastAsia" w:ascii="仿宋_GB2312" w:eastAsia="仿宋_GB2312"/>
          <w:i/>
          <w:iCs/>
          <w:sz w:val="30"/>
          <w:szCs w:val="30"/>
          <w:vertAlign w:val="subscript"/>
        </w:rPr>
        <w:t xml:space="preserve">s </w:t>
      </w:r>
      <w:r>
        <w:rPr>
          <w:rFonts w:hint="eastAsia" w:ascii="仿宋_GB2312" w:eastAsia="仿宋_GB2312"/>
          <w:sz w:val="30"/>
          <w:szCs w:val="30"/>
        </w:rPr>
        <w:t>——内标物（乙酸正丙酯）的峰面积；</w:t>
      </w:r>
    </w:p>
    <w:p>
      <w:pPr>
        <w:keepNext w:val="0"/>
        <w:keepLines w:val="0"/>
        <w:pageBreakBefore w:val="0"/>
        <w:widowControl w:val="0"/>
        <w:kinsoku/>
        <w:wordWrap/>
        <w:overflowPunct/>
        <w:topLinePunct w:val="0"/>
        <w:autoSpaceDE/>
        <w:autoSpaceDN/>
        <w:bidi w:val="0"/>
        <w:adjustRightInd w:val="0"/>
        <w:snapToGrid w:val="0"/>
        <w:spacing w:line="560" w:lineRule="exact"/>
        <w:ind w:left="947" w:leftChars="451" w:firstLine="908" w:firstLineChars="303"/>
        <w:textAlignment w:val="auto"/>
        <w:outlineLvl w:val="9"/>
        <w:rPr>
          <w:rFonts w:ascii="仿宋_GB2312" w:eastAsia="仿宋_GB2312"/>
          <w:sz w:val="30"/>
          <w:szCs w:val="30"/>
        </w:rPr>
      </w:pPr>
      <w:r>
        <w:rPr>
          <w:rFonts w:hint="eastAsia" w:ascii="仿宋_GB2312" w:eastAsia="仿宋_GB2312"/>
          <w:i/>
          <w:iCs/>
          <w:sz w:val="30"/>
          <w:szCs w:val="30"/>
        </w:rPr>
        <w:t>m</w:t>
      </w:r>
      <w:r>
        <w:rPr>
          <w:rFonts w:hint="eastAsia" w:ascii="仿宋_GB2312" w:eastAsia="仿宋_GB2312"/>
          <w:i/>
          <w:iCs/>
          <w:sz w:val="30"/>
          <w:szCs w:val="30"/>
          <w:vertAlign w:val="subscript"/>
        </w:rPr>
        <w:t>s</w:t>
      </w:r>
      <w:r>
        <w:rPr>
          <w:rFonts w:hint="eastAsia" w:ascii="仿宋_GB2312" w:eastAsia="仿宋_GB2312"/>
          <w:sz w:val="30"/>
          <w:szCs w:val="30"/>
        </w:rPr>
        <w:t>——内标物（乙酸正丙酯）的质量。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eastAsia="仿宋_GB2312"/>
          <w:sz w:val="30"/>
          <w:szCs w:val="30"/>
        </w:rPr>
      </w:pPr>
      <w:r>
        <w:rPr>
          <w:rFonts w:hint="eastAsia" w:ascii="仿宋_GB2312" w:eastAsia="仿宋_GB2312"/>
          <w:sz w:val="30"/>
          <w:szCs w:val="30"/>
        </w:rPr>
        <w:t>（3）计算产物中乙酸乙酯的含量（wi），取3次测定结果的算术平均值作为最终结果，结果精确至小数点后1位，公式如下：</w:t>
      </w:r>
    </w:p>
    <w:p>
      <w:pPr>
        <w:adjustRightInd w:val="0"/>
        <w:snapToGrid w:val="0"/>
        <w:ind w:firstLine="420"/>
        <w:jc w:val="center"/>
        <w:rPr>
          <w:rFonts w:ascii="仿宋_GB2312" w:eastAsia="仿宋_GB2312"/>
          <w:sz w:val="30"/>
          <w:szCs w:val="30"/>
        </w:rPr>
      </w:pPr>
      <w:r>
        <w:rPr>
          <w:rFonts w:ascii="仿宋_GB2312" w:eastAsia="仿宋_GB2312"/>
          <w:sz w:val="30"/>
          <w:szCs w:val="30"/>
        </w:rPr>
        <w:pict>
          <v:shape id="_x0000_i1036" o:spt="75" type="#_x0000_t75" style="height:50.25pt;width:180.75pt;" filled="f" o:preferrelative="t" stroked="f" coordsize="21600,21600">
            <v:path/>
            <v:fill on="f" focussize="0,0"/>
            <v:stroke on="f" joinstyle="miter"/>
            <v:imagedata r:id="rId16" chromakey="#FFFFFF" o:title=""/>
            <o:lock v:ext="edit" aspectratio="t"/>
            <w10:wrap type="none"/>
            <w10:anchorlock/>
          </v:shape>
        </w:pict>
      </w:r>
    </w:p>
    <w:p>
      <w:pPr>
        <w:adjustRightInd w:val="0"/>
        <w:snapToGrid w:val="0"/>
        <w:ind w:left="405" w:leftChars="193" w:firstLine="600" w:firstLineChars="200"/>
        <w:rPr>
          <w:rFonts w:ascii="仿宋_GB2312" w:eastAsia="仿宋_GB2312"/>
          <w:sz w:val="30"/>
          <w:szCs w:val="30"/>
        </w:rPr>
      </w:pPr>
      <w:r>
        <w:rPr>
          <w:rFonts w:hint="eastAsia" w:ascii="仿宋_GB2312" w:eastAsia="仿宋_GB2312"/>
          <w:sz w:val="30"/>
          <w:szCs w:val="30"/>
        </w:rPr>
        <w:t>式中：</w:t>
      </w:r>
      <w:r>
        <w:rPr>
          <w:rFonts w:hint="eastAsia" w:ascii="仿宋_GB2312" w:eastAsia="仿宋_GB2312"/>
          <w:i/>
          <w:iCs/>
          <w:sz w:val="30"/>
          <w:szCs w:val="30"/>
        </w:rPr>
        <w:t>A</w:t>
      </w:r>
      <w:r>
        <w:rPr>
          <w:rFonts w:hint="eastAsia" w:ascii="仿宋_GB2312" w:eastAsia="仿宋_GB2312"/>
          <w:i/>
          <w:iCs/>
          <w:sz w:val="30"/>
          <w:szCs w:val="30"/>
          <w:vertAlign w:val="subscript"/>
        </w:rPr>
        <w:t>i</w:t>
      </w:r>
      <w:r>
        <w:rPr>
          <w:rFonts w:hint="eastAsia" w:ascii="仿宋_GB2312" w:eastAsia="仿宋_GB2312"/>
          <w:sz w:val="30"/>
          <w:szCs w:val="30"/>
        </w:rPr>
        <w:t>——产物样品中乙酸乙酯所得的峰面积；</w:t>
      </w:r>
    </w:p>
    <w:p>
      <w:pPr>
        <w:adjustRightInd w:val="0"/>
        <w:snapToGrid w:val="0"/>
        <w:ind w:left="947" w:leftChars="451" w:firstLine="900" w:firstLineChars="300"/>
        <w:rPr>
          <w:rFonts w:ascii="仿宋_GB2312" w:eastAsia="仿宋_GB2312"/>
          <w:sz w:val="30"/>
          <w:szCs w:val="30"/>
        </w:rPr>
      </w:pPr>
      <w:r>
        <w:rPr>
          <w:rFonts w:hint="eastAsia" w:ascii="仿宋_GB2312" w:eastAsia="仿宋_GB2312"/>
          <w:i/>
          <w:iCs/>
          <w:sz w:val="30"/>
          <w:szCs w:val="30"/>
        </w:rPr>
        <w:t xml:space="preserve">m </w:t>
      </w:r>
      <w:r>
        <w:rPr>
          <w:rFonts w:hint="eastAsia" w:ascii="仿宋_GB2312" w:eastAsia="仿宋_GB2312"/>
          <w:sz w:val="30"/>
          <w:szCs w:val="30"/>
        </w:rPr>
        <w:t>——产物样品的质量；</w:t>
      </w:r>
    </w:p>
    <w:p>
      <w:pPr>
        <w:adjustRightInd w:val="0"/>
        <w:snapToGrid w:val="0"/>
        <w:ind w:left="947" w:leftChars="451" w:firstLine="908" w:firstLineChars="303"/>
        <w:rPr>
          <w:rFonts w:ascii="仿宋_GB2312" w:eastAsia="仿宋_GB2312"/>
          <w:sz w:val="30"/>
          <w:szCs w:val="30"/>
        </w:rPr>
      </w:pPr>
      <w:r>
        <w:rPr>
          <w:rFonts w:hint="eastAsia" w:ascii="仿宋_GB2312" w:eastAsia="仿宋_GB2312"/>
          <w:i/>
          <w:iCs/>
          <w:sz w:val="30"/>
          <w:szCs w:val="30"/>
        </w:rPr>
        <w:t>A</w:t>
      </w:r>
      <w:r>
        <w:rPr>
          <w:rFonts w:hint="eastAsia" w:ascii="仿宋_GB2312" w:eastAsia="仿宋_GB2312"/>
          <w:i/>
          <w:iCs/>
          <w:sz w:val="30"/>
          <w:szCs w:val="30"/>
          <w:vertAlign w:val="subscript"/>
        </w:rPr>
        <w:t>s</w:t>
      </w:r>
      <w:r>
        <w:rPr>
          <w:rFonts w:hint="eastAsia" w:ascii="仿宋_GB2312" w:eastAsia="仿宋_GB2312"/>
          <w:sz w:val="30"/>
          <w:szCs w:val="30"/>
        </w:rPr>
        <w:t>——内标物（乙酸正丙酯）的峰面积；</w:t>
      </w:r>
    </w:p>
    <w:p>
      <w:pPr>
        <w:adjustRightInd w:val="0"/>
        <w:snapToGrid w:val="0"/>
        <w:ind w:left="947" w:leftChars="451" w:firstLine="908" w:firstLineChars="303"/>
        <w:rPr>
          <w:rFonts w:ascii="仿宋_GB2312" w:eastAsia="仿宋_GB2312"/>
          <w:sz w:val="30"/>
          <w:szCs w:val="30"/>
        </w:rPr>
      </w:pPr>
      <w:r>
        <w:rPr>
          <w:rFonts w:hint="eastAsia" w:ascii="仿宋_GB2312" w:eastAsia="仿宋_GB2312"/>
          <w:i/>
          <w:iCs/>
          <w:sz w:val="30"/>
          <w:szCs w:val="30"/>
        </w:rPr>
        <w:t>m</w:t>
      </w:r>
      <w:r>
        <w:rPr>
          <w:rFonts w:hint="eastAsia" w:ascii="仿宋_GB2312" w:eastAsia="仿宋_GB2312"/>
          <w:i/>
          <w:iCs/>
          <w:sz w:val="30"/>
          <w:szCs w:val="30"/>
          <w:vertAlign w:val="subscript"/>
        </w:rPr>
        <w:t>s</w:t>
      </w:r>
      <w:r>
        <w:rPr>
          <w:rFonts w:hint="eastAsia" w:ascii="仿宋_GB2312" w:eastAsia="仿宋_GB2312"/>
          <w:sz w:val="30"/>
          <w:szCs w:val="30"/>
        </w:rPr>
        <w:t>——内标物（乙酸正丙酯）的质量；</w:t>
      </w:r>
    </w:p>
    <w:p>
      <w:pPr>
        <w:adjustRightInd w:val="0"/>
        <w:snapToGrid w:val="0"/>
        <w:ind w:left="947" w:leftChars="451" w:firstLine="908" w:firstLineChars="303"/>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QUOTE </w:instrText>
      </w:r>
      <w:r>
        <w:rPr>
          <w:rFonts w:ascii="仿宋_GB2312" w:eastAsia="仿宋_GB2312"/>
          <w:position w:val="-20"/>
          <w:sz w:val="30"/>
          <w:szCs w:val="30"/>
        </w:rPr>
        <w:pict>
          <v:shape id="_x0000_i1037" o:spt="75" type="#_x0000_t75" style="height:29.25pt;width:35.25pt;" filled="f" o:preferrelative="t" stroked="f" coordsize="21600,21600">
            <v:path/>
            <v:fill on="f" focussize="0,0"/>
            <v:stroke on="f" joinstyle="miter"/>
            <v:imagedata r:id="rId17" chromakey="#FFFFFF" o:title=""/>
            <o:lock v:ext="edit" aspectratio="t"/>
            <w10:wrap type="none"/>
            <w10:anchorlock/>
          </v:shape>
        </w:pict>
      </w:r>
      <w:r>
        <w:rPr>
          <w:rFonts w:hint="eastAsia" w:ascii="仿宋_GB2312" w:eastAsia="仿宋_GB2312"/>
          <w:sz w:val="30"/>
          <w:szCs w:val="30"/>
        </w:rPr>
        <w:fldChar w:fldCharType="separate"/>
      </w:r>
      <w:r>
        <w:rPr>
          <w:rFonts w:ascii="仿宋_GB2312" w:eastAsia="仿宋_GB2312"/>
          <w:position w:val="-20"/>
          <w:sz w:val="30"/>
          <w:szCs w:val="30"/>
        </w:rPr>
        <w:pict>
          <v:shape id="_x0000_i1038" o:spt="75" type="#_x0000_t75" style="height:29.25pt;width:35.25pt;" filled="f" o:preferrelative="t" stroked="f" coordsize="21600,21600">
            <v:path/>
            <v:fill on="f" focussize="0,0"/>
            <v:stroke on="f" joinstyle="miter"/>
            <v:imagedata r:id="rId17" chromakey="#FFFFFF" o:title=""/>
            <o:lock v:ext="edit" aspectratio="t"/>
            <w10:wrap type="none"/>
            <w10:anchorlock/>
          </v:shape>
        </w:pict>
      </w:r>
      <w:r>
        <w:rPr>
          <w:rFonts w:hint="eastAsia" w:ascii="仿宋_GB2312" w:eastAsia="仿宋_GB2312"/>
          <w:sz w:val="30"/>
          <w:szCs w:val="30"/>
        </w:rPr>
        <w:fldChar w:fldCharType="end"/>
      </w:r>
      <w:r>
        <w:rPr>
          <w:rFonts w:hint="eastAsia" w:ascii="仿宋_GB2312" w:eastAsia="仿宋_GB2312"/>
          <w:sz w:val="30"/>
          <w:szCs w:val="30"/>
        </w:rPr>
        <w:t>——内标物的相对质量校正因子。</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eastAsia="仿宋_GB2312"/>
          <w:sz w:val="30"/>
          <w:szCs w:val="30"/>
        </w:rPr>
      </w:pPr>
      <w:r>
        <w:rPr>
          <w:rFonts w:hint="eastAsia" w:ascii="仿宋_GB2312" w:eastAsia="仿宋_GB2312"/>
          <w:sz w:val="30"/>
          <w:szCs w:val="30"/>
        </w:rPr>
        <w:t>（4）计算产物的产率，结果精确至小数点后 1 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eastAsia="仿宋_GB2312"/>
          <w:sz w:val="30"/>
          <w:szCs w:val="30"/>
        </w:rPr>
      </w:pPr>
      <w:r>
        <w:rPr>
          <w:rFonts w:hint="eastAsia" w:ascii="仿宋_GB2312" w:eastAsia="仿宋_GB2312"/>
          <w:sz w:val="30"/>
          <w:szCs w:val="30"/>
        </w:rPr>
        <w:t xml:space="preserve">（5）撰写报告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eastAsia="仿宋_GB2312"/>
          <w:sz w:val="30"/>
          <w:szCs w:val="30"/>
        </w:rPr>
      </w:pPr>
      <w:r>
        <w:rPr>
          <w:rFonts w:hint="eastAsia" w:ascii="仿宋_GB2312" w:eastAsia="仿宋_GB2312"/>
          <w:sz w:val="30"/>
          <w:szCs w:val="30"/>
        </w:rPr>
        <w:t>请完成一份报告，应包括：实验过程中必须做好的健康、安全、环保措施；实验中的物料计算和过程记录、数据处理、结果的评价和问题分析。</w:t>
      </w:r>
    </w:p>
    <w:p>
      <w:pPr>
        <w:rPr>
          <w:rFonts w:ascii="仿宋_GB2312" w:eastAsia="仿宋_GB2312"/>
          <w:sz w:val="30"/>
          <w:szCs w:val="30"/>
        </w:rPr>
      </w:pPr>
    </w:p>
    <w:p>
      <w:pPr>
        <w:widowControl/>
        <w:jc w:val="left"/>
        <w:rPr>
          <w:rFonts w:hint="eastAsia" w:ascii="仿宋_GB2312" w:eastAsia="仿宋_GB2312"/>
          <w:sz w:val="30"/>
          <w:szCs w:val="30"/>
        </w:rPr>
        <w:sectPr>
          <w:footerReference r:id="rId3" w:type="default"/>
          <w:pgSz w:w="11906" w:h="16838"/>
          <w:pgMar w:top="1871" w:right="1361" w:bottom="1757" w:left="1474" w:header="851" w:footer="992" w:gutter="0"/>
          <w:pgNumType w:fmt="numberInDash"/>
          <w:cols w:space="425" w:num="1"/>
          <w:docGrid w:type="linesAndChars" w:linePitch="312" w:charSpace="0"/>
        </w:sectPr>
      </w:pPr>
    </w:p>
    <w:p>
      <w:pPr>
        <w:widowControl/>
        <w:jc w:val="left"/>
        <w:rPr>
          <w:rFonts w:ascii="黑体" w:hAnsi="黑体" w:eastAsia="黑体"/>
          <w:bCs/>
          <w:sz w:val="30"/>
          <w:szCs w:val="30"/>
        </w:rPr>
      </w:pPr>
      <w:r>
        <w:rPr>
          <w:rFonts w:hint="eastAsia" w:ascii="黑体" w:hAnsi="黑体" w:eastAsia="黑体"/>
          <w:bCs/>
          <w:sz w:val="30"/>
          <w:szCs w:val="30"/>
        </w:rPr>
        <w:t>附件3</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竞赛日程表</w:t>
      </w:r>
    </w:p>
    <w:tbl>
      <w:tblPr>
        <w:tblStyle w:val="8"/>
        <w:tblW w:w="154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843"/>
        <w:gridCol w:w="1547"/>
        <w:gridCol w:w="2127"/>
        <w:gridCol w:w="1702"/>
        <w:gridCol w:w="1701"/>
        <w:gridCol w:w="2128"/>
        <w:gridCol w:w="1982"/>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5" w:type="dxa"/>
            <w:vAlign w:val="center"/>
          </w:tcPr>
          <w:p>
            <w:pPr>
              <w:pStyle w:val="11"/>
              <w:adjustRightInd/>
              <w:jc w:val="center"/>
              <w:rPr>
                <w:rFonts w:hint="eastAsia" w:ascii="黑体" w:hAnsi="黑体" w:eastAsia="黑体" w:cs="黑体"/>
                <w:b w:val="0"/>
                <w:bCs w:val="0"/>
                <w:color w:val="auto"/>
              </w:rPr>
            </w:pPr>
            <w:r>
              <w:rPr>
                <w:rFonts w:hint="eastAsia" w:ascii="黑体" w:hAnsi="黑体" w:eastAsia="黑体" w:cs="黑体"/>
                <w:b w:val="0"/>
                <w:bCs w:val="0"/>
                <w:color w:val="auto"/>
              </w:rPr>
              <w:t>日期</w:t>
            </w:r>
          </w:p>
        </w:tc>
        <w:tc>
          <w:tcPr>
            <w:tcW w:w="1843" w:type="dxa"/>
            <w:vAlign w:val="center"/>
          </w:tcPr>
          <w:p>
            <w:pPr>
              <w:pStyle w:val="11"/>
              <w:adjustRightInd/>
              <w:jc w:val="center"/>
              <w:rPr>
                <w:rFonts w:hint="eastAsia" w:ascii="黑体" w:hAnsi="黑体" w:eastAsia="黑体" w:cs="黑体"/>
                <w:b w:val="0"/>
                <w:bCs w:val="0"/>
                <w:color w:val="auto"/>
              </w:rPr>
            </w:pPr>
            <w:r>
              <w:rPr>
                <w:rFonts w:hint="eastAsia" w:ascii="黑体" w:hAnsi="黑体" w:eastAsia="黑体" w:cs="黑体"/>
                <w:b w:val="0"/>
                <w:bCs w:val="0"/>
                <w:color w:val="auto"/>
              </w:rPr>
              <w:t>时间</w:t>
            </w:r>
          </w:p>
        </w:tc>
        <w:tc>
          <w:tcPr>
            <w:tcW w:w="5376" w:type="dxa"/>
            <w:gridSpan w:val="3"/>
            <w:vAlign w:val="center"/>
          </w:tcPr>
          <w:p>
            <w:pPr>
              <w:pStyle w:val="11"/>
              <w:adjustRightInd/>
              <w:jc w:val="center"/>
              <w:rPr>
                <w:rFonts w:hint="eastAsia" w:ascii="黑体" w:hAnsi="黑体" w:eastAsia="黑体" w:cs="黑体"/>
                <w:b w:val="0"/>
                <w:bCs w:val="0"/>
                <w:color w:val="auto"/>
              </w:rPr>
            </w:pPr>
            <w:r>
              <w:rPr>
                <w:rFonts w:hint="eastAsia" w:ascii="黑体" w:hAnsi="黑体" w:eastAsia="黑体" w:cs="黑体"/>
                <w:b w:val="0"/>
                <w:bCs w:val="0"/>
                <w:color w:val="auto"/>
              </w:rPr>
              <w:t>事项</w:t>
            </w:r>
          </w:p>
        </w:tc>
        <w:tc>
          <w:tcPr>
            <w:tcW w:w="3829" w:type="dxa"/>
            <w:gridSpan w:val="2"/>
            <w:vAlign w:val="center"/>
          </w:tcPr>
          <w:p>
            <w:pPr>
              <w:pStyle w:val="11"/>
              <w:adjustRightInd/>
              <w:jc w:val="center"/>
              <w:rPr>
                <w:rFonts w:hint="eastAsia" w:ascii="黑体" w:hAnsi="黑体" w:eastAsia="黑体" w:cs="黑体"/>
                <w:b w:val="0"/>
                <w:bCs w:val="0"/>
                <w:color w:val="auto"/>
              </w:rPr>
            </w:pPr>
            <w:r>
              <w:rPr>
                <w:rFonts w:hint="eastAsia" w:ascii="黑体" w:hAnsi="黑体" w:eastAsia="黑体" w:cs="黑体"/>
                <w:b w:val="0"/>
                <w:bCs w:val="0"/>
                <w:color w:val="auto"/>
              </w:rPr>
              <w:t>参加人员</w:t>
            </w:r>
          </w:p>
        </w:tc>
        <w:tc>
          <w:tcPr>
            <w:tcW w:w="3779" w:type="dxa"/>
            <w:gridSpan w:val="2"/>
            <w:vAlign w:val="center"/>
          </w:tcPr>
          <w:p>
            <w:pPr>
              <w:pStyle w:val="11"/>
              <w:adjustRightInd/>
              <w:jc w:val="center"/>
              <w:rPr>
                <w:rFonts w:hint="eastAsia" w:ascii="黑体" w:hAnsi="黑体" w:eastAsia="黑体" w:cs="黑体"/>
                <w:b w:val="0"/>
                <w:bCs w:val="0"/>
                <w:color w:val="auto"/>
              </w:rPr>
            </w:pPr>
            <w:r>
              <w:rPr>
                <w:rFonts w:hint="eastAsia" w:ascii="黑体" w:hAnsi="黑体" w:eastAsia="黑体" w:cs="黑体"/>
                <w:b w:val="0"/>
                <w:bCs w:val="0"/>
                <w:color w:val="auto"/>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5" w:type="dxa"/>
            <w:vMerge w:val="restart"/>
            <w:vAlign w:val="center"/>
          </w:tcPr>
          <w:p>
            <w:pPr>
              <w:pStyle w:val="11"/>
              <w:adjustRightInd/>
              <w:jc w:val="center"/>
              <w:rPr>
                <w:rFonts w:ascii="仿宋_GB2312" w:hAnsi="仿宋" w:eastAsia="仿宋_GB2312"/>
              </w:rPr>
            </w:pPr>
            <w:r>
              <w:rPr>
                <w:rFonts w:hint="eastAsia" w:ascii="仿宋_GB2312" w:hAnsi="仿宋" w:eastAsia="仿宋_GB2312"/>
              </w:rPr>
              <w:t>11月</w:t>
            </w:r>
          </w:p>
          <w:p>
            <w:pPr>
              <w:pStyle w:val="11"/>
              <w:adjustRightInd/>
              <w:jc w:val="center"/>
              <w:rPr>
                <w:rFonts w:ascii="仿宋_GB2312" w:hAnsi="仿宋" w:eastAsia="仿宋_GB2312"/>
              </w:rPr>
            </w:pPr>
            <w:r>
              <w:rPr>
                <w:rFonts w:hint="eastAsia" w:ascii="仿宋_GB2312" w:hAnsi="仿宋" w:eastAsia="仿宋_GB2312"/>
              </w:rPr>
              <w:t>12日</w:t>
            </w:r>
          </w:p>
        </w:tc>
        <w:tc>
          <w:tcPr>
            <w:tcW w:w="1843" w:type="dxa"/>
            <w:vAlign w:val="center"/>
          </w:tcPr>
          <w:p>
            <w:pPr>
              <w:pStyle w:val="11"/>
              <w:adjustRightInd/>
              <w:jc w:val="center"/>
              <w:rPr>
                <w:rFonts w:ascii="仿宋_GB2312" w:hAnsi="仿宋" w:eastAsia="仿宋_GB2312"/>
              </w:rPr>
            </w:pPr>
            <w:r>
              <w:rPr>
                <w:rFonts w:hint="eastAsia" w:ascii="仿宋_GB2312" w:hAnsi="仿宋" w:eastAsia="仿宋_GB2312"/>
              </w:rPr>
              <w:t>15:00-16:00</w:t>
            </w:r>
          </w:p>
        </w:tc>
        <w:tc>
          <w:tcPr>
            <w:tcW w:w="5376" w:type="dxa"/>
            <w:gridSpan w:val="3"/>
            <w:vAlign w:val="center"/>
          </w:tcPr>
          <w:p>
            <w:pPr>
              <w:pStyle w:val="11"/>
              <w:adjustRightInd/>
              <w:jc w:val="center"/>
              <w:rPr>
                <w:rFonts w:ascii="仿宋_GB2312" w:hAnsi="仿宋" w:eastAsia="仿宋_GB2312"/>
              </w:rPr>
            </w:pPr>
            <w:r>
              <w:rPr>
                <w:rFonts w:hint="eastAsia" w:ascii="仿宋_GB2312" w:hAnsi="仿宋" w:eastAsia="仿宋_GB2312"/>
              </w:rPr>
              <w:t>参赛队报到，领取资料，发放参赛证</w:t>
            </w:r>
          </w:p>
        </w:tc>
        <w:tc>
          <w:tcPr>
            <w:tcW w:w="3829" w:type="dxa"/>
            <w:gridSpan w:val="2"/>
            <w:vAlign w:val="center"/>
          </w:tcPr>
          <w:p>
            <w:pPr>
              <w:pStyle w:val="11"/>
              <w:adjustRightInd/>
              <w:jc w:val="center"/>
              <w:rPr>
                <w:rFonts w:ascii="仿宋_GB2312" w:hAnsi="仿宋" w:eastAsia="仿宋_GB2312"/>
              </w:rPr>
            </w:pPr>
            <w:r>
              <w:rPr>
                <w:rFonts w:hint="eastAsia" w:ascii="仿宋_GB2312" w:hAnsi="仿宋" w:eastAsia="仿宋_GB2312"/>
              </w:rPr>
              <w:t>工作人员，参赛队</w:t>
            </w:r>
          </w:p>
        </w:tc>
        <w:tc>
          <w:tcPr>
            <w:tcW w:w="3779" w:type="dxa"/>
            <w:gridSpan w:val="2"/>
            <w:vAlign w:val="center"/>
          </w:tcPr>
          <w:p>
            <w:pPr>
              <w:pStyle w:val="11"/>
              <w:adjustRightInd/>
              <w:jc w:val="center"/>
              <w:rPr>
                <w:rFonts w:ascii="仿宋_GB2312" w:hAnsi="仿宋" w:eastAsia="仿宋_GB2312"/>
              </w:rPr>
            </w:pPr>
            <w:r>
              <w:rPr>
                <w:rFonts w:hint="eastAsia" w:ascii="仿宋_GB2312" w:hAnsi="仿宋" w:eastAsia="仿宋_GB2312"/>
              </w:rPr>
              <w:t>实训中心二楼大厅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5" w:type="dxa"/>
            <w:vMerge w:val="continue"/>
            <w:vAlign w:val="center"/>
          </w:tcPr>
          <w:p>
            <w:pPr>
              <w:pStyle w:val="11"/>
              <w:adjustRightInd/>
              <w:jc w:val="center"/>
              <w:rPr>
                <w:rFonts w:ascii="仿宋_GB2312" w:hAnsi="仿宋" w:eastAsia="仿宋_GB2312"/>
              </w:rPr>
            </w:pPr>
          </w:p>
        </w:tc>
        <w:tc>
          <w:tcPr>
            <w:tcW w:w="1843" w:type="dxa"/>
            <w:vAlign w:val="center"/>
          </w:tcPr>
          <w:p>
            <w:pPr>
              <w:pStyle w:val="11"/>
              <w:adjustRightInd/>
              <w:jc w:val="center"/>
              <w:rPr>
                <w:rFonts w:ascii="仿宋_GB2312" w:hAnsi="仿宋" w:eastAsia="仿宋_GB2312"/>
              </w:rPr>
            </w:pPr>
            <w:r>
              <w:rPr>
                <w:rFonts w:hint="eastAsia" w:ascii="仿宋_GB2312" w:hAnsi="仿宋" w:eastAsia="仿宋_GB2312"/>
              </w:rPr>
              <w:t>16:30-17:30</w:t>
            </w:r>
          </w:p>
        </w:tc>
        <w:tc>
          <w:tcPr>
            <w:tcW w:w="5376" w:type="dxa"/>
            <w:gridSpan w:val="3"/>
            <w:vAlign w:val="center"/>
          </w:tcPr>
          <w:p>
            <w:pPr>
              <w:pStyle w:val="11"/>
              <w:adjustRightInd/>
              <w:jc w:val="center"/>
              <w:rPr>
                <w:rFonts w:ascii="仿宋_GB2312" w:hAnsi="仿宋" w:eastAsia="仿宋_GB2312"/>
              </w:rPr>
            </w:pPr>
            <w:r>
              <w:rPr>
                <w:rFonts w:hint="eastAsia" w:ascii="仿宋_GB2312" w:hAnsi="仿宋" w:eastAsia="仿宋_GB2312"/>
              </w:rPr>
              <w:t>选手熟悉比赛赛场，领队会议，竞赛场次抽签，裁判培训会</w:t>
            </w:r>
          </w:p>
        </w:tc>
        <w:tc>
          <w:tcPr>
            <w:tcW w:w="3829" w:type="dxa"/>
            <w:gridSpan w:val="2"/>
            <w:vAlign w:val="center"/>
          </w:tcPr>
          <w:p>
            <w:pPr>
              <w:pStyle w:val="11"/>
              <w:adjustRightInd/>
              <w:jc w:val="center"/>
              <w:rPr>
                <w:rFonts w:ascii="仿宋_GB2312" w:hAnsi="仿宋" w:eastAsia="仿宋_GB2312"/>
              </w:rPr>
            </w:pPr>
            <w:r>
              <w:rPr>
                <w:rFonts w:hint="eastAsia" w:ascii="仿宋_GB2312" w:hAnsi="仿宋" w:eastAsia="仿宋_GB2312"/>
              </w:rPr>
              <w:t>各参赛队领队，裁判</w:t>
            </w:r>
          </w:p>
        </w:tc>
        <w:tc>
          <w:tcPr>
            <w:tcW w:w="3779" w:type="dxa"/>
            <w:gridSpan w:val="2"/>
            <w:vAlign w:val="center"/>
          </w:tcPr>
          <w:p>
            <w:pPr>
              <w:pStyle w:val="11"/>
              <w:adjustRightInd/>
              <w:jc w:val="center"/>
              <w:rPr>
                <w:rFonts w:ascii="仿宋_GB2312" w:hAnsi="仿宋" w:eastAsia="仿宋_GB2312"/>
              </w:rPr>
            </w:pPr>
            <w:r>
              <w:rPr>
                <w:rFonts w:hint="eastAsia" w:ascii="仿宋_GB2312" w:hAnsi="仿宋" w:eastAsia="仿宋_GB2312"/>
              </w:rPr>
              <w:t>实训中心二楼创新实验室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5" w:type="dxa"/>
            <w:vMerge w:val="continue"/>
            <w:vAlign w:val="center"/>
          </w:tcPr>
          <w:p>
            <w:pPr>
              <w:pStyle w:val="11"/>
              <w:adjustRightInd/>
              <w:jc w:val="center"/>
              <w:rPr>
                <w:rFonts w:ascii="仿宋_GB2312" w:hAnsi="仿宋" w:eastAsia="仿宋_GB2312"/>
              </w:rPr>
            </w:pPr>
          </w:p>
        </w:tc>
        <w:tc>
          <w:tcPr>
            <w:tcW w:w="1843" w:type="dxa"/>
            <w:vAlign w:val="center"/>
          </w:tcPr>
          <w:p>
            <w:pPr>
              <w:pStyle w:val="11"/>
              <w:adjustRightInd/>
              <w:jc w:val="center"/>
              <w:rPr>
                <w:rFonts w:ascii="仿宋_GB2312" w:hAnsi="仿宋" w:eastAsia="仿宋_GB2312"/>
              </w:rPr>
            </w:pPr>
            <w:r>
              <w:rPr>
                <w:rFonts w:hint="eastAsia" w:ascii="仿宋_GB2312" w:hAnsi="仿宋" w:eastAsia="仿宋_GB2312"/>
              </w:rPr>
              <w:t>17:30</w:t>
            </w:r>
          </w:p>
        </w:tc>
        <w:tc>
          <w:tcPr>
            <w:tcW w:w="5376" w:type="dxa"/>
            <w:gridSpan w:val="3"/>
            <w:vAlign w:val="center"/>
          </w:tcPr>
          <w:p>
            <w:pPr>
              <w:pStyle w:val="11"/>
              <w:adjustRightInd/>
              <w:jc w:val="center"/>
              <w:rPr>
                <w:rFonts w:ascii="仿宋_GB2312" w:hAnsi="仿宋" w:eastAsia="仿宋_GB2312"/>
              </w:rPr>
            </w:pPr>
            <w:r>
              <w:rPr>
                <w:rFonts w:hint="eastAsia" w:ascii="仿宋_GB2312" w:hAnsi="仿宋" w:eastAsia="仿宋_GB2312"/>
              </w:rPr>
              <w:t>色谱仿真软件操作考试检录</w:t>
            </w:r>
          </w:p>
        </w:tc>
        <w:tc>
          <w:tcPr>
            <w:tcW w:w="3829" w:type="dxa"/>
            <w:gridSpan w:val="2"/>
            <w:vAlign w:val="center"/>
          </w:tcPr>
          <w:p>
            <w:pPr>
              <w:pStyle w:val="11"/>
              <w:adjustRightInd/>
              <w:jc w:val="center"/>
              <w:rPr>
                <w:rFonts w:ascii="仿宋_GB2312" w:hAnsi="仿宋" w:eastAsia="仿宋_GB2312"/>
              </w:rPr>
            </w:pPr>
            <w:r>
              <w:rPr>
                <w:rFonts w:hint="eastAsia" w:ascii="仿宋_GB2312" w:hAnsi="仿宋" w:eastAsia="仿宋_GB2312"/>
              </w:rPr>
              <w:t>选手</w:t>
            </w:r>
          </w:p>
        </w:tc>
        <w:tc>
          <w:tcPr>
            <w:tcW w:w="3779" w:type="dxa"/>
            <w:gridSpan w:val="2"/>
            <w:vAlign w:val="center"/>
          </w:tcPr>
          <w:p>
            <w:pPr>
              <w:pStyle w:val="11"/>
              <w:adjustRightInd/>
              <w:jc w:val="center"/>
              <w:rPr>
                <w:rFonts w:ascii="仿宋_GB2312" w:hAnsi="仿宋" w:eastAsia="仿宋_GB2312"/>
              </w:rPr>
            </w:pPr>
            <w:r>
              <w:rPr>
                <w:rFonts w:hint="eastAsia" w:ascii="仿宋_GB2312" w:hAnsi="仿宋" w:eastAsia="仿宋_GB2312"/>
              </w:rPr>
              <w:t>实训中心二楼大厅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5" w:type="dxa"/>
            <w:vMerge w:val="continue"/>
            <w:vAlign w:val="center"/>
          </w:tcPr>
          <w:p>
            <w:pPr>
              <w:pStyle w:val="11"/>
              <w:adjustRightInd/>
              <w:jc w:val="center"/>
              <w:rPr>
                <w:rFonts w:ascii="仿宋_GB2312" w:hAnsi="仿宋" w:eastAsia="仿宋_GB2312"/>
              </w:rPr>
            </w:pPr>
          </w:p>
        </w:tc>
        <w:tc>
          <w:tcPr>
            <w:tcW w:w="1843" w:type="dxa"/>
            <w:vAlign w:val="center"/>
          </w:tcPr>
          <w:p>
            <w:pPr>
              <w:pStyle w:val="11"/>
              <w:adjustRightInd/>
              <w:jc w:val="center"/>
              <w:rPr>
                <w:rFonts w:ascii="仿宋_GB2312" w:hAnsi="仿宋" w:eastAsia="仿宋_GB2312"/>
              </w:rPr>
            </w:pPr>
            <w:r>
              <w:rPr>
                <w:rFonts w:hint="eastAsia" w:ascii="仿宋_GB2312" w:hAnsi="仿宋" w:eastAsia="仿宋_GB2312"/>
              </w:rPr>
              <w:t>18:00-19:00</w:t>
            </w:r>
          </w:p>
        </w:tc>
        <w:tc>
          <w:tcPr>
            <w:tcW w:w="5376" w:type="dxa"/>
            <w:gridSpan w:val="3"/>
            <w:vAlign w:val="center"/>
          </w:tcPr>
          <w:p>
            <w:pPr>
              <w:pStyle w:val="11"/>
              <w:adjustRightInd/>
              <w:jc w:val="center"/>
              <w:rPr>
                <w:rFonts w:ascii="仿宋_GB2312" w:hAnsi="仿宋" w:eastAsia="仿宋_GB2312"/>
              </w:rPr>
            </w:pPr>
            <w:r>
              <w:rPr>
                <w:rFonts w:hint="eastAsia" w:ascii="仿宋_GB2312" w:hAnsi="仿宋" w:eastAsia="仿宋_GB2312"/>
              </w:rPr>
              <w:t>色谱仿真软件操作考试</w:t>
            </w:r>
          </w:p>
        </w:tc>
        <w:tc>
          <w:tcPr>
            <w:tcW w:w="3829" w:type="dxa"/>
            <w:gridSpan w:val="2"/>
            <w:vAlign w:val="center"/>
          </w:tcPr>
          <w:p>
            <w:pPr>
              <w:pStyle w:val="11"/>
              <w:adjustRightInd/>
              <w:jc w:val="center"/>
              <w:rPr>
                <w:rFonts w:ascii="仿宋_GB2312" w:hAnsi="仿宋" w:eastAsia="仿宋_GB2312"/>
              </w:rPr>
            </w:pPr>
            <w:r>
              <w:rPr>
                <w:rFonts w:hint="eastAsia" w:ascii="仿宋_GB2312" w:hAnsi="仿宋" w:eastAsia="仿宋_GB2312"/>
              </w:rPr>
              <w:t>选手</w:t>
            </w:r>
          </w:p>
        </w:tc>
        <w:tc>
          <w:tcPr>
            <w:tcW w:w="3779" w:type="dxa"/>
            <w:gridSpan w:val="2"/>
            <w:vAlign w:val="center"/>
          </w:tcPr>
          <w:p>
            <w:pPr>
              <w:pStyle w:val="11"/>
              <w:adjustRightInd/>
              <w:jc w:val="center"/>
              <w:rPr>
                <w:rFonts w:ascii="仿宋_GB2312" w:hAnsi="仿宋" w:eastAsia="仿宋_GB2312"/>
              </w:rPr>
            </w:pPr>
            <w:r>
              <w:rPr>
                <w:rFonts w:hint="eastAsia" w:ascii="仿宋_GB2312" w:hAnsi="仿宋" w:eastAsia="仿宋_GB2312"/>
              </w:rPr>
              <w:t>实训中心机房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5" w:type="dxa"/>
            <w:vMerge w:val="continue"/>
            <w:vAlign w:val="center"/>
          </w:tcPr>
          <w:p>
            <w:pPr>
              <w:pStyle w:val="11"/>
              <w:adjustRightInd/>
              <w:jc w:val="center"/>
              <w:rPr>
                <w:rFonts w:ascii="仿宋_GB2312" w:hAnsi="仿宋" w:eastAsia="仿宋_GB2312"/>
              </w:rPr>
            </w:pPr>
          </w:p>
        </w:tc>
        <w:tc>
          <w:tcPr>
            <w:tcW w:w="1843" w:type="dxa"/>
            <w:vAlign w:val="center"/>
          </w:tcPr>
          <w:p>
            <w:pPr>
              <w:pStyle w:val="11"/>
              <w:adjustRightInd/>
              <w:jc w:val="center"/>
              <w:rPr>
                <w:rFonts w:ascii="仿宋_GB2312" w:hAnsi="仿宋" w:eastAsia="仿宋_GB2312"/>
              </w:rPr>
            </w:pPr>
            <w:r>
              <w:rPr>
                <w:rFonts w:hint="eastAsia" w:ascii="仿宋_GB2312" w:hAnsi="仿宋" w:eastAsia="仿宋_GB2312"/>
              </w:rPr>
              <w:t>19:20</w:t>
            </w:r>
          </w:p>
        </w:tc>
        <w:tc>
          <w:tcPr>
            <w:tcW w:w="12984" w:type="dxa"/>
            <w:gridSpan w:val="7"/>
            <w:vAlign w:val="center"/>
          </w:tcPr>
          <w:p>
            <w:pPr>
              <w:pStyle w:val="11"/>
              <w:adjustRightInd/>
              <w:jc w:val="center"/>
              <w:rPr>
                <w:rFonts w:ascii="仿宋_GB2312" w:hAnsi="仿宋" w:eastAsia="仿宋_GB2312"/>
              </w:rPr>
            </w:pPr>
            <w:r>
              <w:rPr>
                <w:rFonts w:hint="eastAsia" w:ascii="仿宋_GB2312" w:hAnsi="仿宋" w:eastAsia="仿宋_GB2312"/>
              </w:rPr>
              <w:t>乘车返回酒店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5" w:type="dxa"/>
            <w:vMerge w:val="restart"/>
            <w:vAlign w:val="center"/>
          </w:tcPr>
          <w:p>
            <w:pPr>
              <w:pStyle w:val="11"/>
              <w:adjustRightInd/>
              <w:jc w:val="center"/>
              <w:rPr>
                <w:rFonts w:ascii="仿宋_GB2312" w:hAnsi="仿宋" w:eastAsia="仿宋_GB2312"/>
              </w:rPr>
            </w:pPr>
            <w:r>
              <w:rPr>
                <w:rFonts w:hint="eastAsia" w:ascii="仿宋_GB2312" w:hAnsi="仿宋" w:eastAsia="仿宋_GB2312"/>
              </w:rPr>
              <w:t>11月</w:t>
            </w:r>
          </w:p>
          <w:p>
            <w:pPr>
              <w:pStyle w:val="11"/>
              <w:jc w:val="center"/>
              <w:rPr>
                <w:rFonts w:ascii="仿宋_GB2312" w:hAnsi="仿宋" w:eastAsia="仿宋_GB2312"/>
              </w:rPr>
            </w:pPr>
            <w:r>
              <w:rPr>
                <w:rFonts w:hint="eastAsia" w:ascii="仿宋_GB2312" w:hAnsi="仿宋" w:eastAsia="仿宋_GB2312"/>
              </w:rPr>
              <w:t>13日</w:t>
            </w:r>
          </w:p>
        </w:tc>
        <w:tc>
          <w:tcPr>
            <w:tcW w:w="7219" w:type="dxa"/>
            <w:gridSpan w:val="4"/>
            <w:vAlign w:val="center"/>
          </w:tcPr>
          <w:p>
            <w:pPr>
              <w:pStyle w:val="11"/>
              <w:adjustRightInd/>
              <w:jc w:val="center"/>
              <w:rPr>
                <w:rFonts w:ascii="仿宋_GB2312" w:hAnsi="仿宋" w:eastAsia="仿宋_GB2312"/>
              </w:rPr>
            </w:pPr>
            <w:r>
              <w:rPr>
                <w:rFonts w:hint="eastAsia" w:ascii="仿宋_GB2312" w:hAnsi="仿宋" w:eastAsia="仿宋_GB2312"/>
              </w:rPr>
              <w:t>A组</w:t>
            </w:r>
          </w:p>
        </w:tc>
        <w:tc>
          <w:tcPr>
            <w:tcW w:w="7608" w:type="dxa"/>
            <w:gridSpan w:val="4"/>
            <w:vAlign w:val="center"/>
          </w:tcPr>
          <w:p>
            <w:pPr>
              <w:pStyle w:val="11"/>
              <w:adjustRightInd/>
              <w:jc w:val="center"/>
              <w:rPr>
                <w:rFonts w:ascii="仿宋_GB2312" w:hAnsi="仿宋" w:eastAsia="仿宋_GB2312"/>
              </w:rPr>
            </w:pPr>
            <w:r>
              <w:rPr>
                <w:rFonts w:hint="eastAsia" w:ascii="仿宋_GB2312" w:hAnsi="仿宋" w:eastAsia="仿宋_GB2312"/>
              </w:rPr>
              <w:t>B组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5" w:type="dxa"/>
            <w:vMerge w:val="continue"/>
            <w:vAlign w:val="center"/>
          </w:tcPr>
          <w:p>
            <w:pPr>
              <w:pStyle w:val="11"/>
              <w:jc w:val="center"/>
              <w:rPr>
                <w:rFonts w:ascii="仿宋_GB2312" w:hAnsi="仿宋" w:eastAsia="仿宋_GB2312"/>
              </w:rPr>
            </w:pPr>
          </w:p>
        </w:tc>
        <w:tc>
          <w:tcPr>
            <w:tcW w:w="1843" w:type="dxa"/>
            <w:vAlign w:val="center"/>
          </w:tcPr>
          <w:p>
            <w:pPr>
              <w:pStyle w:val="11"/>
              <w:adjustRightInd/>
              <w:jc w:val="center"/>
              <w:rPr>
                <w:rFonts w:hint="eastAsia" w:ascii="黑体" w:hAnsi="黑体" w:eastAsia="黑体" w:cs="黑体"/>
                <w:b w:val="0"/>
                <w:bCs w:val="0"/>
                <w:color w:val="auto"/>
              </w:rPr>
            </w:pPr>
            <w:r>
              <w:rPr>
                <w:rFonts w:hint="eastAsia" w:ascii="黑体" w:hAnsi="黑体" w:eastAsia="黑体" w:cs="黑体"/>
                <w:b w:val="0"/>
                <w:bCs w:val="0"/>
                <w:color w:val="auto"/>
              </w:rPr>
              <w:t>时间</w:t>
            </w:r>
          </w:p>
        </w:tc>
        <w:tc>
          <w:tcPr>
            <w:tcW w:w="1547" w:type="dxa"/>
            <w:vAlign w:val="center"/>
          </w:tcPr>
          <w:p>
            <w:pPr>
              <w:pStyle w:val="11"/>
              <w:adjustRightInd/>
              <w:jc w:val="center"/>
              <w:rPr>
                <w:rFonts w:hint="eastAsia" w:ascii="黑体" w:hAnsi="黑体" w:eastAsia="黑体" w:cs="黑体"/>
                <w:b w:val="0"/>
                <w:bCs w:val="0"/>
                <w:color w:val="auto"/>
              </w:rPr>
            </w:pPr>
            <w:r>
              <w:rPr>
                <w:rFonts w:hint="eastAsia" w:ascii="黑体" w:hAnsi="黑体" w:eastAsia="黑体" w:cs="黑体"/>
                <w:b w:val="0"/>
                <w:bCs w:val="0"/>
                <w:color w:val="auto"/>
              </w:rPr>
              <w:t>事项</w:t>
            </w:r>
          </w:p>
        </w:tc>
        <w:tc>
          <w:tcPr>
            <w:tcW w:w="2127" w:type="dxa"/>
            <w:vAlign w:val="center"/>
          </w:tcPr>
          <w:p>
            <w:pPr>
              <w:pStyle w:val="11"/>
              <w:adjustRightInd/>
              <w:jc w:val="center"/>
              <w:rPr>
                <w:rFonts w:hint="eastAsia" w:ascii="黑体" w:hAnsi="黑体" w:eastAsia="黑体" w:cs="黑体"/>
                <w:b w:val="0"/>
                <w:bCs w:val="0"/>
              </w:rPr>
            </w:pPr>
            <w:r>
              <w:rPr>
                <w:rFonts w:hint="eastAsia" w:ascii="黑体" w:hAnsi="黑体" w:eastAsia="黑体" w:cs="黑体"/>
                <w:b w:val="0"/>
                <w:bCs w:val="0"/>
                <w:color w:val="auto"/>
              </w:rPr>
              <w:t>参加人员</w:t>
            </w:r>
          </w:p>
        </w:tc>
        <w:tc>
          <w:tcPr>
            <w:tcW w:w="1702" w:type="dxa"/>
            <w:vAlign w:val="center"/>
          </w:tcPr>
          <w:p>
            <w:pPr>
              <w:pStyle w:val="11"/>
              <w:adjustRightInd/>
              <w:jc w:val="center"/>
              <w:rPr>
                <w:rFonts w:hint="eastAsia" w:ascii="黑体" w:hAnsi="黑体" w:eastAsia="黑体" w:cs="黑体"/>
                <w:b w:val="0"/>
                <w:bCs w:val="0"/>
              </w:rPr>
            </w:pPr>
            <w:r>
              <w:rPr>
                <w:rFonts w:hint="eastAsia" w:ascii="黑体" w:hAnsi="黑体" w:eastAsia="黑体" w:cs="黑体"/>
                <w:b w:val="0"/>
                <w:bCs w:val="0"/>
                <w:color w:val="auto"/>
              </w:rPr>
              <w:t>地点</w:t>
            </w:r>
          </w:p>
        </w:tc>
        <w:tc>
          <w:tcPr>
            <w:tcW w:w="1701" w:type="dxa"/>
            <w:vAlign w:val="center"/>
          </w:tcPr>
          <w:p>
            <w:pPr>
              <w:pStyle w:val="11"/>
              <w:adjustRightInd/>
              <w:jc w:val="center"/>
              <w:rPr>
                <w:rFonts w:hint="eastAsia" w:ascii="黑体" w:hAnsi="黑体" w:eastAsia="黑体" w:cs="黑体"/>
                <w:b w:val="0"/>
                <w:bCs w:val="0"/>
                <w:color w:val="auto"/>
              </w:rPr>
            </w:pPr>
            <w:r>
              <w:rPr>
                <w:rFonts w:hint="eastAsia" w:ascii="黑体" w:hAnsi="黑体" w:eastAsia="黑体" w:cs="黑体"/>
                <w:b w:val="0"/>
                <w:bCs w:val="0"/>
                <w:color w:val="auto"/>
              </w:rPr>
              <w:t>时间</w:t>
            </w:r>
          </w:p>
        </w:tc>
        <w:tc>
          <w:tcPr>
            <w:tcW w:w="2128" w:type="dxa"/>
            <w:vAlign w:val="center"/>
          </w:tcPr>
          <w:p>
            <w:pPr>
              <w:pStyle w:val="11"/>
              <w:adjustRightInd/>
              <w:jc w:val="center"/>
              <w:rPr>
                <w:rFonts w:hint="eastAsia" w:ascii="黑体" w:hAnsi="黑体" w:eastAsia="黑体" w:cs="黑体"/>
                <w:b w:val="0"/>
                <w:bCs w:val="0"/>
                <w:color w:val="auto"/>
              </w:rPr>
            </w:pPr>
            <w:r>
              <w:rPr>
                <w:rFonts w:hint="eastAsia" w:ascii="黑体" w:hAnsi="黑体" w:eastAsia="黑体" w:cs="黑体"/>
                <w:b w:val="0"/>
                <w:bCs w:val="0"/>
                <w:color w:val="auto"/>
              </w:rPr>
              <w:t>事项</w:t>
            </w:r>
          </w:p>
        </w:tc>
        <w:tc>
          <w:tcPr>
            <w:tcW w:w="1982" w:type="dxa"/>
            <w:vAlign w:val="center"/>
          </w:tcPr>
          <w:p>
            <w:pPr>
              <w:pStyle w:val="11"/>
              <w:adjustRightInd/>
              <w:jc w:val="center"/>
              <w:rPr>
                <w:rFonts w:hint="eastAsia" w:ascii="黑体" w:hAnsi="黑体" w:eastAsia="黑体" w:cs="黑体"/>
                <w:b w:val="0"/>
                <w:bCs w:val="0"/>
              </w:rPr>
            </w:pPr>
            <w:r>
              <w:rPr>
                <w:rFonts w:hint="eastAsia" w:ascii="黑体" w:hAnsi="黑体" w:eastAsia="黑体" w:cs="黑体"/>
                <w:b w:val="0"/>
                <w:bCs w:val="0"/>
                <w:color w:val="auto"/>
              </w:rPr>
              <w:t>参加人员</w:t>
            </w:r>
          </w:p>
        </w:tc>
        <w:tc>
          <w:tcPr>
            <w:tcW w:w="1797" w:type="dxa"/>
            <w:vAlign w:val="center"/>
          </w:tcPr>
          <w:p>
            <w:pPr>
              <w:pStyle w:val="11"/>
              <w:adjustRightInd/>
              <w:jc w:val="center"/>
              <w:rPr>
                <w:rFonts w:hint="eastAsia" w:ascii="黑体" w:hAnsi="黑体" w:eastAsia="黑体" w:cs="黑体"/>
                <w:b w:val="0"/>
                <w:bCs w:val="0"/>
              </w:rPr>
            </w:pPr>
            <w:r>
              <w:rPr>
                <w:rFonts w:hint="eastAsia" w:ascii="黑体" w:hAnsi="黑体" w:eastAsia="黑体" w:cs="黑体"/>
                <w:b w:val="0"/>
                <w:bCs w:val="0"/>
                <w:color w:val="auto"/>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5" w:type="dxa"/>
            <w:vMerge w:val="continue"/>
            <w:vAlign w:val="center"/>
          </w:tcPr>
          <w:p>
            <w:pPr>
              <w:pStyle w:val="11"/>
              <w:jc w:val="center"/>
              <w:rPr>
                <w:rFonts w:ascii="仿宋_GB2312" w:hAnsi="仿宋" w:eastAsia="仿宋_GB2312"/>
              </w:rPr>
            </w:pPr>
          </w:p>
        </w:tc>
        <w:tc>
          <w:tcPr>
            <w:tcW w:w="1843" w:type="dxa"/>
            <w:vAlign w:val="center"/>
          </w:tcPr>
          <w:p>
            <w:pPr>
              <w:pStyle w:val="11"/>
              <w:adjustRightInd/>
              <w:jc w:val="center"/>
              <w:rPr>
                <w:rFonts w:ascii="仿宋_GB2312" w:hAnsi="仿宋" w:eastAsia="仿宋_GB2312"/>
              </w:rPr>
            </w:pPr>
            <w:r>
              <w:rPr>
                <w:rFonts w:hint="eastAsia" w:ascii="仿宋_GB2312" w:hAnsi="仿宋" w:eastAsia="仿宋_GB2312"/>
              </w:rPr>
              <w:t>7:30</w:t>
            </w:r>
          </w:p>
        </w:tc>
        <w:tc>
          <w:tcPr>
            <w:tcW w:w="1547" w:type="dxa"/>
            <w:vAlign w:val="center"/>
          </w:tcPr>
          <w:p>
            <w:pPr>
              <w:pStyle w:val="11"/>
              <w:adjustRightInd/>
              <w:jc w:val="center"/>
              <w:rPr>
                <w:rFonts w:ascii="仿宋_GB2312" w:hAnsi="仿宋" w:eastAsia="仿宋_GB2312"/>
              </w:rPr>
            </w:pPr>
            <w:r>
              <w:rPr>
                <w:rFonts w:hint="eastAsia" w:ascii="仿宋_GB2312" w:hAnsi="仿宋" w:eastAsia="仿宋_GB2312"/>
              </w:rPr>
              <w:t>参赛队乘车</w:t>
            </w:r>
          </w:p>
        </w:tc>
        <w:tc>
          <w:tcPr>
            <w:tcW w:w="2127" w:type="dxa"/>
            <w:vAlign w:val="center"/>
          </w:tcPr>
          <w:p>
            <w:pPr>
              <w:pStyle w:val="11"/>
              <w:adjustRightInd/>
              <w:jc w:val="center"/>
              <w:rPr>
                <w:rFonts w:ascii="仿宋_GB2312" w:hAnsi="仿宋" w:eastAsia="仿宋_GB2312"/>
              </w:rPr>
            </w:pPr>
            <w:r>
              <w:rPr>
                <w:rFonts w:hint="eastAsia" w:ascii="仿宋_GB2312" w:hAnsi="仿宋" w:eastAsia="仿宋_GB2312"/>
              </w:rPr>
              <w:t>各参赛队</w:t>
            </w:r>
          </w:p>
        </w:tc>
        <w:tc>
          <w:tcPr>
            <w:tcW w:w="1702" w:type="dxa"/>
            <w:vAlign w:val="center"/>
          </w:tcPr>
          <w:p>
            <w:pPr>
              <w:pStyle w:val="11"/>
              <w:adjustRightInd/>
              <w:jc w:val="center"/>
              <w:rPr>
                <w:rFonts w:ascii="仿宋_GB2312" w:hAnsi="仿宋" w:eastAsia="仿宋_GB2312"/>
              </w:rPr>
            </w:pPr>
            <w:r>
              <w:rPr>
                <w:rFonts w:hint="eastAsia" w:ascii="仿宋_GB2312" w:hAnsi="仿宋" w:eastAsia="仿宋_GB2312"/>
              </w:rPr>
              <w:t>住宿酒店</w:t>
            </w:r>
          </w:p>
        </w:tc>
        <w:tc>
          <w:tcPr>
            <w:tcW w:w="1701" w:type="dxa"/>
            <w:vAlign w:val="center"/>
          </w:tcPr>
          <w:p>
            <w:pPr>
              <w:pStyle w:val="11"/>
              <w:adjustRightInd/>
              <w:jc w:val="center"/>
              <w:rPr>
                <w:rFonts w:ascii="仿宋_GB2312" w:hAnsi="仿宋" w:eastAsia="仿宋_GB2312"/>
              </w:rPr>
            </w:pPr>
            <w:r>
              <w:rPr>
                <w:rFonts w:hint="eastAsia" w:ascii="仿宋_GB2312" w:hAnsi="仿宋" w:eastAsia="仿宋_GB2312"/>
              </w:rPr>
              <w:t>7:30</w:t>
            </w:r>
          </w:p>
        </w:tc>
        <w:tc>
          <w:tcPr>
            <w:tcW w:w="2128" w:type="dxa"/>
            <w:vAlign w:val="center"/>
          </w:tcPr>
          <w:p>
            <w:pPr>
              <w:pStyle w:val="11"/>
              <w:adjustRightInd/>
              <w:jc w:val="center"/>
              <w:rPr>
                <w:rFonts w:ascii="仿宋_GB2312" w:hAnsi="仿宋" w:eastAsia="仿宋_GB2312"/>
              </w:rPr>
            </w:pPr>
            <w:r>
              <w:rPr>
                <w:rFonts w:hint="eastAsia" w:ascii="仿宋_GB2312" w:hAnsi="仿宋" w:eastAsia="仿宋_GB2312"/>
              </w:rPr>
              <w:t>参赛队乘车</w:t>
            </w:r>
          </w:p>
        </w:tc>
        <w:tc>
          <w:tcPr>
            <w:tcW w:w="1982" w:type="dxa"/>
            <w:vAlign w:val="center"/>
          </w:tcPr>
          <w:p>
            <w:pPr>
              <w:pStyle w:val="11"/>
              <w:adjustRightInd/>
              <w:jc w:val="center"/>
              <w:rPr>
                <w:rFonts w:ascii="仿宋_GB2312" w:hAnsi="仿宋" w:eastAsia="仿宋_GB2312"/>
              </w:rPr>
            </w:pPr>
            <w:r>
              <w:rPr>
                <w:rFonts w:hint="eastAsia" w:ascii="仿宋_GB2312" w:hAnsi="仿宋" w:eastAsia="仿宋_GB2312"/>
              </w:rPr>
              <w:t>各参赛队</w:t>
            </w:r>
          </w:p>
        </w:tc>
        <w:tc>
          <w:tcPr>
            <w:tcW w:w="1797" w:type="dxa"/>
            <w:vAlign w:val="center"/>
          </w:tcPr>
          <w:p>
            <w:pPr>
              <w:pStyle w:val="11"/>
              <w:adjustRightInd/>
              <w:jc w:val="center"/>
              <w:rPr>
                <w:rFonts w:ascii="仿宋_GB2312" w:hAnsi="仿宋" w:eastAsia="仿宋_GB2312"/>
              </w:rPr>
            </w:pPr>
            <w:r>
              <w:rPr>
                <w:rFonts w:hint="eastAsia" w:ascii="仿宋_GB2312" w:hAnsi="仿宋" w:eastAsia="仿宋_GB2312"/>
              </w:rPr>
              <w:t>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5" w:type="dxa"/>
            <w:vMerge w:val="continue"/>
            <w:vAlign w:val="center"/>
          </w:tcPr>
          <w:p>
            <w:pPr>
              <w:pStyle w:val="11"/>
              <w:adjustRightInd/>
              <w:jc w:val="center"/>
              <w:rPr>
                <w:rFonts w:ascii="仿宋_GB2312" w:hAnsi="仿宋" w:eastAsia="仿宋_GB2312"/>
              </w:rPr>
            </w:pPr>
          </w:p>
        </w:tc>
        <w:tc>
          <w:tcPr>
            <w:tcW w:w="1843" w:type="dxa"/>
            <w:vAlign w:val="center"/>
          </w:tcPr>
          <w:p>
            <w:pPr>
              <w:pStyle w:val="11"/>
              <w:adjustRightInd/>
              <w:jc w:val="center"/>
              <w:rPr>
                <w:rFonts w:ascii="仿宋_GB2312" w:hAnsi="仿宋" w:eastAsia="仿宋_GB2312"/>
              </w:rPr>
            </w:pPr>
            <w:r>
              <w:rPr>
                <w:rFonts w:hint="eastAsia" w:ascii="仿宋_GB2312" w:hAnsi="仿宋" w:eastAsia="仿宋_GB2312"/>
              </w:rPr>
              <w:t>8:00开始</w:t>
            </w:r>
          </w:p>
        </w:tc>
        <w:tc>
          <w:tcPr>
            <w:tcW w:w="1547" w:type="dxa"/>
            <w:vAlign w:val="center"/>
          </w:tcPr>
          <w:p>
            <w:pPr>
              <w:pStyle w:val="11"/>
              <w:adjustRightInd/>
              <w:jc w:val="center"/>
              <w:rPr>
                <w:rFonts w:ascii="仿宋_GB2312" w:hAnsi="仿宋" w:eastAsia="仿宋_GB2312"/>
              </w:rPr>
            </w:pPr>
            <w:r>
              <w:rPr>
                <w:rFonts w:hint="eastAsia" w:ascii="仿宋_GB2312" w:hAnsi="仿宋" w:eastAsia="仿宋_GB2312"/>
              </w:rPr>
              <w:t>开幕式进场</w:t>
            </w:r>
          </w:p>
        </w:tc>
        <w:tc>
          <w:tcPr>
            <w:tcW w:w="2127" w:type="dxa"/>
          </w:tcPr>
          <w:p>
            <w:pPr>
              <w:pStyle w:val="11"/>
              <w:adjustRightInd/>
              <w:jc w:val="center"/>
              <w:rPr>
                <w:rFonts w:ascii="仿宋_GB2312" w:hAnsi="仿宋" w:eastAsia="仿宋_GB2312"/>
              </w:rPr>
            </w:pPr>
            <w:r>
              <w:rPr>
                <w:rFonts w:hint="eastAsia" w:ascii="仿宋_GB2312" w:hAnsi="仿宋" w:eastAsia="仿宋_GB2312"/>
              </w:rPr>
              <w:t>裁判、各参赛队领队、辅导教师、参赛选手</w:t>
            </w:r>
          </w:p>
        </w:tc>
        <w:tc>
          <w:tcPr>
            <w:tcW w:w="1702" w:type="dxa"/>
          </w:tcPr>
          <w:p>
            <w:pPr>
              <w:pStyle w:val="11"/>
              <w:adjustRightInd/>
              <w:jc w:val="center"/>
              <w:rPr>
                <w:rFonts w:ascii="仿宋_GB2312" w:hAnsi="仿宋" w:eastAsia="仿宋_GB2312"/>
              </w:rPr>
            </w:pPr>
            <w:r>
              <w:rPr>
                <w:rFonts w:hint="eastAsia" w:ascii="仿宋_GB2312" w:hAnsi="仿宋_GB2312" w:eastAsia="仿宋_GB2312" w:cs="仿宋_GB2312"/>
              </w:rPr>
              <w:t>会议室</w:t>
            </w:r>
          </w:p>
        </w:tc>
        <w:tc>
          <w:tcPr>
            <w:tcW w:w="1701" w:type="dxa"/>
            <w:vAlign w:val="center"/>
          </w:tcPr>
          <w:p>
            <w:pPr>
              <w:pStyle w:val="11"/>
              <w:adjustRightInd/>
              <w:jc w:val="center"/>
              <w:rPr>
                <w:rFonts w:ascii="仿宋_GB2312" w:hAnsi="仿宋" w:eastAsia="仿宋_GB2312"/>
              </w:rPr>
            </w:pPr>
            <w:r>
              <w:rPr>
                <w:rFonts w:hint="eastAsia" w:ascii="仿宋_GB2312" w:hAnsi="仿宋" w:eastAsia="仿宋_GB2312"/>
              </w:rPr>
              <w:t>8:00开始</w:t>
            </w:r>
          </w:p>
        </w:tc>
        <w:tc>
          <w:tcPr>
            <w:tcW w:w="2128" w:type="dxa"/>
            <w:vAlign w:val="center"/>
          </w:tcPr>
          <w:p>
            <w:pPr>
              <w:pStyle w:val="11"/>
              <w:adjustRightInd/>
              <w:jc w:val="center"/>
              <w:rPr>
                <w:rFonts w:ascii="仿宋_GB2312" w:hAnsi="仿宋" w:eastAsia="仿宋_GB2312"/>
              </w:rPr>
            </w:pPr>
            <w:r>
              <w:rPr>
                <w:rFonts w:hint="eastAsia" w:ascii="仿宋_GB2312" w:hAnsi="仿宋" w:eastAsia="仿宋_GB2312"/>
              </w:rPr>
              <w:t>大赛抽签、检录进场</w:t>
            </w:r>
          </w:p>
        </w:tc>
        <w:tc>
          <w:tcPr>
            <w:tcW w:w="1982" w:type="dxa"/>
            <w:vAlign w:val="center"/>
          </w:tcPr>
          <w:p>
            <w:pPr>
              <w:pStyle w:val="11"/>
              <w:adjustRightInd/>
              <w:jc w:val="center"/>
              <w:rPr>
                <w:rFonts w:ascii="仿宋_GB2312" w:hAnsi="仿宋_GB2312" w:eastAsia="仿宋_GB2312" w:cs="仿宋_GB2312"/>
                <w:color w:val="auto"/>
              </w:rPr>
            </w:pPr>
            <w:r>
              <w:rPr>
                <w:rFonts w:hint="eastAsia" w:ascii="仿宋_GB2312" w:hAnsi="仿宋" w:eastAsia="仿宋_GB2312"/>
              </w:rPr>
              <w:t>参赛选手和裁判抽签</w:t>
            </w:r>
          </w:p>
        </w:tc>
        <w:tc>
          <w:tcPr>
            <w:tcW w:w="1797" w:type="dxa"/>
            <w:vAlign w:val="center"/>
          </w:tcPr>
          <w:p>
            <w:pPr>
              <w:pStyle w:val="11"/>
              <w:adjustRightInd/>
              <w:jc w:val="center"/>
              <w:rPr>
                <w:rFonts w:ascii="仿宋_GB2312" w:hAnsi="仿宋_GB2312" w:eastAsia="仿宋_GB2312" w:cs="仿宋_GB2312"/>
                <w:color w:val="auto"/>
              </w:rPr>
            </w:pPr>
            <w:r>
              <w:rPr>
                <w:rFonts w:hint="eastAsia" w:ascii="仿宋_GB2312" w:hAnsi="仿宋" w:eastAsia="仿宋_GB2312"/>
              </w:rPr>
              <w:t>1号实训楼大厅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5" w:type="dxa"/>
            <w:vMerge w:val="continue"/>
            <w:vAlign w:val="center"/>
          </w:tcPr>
          <w:p>
            <w:pPr>
              <w:pStyle w:val="11"/>
              <w:adjustRightInd/>
              <w:jc w:val="center"/>
              <w:rPr>
                <w:rFonts w:ascii="仿宋_GB2312" w:hAnsi="仿宋" w:eastAsia="仿宋_GB2312"/>
              </w:rPr>
            </w:pPr>
          </w:p>
        </w:tc>
        <w:tc>
          <w:tcPr>
            <w:tcW w:w="1843" w:type="dxa"/>
            <w:vAlign w:val="center"/>
          </w:tcPr>
          <w:p>
            <w:pPr>
              <w:pStyle w:val="11"/>
              <w:adjustRightInd/>
              <w:jc w:val="center"/>
              <w:rPr>
                <w:rFonts w:ascii="仿宋_GB2312" w:hAnsi="仿宋" w:eastAsia="仿宋_GB2312"/>
              </w:rPr>
            </w:pPr>
            <w:r>
              <w:rPr>
                <w:rFonts w:hint="eastAsia" w:ascii="仿宋_GB2312" w:hAnsi="仿宋" w:eastAsia="仿宋_GB2312"/>
              </w:rPr>
              <w:t>8:30-10:00</w:t>
            </w:r>
          </w:p>
        </w:tc>
        <w:tc>
          <w:tcPr>
            <w:tcW w:w="1547" w:type="dxa"/>
            <w:vAlign w:val="center"/>
          </w:tcPr>
          <w:p>
            <w:pPr>
              <w:pStyle w:val="11"/>
              <w:adjustRightInd/>
              <w:jc w:val="center"/>
              <w:rPr>
                <w:rFonts w:ascii="仿宋_GB2312" w:hAnsi="仿宋" w:eastAsia="仿宋_GB2312"/>
              </w:rPr>
            </w:pPr>
            <w:r>
              <w:rPr>
                <w:rFonts w:hint="eastAsia" w:ascii="仿宋_GB2312" w:hAnsi="仿宋" w:eastAsia="仿宋_GB2312"/>
              </w:rPr>
              <w:t>开幕式</w:t>
            </w:r>
          </w:p>
        </w:tc>
        <w:tc>
          <w:tcPr>
            <w:tcW w:w="2127" w:type="dxa"/>
          </w:tcPr>
          <w:p>
            <w:pPr>
              <w:pStyle w:val="11"/>
              <w:adjustRightInd/>
              <w:jc w:val="center"/>
              <w:rPr>
                <w:rFonts w:ascii="仿宋_GB2312" w:hAnsi="仿宋_GB2312" w:eastAsia="仿宋_GB2312" w:cs="仿宋_GB2312"/>
                <w:color w:val="auto"/>
              </w:rPr>
            </w:pPr>
            <w:r>
              <w:rPr>
                <w:rFonts w:hint="eastAsia" w:ascii="仿宋_GB2312" w:hAnsi="仿宋" w:eastAsia="仿宋_GB2312"/>
              </w:rPr>
              <w:t>裁判、各参赛队领队、辅导教师、参赛选手</w:t>
            </w:r>
          </w:p>
        </w:tc>
        <w:tc>
          <w:tcPr>
            <w:tcW w:w="1702" w:type="dxa"/>
          </w:tcPr>
          <w:p>
            <w:pPr>
              <w:pStyle w:val="11"/>
              <w:adjustRightInd/>
              <w:jc w:val="center"/>
              <w:rPr>
                <w:rFonts w:ascii="仿宋_GB2312" w:hAnsi="仿宋_GB2312" w:eastAsia="仿宋_GB2312" w:cs="仿宋_GB2312"/>
                <w:color w:val="auto"/>
              </w:rPr>
            </w:pPr>
            <w:r>
              <w:rPr>
                <w:rFonts w:hint="eastAsia" w:ascii="仿宋_GB2312" w:hAnsi="仿宋_GB2312" w:eastAsia="仿宋_GB2312" w:cs="仿宋_GB2312"/>
              </w:rPr>
              <w:t>会议室</w:t>
            </w:r>
          </w:p>
        </w:tc>
        <w:tc>
          <w:tcPr>
            <w:tcW w:w="1701" w:type="dxa"/>
            <w:vAlign w:val="center"/>
          </w:tcPr>
          <w:p>
            <w:pPr>
              <w:pStyle w:val="11"/>
              <w:adjustRightInd/>
              <w:jc w:val="center"/>
              <w:rPr>
                <w:rFonts w:ascii="仿宋_GB2312" w:hAnsi="仿宋" w:eastAsia="仿宋_GB2312"/>
                <w:color w:val="auto"/>
              </w:rPr>
            </w:pPr>
            <w:r>
              <w:rPr>
                <w:rFonts w:hint="eastAsia" w:ascii="仿宋_GB2312" w:hAnsi="仿宋" w:eastAsia="仿宋_GB2312"/>
                <w:color w:val="auto"/>
              </w:rPr>
              <w:t>8:30-12:00</w:t>
            </w:r>
          </w:p>
        </w:tc>
        <w:tc>
          <w:tcPr>
            <w:tcW w:w="2128" w:type="dxa"/>
            <w:vAlign w:val="center"/>
          </w:tcPr>
          <w:p>
            <w:pPr>
              <w:pStyle w:val="11"/>
              <w:adjustRightInd/>
              <w:jc w:val="center"/>
              <w:rPr>
                <w:rFonts w:ascii="仿宋_GB2312" w:hAnsi="仿宋" w:eastAsia="仿宋_GB2312"/>
                <w:color w:val="auto"/>
              </w:rPr>
            </w:pPr>
            <w:r>
              <w:rPr>
                <w:rFonts w:hint="eastAsia" w:ascii="仿宋_GB2312" w:hAnsi="仿宋" w:eastAsia="仿宋_GB2312"/>
                <w:color w:val="auto"/>
              </w:rPr>
              <w:t>模块B考核，现场评分</w:t>
            </w:r>
          </w:p>
          <w:p>
            <w:pPr>
              <w:pStyle w:val="11"/>
              <w:adjustRightInd/>
              <w:jc w:val="center"/>
              <w:rPr>
                <w:rFonts w:ascii="仿宋_GB2312" w:hAnsi="仿宋" w:eastAsia="仿宋_GB2312"/>
                <w:color w:val="auto"/>
              </w:rPr>
            </w:pPr>
            <w:r>
              <w:rPr>
                <w:rFonts w:hint="eastAsia" w:ascii="仿宋_GB2312" w:hAnsi="仿宋" w:eastAsia="仿宋_GB2312"/>
                <w:color w:val="auto"/>
              </w:rPr>
              <w:t>模块C考核，现场评分</w:t>
            </w:r>
          </w:p>
          <w:p>
            <w:pPr>
              <w:pStyle w:val="11"/>
              <w:adjustRightInd/>
              <w:jc w:val="center"/>
              <w:rPr>
                <w:rFonts w:ascii="仿宋_GB2312" w:hAnsi="仿宋" w:eastAsia="仿宋_GB2312"/>
                <w:color w:val="auto"/>
              </w:rPr>
            </w:pPr>
          </w:p>
        </w:tc>
        <w:tc>
          <w:tcPr>
            <w:tcW w:w="1982" w:type="dxa"/>
            <w:vAlign w:val="center"/>
          </w:tcPr>
          <w:p>
            <w:pPr>
              <w:pStyle w:val="11"/>
              <w:adjustRightInd/>
              <w:jc w:val="center"/>
              <w:rPr>
                <w:rFonts w:ascii="仿宋_GB2312" w:hAnsi="仿宋_GB2312" w:eastAsia="仿宋_GB2312" w:cs="仿宋_GB2312"/>
                <w:color w:val="auto"/>
              </w:rPr>
            </w:pPr>
            <w:r>
              <w:rPr>
                <w:rFonts w:hint="eastAsia" w:ascii="仿宋_GB2312" w:hAnsi="仿宋" w:eastAsia="仿宋_GB2312"/>
                <w:color w:val="auto"/>
              </w:rPr>
              <w:t>各参赛选手，现场裁判</w:t>
            </w:r>
          </w:p>
        </w:tc>
        <w:tc>
          <w:tcPr>
            <w:tcW w:w="1797" w:type="dxa"/>
            <w:vAlign w:val="center"/>
          </w:tcPr>
          <w:p>
            <w:pPr>
              <w:pStyle w:val="11"/>
              <w:adjustRightInd/>
              <w:jc w:val="center"/>
              <w:rPr>
                <w:rFonts w:ascii="仿宋_GB2312" w:hAnsi="仿宋_GB2312" w:eastAsia="仿宋_GB2312" w:cs="仿宋_GB2312"/>
                <w:color w:val="auto"/>
              </w:rPr>
            </w:pPr>
            <w:r>
              <w:rPr>
                <w:rFonts w:hint="eastAsia" w:ascii="仿宋_GB2312" w:hAnsi="仿宋" w:eastAsia="仿宋_GB2312" w:cs="Times New Roman"/>
                <w:color w:val="auto"/>
              </w:rPr>
              <w:t>1号实训楼505、502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5" w:type="dxa"/>
            <w:vMerge w:val="continue"/>
            <w:vAlign w:val="center"/>
          </w:tcPr>
          <w:p>
            <w:pPr>
              <w:pStyle w:val="11"/>
              <w:adjustRightInd/>
              <w:jc w:val="center"/>
              <w:rPr>
                <w:rFonts w:ascii="仿宋_GB2312" w:hAnsi="仿宋" w:eastAsia="仿宋_GB2312"/>
              </w:rPr>
            </w:pPr>
          </w:p>
        </w:tc>
        <w:tc>
          <w:tcPr>
            <w:tcW w:w="1843" w:type="dxa"/>
            <w:vAlign w:val="center"/>
          </w:tcPr>
          <w:p>
            <w:pPr>
              <w:pStyle w:val="3"/>
              <w:ind w:firstLine="241"/>
              <w:jc w:val="center"/>
              <w:rPr>
                <w:rFonts w:ascii="仿宋_GB2312" w:hAnsi="仿宋" w:eastAsia="仿宋_GB2312"/>
                <w:sz w:val="24"/>
              </w:rPr>
            </w:pPr>
            <w:r>
              <w:rPr>
                <w:rFonts w:hint="eastAsia" w:ascii="仿宋_GB2312" w:hAnsi="仿宋" w:eastAsia="仿宋_GB2312"/>
                <w:sz w:val="24"/>
              </w:rPr>
              <w:t>10:00开始</w:t>
            </w:r>
          </w:p>
        </w:tc>
        <w:tc>
          <w:tcPr>
            <w:tcW w:w="1547" w:type="dxa"/>
            <w:vAlign w:val="center"/>
          </w:tcPr>
          <w:p>
            <w:pPr>
              <w:pStyle w:val="11"/>
              <w:adjustRightInd/>
              <w:jc w:val="center"/>
              <w:rPr>
                <w:rFonts w:ascii="仿宋_GB2312" w:hAnsi="仿宋" w:eastAsia="仿宋_GB2312"/>
              </w:rPr>
            </w:pPr>
            <w:r>
              <w:rPr>
                <w:rFonts w:hint="eastAsia" w:ascii="仿宋_GB2312" w:hAnsi="仿宋" w:eastAsia="仿宋_GB2312"/>
              </w:rPr>
              <w:t>大赛抽签、检录进场</w:t>
            </w:r>
          </w:p>
        </w:tc>
        <w:tc>
          <w:tcPr>
            <w:tcW w:w="2127" w:type="dxa"/>
            <w:vAlign w:val="center"/>
          </w:tcPr>
          <w:p>
            <w:pPr>
              <w:pStyle w:val="11"/>
              <w:adjustRightInd/>
              <w:jc w:val="center"/>
              <w:rPr>
                <w:rFonts w:ascii="仿宋_GB2312" w:hAnsi="仿宋" w:eastAsia="仿宋_GB2312"/>
              </w:rPr>
            </w:pPr>
            <w:r>
              <w:rPr>
                <w:rFonts w:hint="eastAsia" w:ascii="仿宋_GB2312" w:hAnsi="仿宋" w:eastAsia="仿宋_GB2312"/>
              </w:rPr>
              <w:t>参赛选手和裁判抽签</w:t>
            </w:r>
          </w:p>
        </w:tc>
        <w:tc>
          <w:tcPr>
            <w:tcW w:w="1702" w:type="dxa"/>
            <w:vAlign w:val="center"/>
          </w:tcPr>
          <w:p>
            <w:pPr>
              <w:pStyle w:val="11"/>
              <w:adjustRightInd/>
              <w:jc w:val="center"/>
              <w:rPr>
                <w:rFonts w:ascii="仿宋_GB2312" w:hAnsi="仿宋_GB2312" w:eastAsia="仿宋_GB2312" w:cs="仿宋_GB2312"/>
                <w:color w:val="auto"/>
              </w:rPr>
            </w:pPr>
            <w:r>
              <w:rPr>
                <w:rFonts w:hint="eastAsia" w:ascii="仿宋_GB2312" w:hAnsi="仿宋" w:eastAsia="仿宋_GB2312"/>
              </w:rPr>
              <w:t>1号实训楼大厅</w:t>
            </w:r>
          </w:p>
        </w:tc>
        <w:tc>
          <w:tcPr>
            <w:tcW w:w="1701" w:type="dxa"/>
            <w:vAlign w:val="center"/>
          </w:tcPr>
          <w:p>
            <w:pPr>
              <w:pStyle w:val="11"/>
              <w:adjustRightInd/>
              <w:jc w:val="center"/>
              <w:rPr>
                <w:rFonts w:ascii="仿宋_GB2312" w:hAnsi="仿宋" w:eastAsia="仿宋_GB2312"/>
                <w:color w:val="auto"/>
              </w:rPr>
            </w:pPr>
            <w:r>
              <w:rPr>
                <w:rFonts w:hint="eastAsia" w:ascii="仿宋_GB2312" w:hAnsi="仿宋" w:eastAsia="仿宋_GB2312"/>
                <w:color w:val="auto"/>
              </w:rPr>
              <w:t>12:00-13:00</w:t>
            </w:r>
          </w:p>
        </w:tc>
        <w:tc>
          <w:tcPr>
            <w:tcW w:w="2128" w:type="dxa"/>
            <w:vAlign w:val="center"/>
          </w:tcPr>
          <w:p>
            <w:pPr>
              <w:pStyle w:val="11"/>
              <w:adjustRightInd/>
              <w:jc w:val="center"/>
              <w:rPr>
                <w:rFonts w:ascii="仿宋_GB2312" w:hAnsi="仿宋" w:eastAsia="仿宋_GB2312"/>
                <w:color w:val="auto"/>
              </w:rPr>
            </w:pPr>
            <w:r>
              <w:rPr>
                <w:rFonts w:hint="eastAsia" w:ascii="仿宋_GB2312" w:hAnsi="仿宋" w:eastAsia="仿宋_GB2312"/>
                <w:color w:val="auto"/>
              </w:rPr>
              <w:t>午餐</w:t>
            </w:r>
          </w:p>
        </w:tc>
        <w:tc>
          <w:tcPr>
            <w:tcW w:w="1982" w:type="dxa"/>
            <w:vAlign w:val="center"/>
          </w:tcPr>
          <w:p>
            <w:pPr>
              <w:pStyle w:val="3"/>
              <w:rPr>
                <w:rFonts w:ascii="仿宋_GB2312" w:hAnsi="仿宋" w:eastAsia="仿宋_GB2312"/>
                <w:sz w:val="24"/>
              </w:rPr>
            </w:pPr>
            <w:r>
              <w:rPr>
                <w:rFonts w:hint="eastAsia" w:ascii="仿宋_GB2312" w:hAnsi="仿宋" w:eastAsia="仿宋_GB2312"/>
                <w:sz w:val="24"/>
              </w:rPr>
              <w:t>参赛选手、裁判</w:t>
            </w:r>
          </w:p>
          <w:p>
            <w:pPr>
              <w:pStyle w:val="11"/>
              <w:adjustRightInd/>
              <w:jc w:val="center"/>
              <w:rPr>
                <w:rFonts w:ascii="仿宋_GB2312" w:hAnsi="仿宋_GB2312" w:eastAsia="仿宋_GB2312" w:cs="仿宋_GB2312"/>
                <w:color w:val="auto"/>
              </w:rPr>
            </w:pPr>
            <w:r>
              <w:rPr>
                <w:rFonts w:hint="eastAsia" w:ascii="仿宋_GB2312" w:hAnsi="仿宋" w:eastAsia="仿宋_GB2312"/>
                <w:color w:val="auto"/>
              </w:rPr>
              <w:t>工作人员</w:t>
            </w:r>
          </w:p>
        </w:tc>
        <w:tc>
          <w:tcPr>
            <w:tcW w:w="1797" w:type="dxa"/>
            <w:vAlign w:val="center"/>
          </w:tcPr>
          <w:p>
            <w:pPr>
              <w:pStyle w:val="11"/>
              <w:adjustRightInd/>
              <w:jc w:val="center"/>
              <w:rPr>
                <w:rFonts w:ascii="仿宋_GB2312" w:hAnsi="仿宋_GB2312" w:eastAsia="仿宋_GB2312" w:cs="仿宋_GB2312"/>
                <w:color w:val="auto"/>
              </w:rPr>
            </w:pPr>
            <w:r>
              <w:rPr>
                <w:rFonts w:hint="eastAsia" w:ascii="仿宋_GB2312" w:hAnsi="仿宋_GB2312" w:eastAsia="仿宋_GB2312" w:cs="仿宋_GB2312"/>
                <w:color w:val="auto"/>
              </w:rPr>
              <w:t>行政办公楼519、521房间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5" w:type="dxa"/>
            <w:vMerge w:val="continue"/>
            <w:vAlign w:val="center"/>
          </w:tcPr>
          <w:p>
            <w:pPr>
              <w:pStyle w:val="11"/>
              <w:adjustRightInd/>
              <w:jc w:val="center"/>
              <w:rPr>
                <w:rFonts w:ascii="仿宋_GB2312" w:hAnsi="仿宋" w:eastAsia="仿宋_GB2312"/>
              </w:rPr>
            </w:pPr>
          </w:p>
        </w:tc>
        <w:tc>
          <w:tcPr>
            <w:tcW w:w="1843" w:type="dxa"/>
            <w:vAlign w:val="center"/>
          </w:tcPr>
          <w:p>
            <w:pPr>
              <w:pStyle w:val="11"/>
              <w:adjustRightInd/>
              <w:jc w:val="center"/>
              <w:rPr>
                <w:rFonts w:ascii="仿宋_GB2312" w:hAnsi="仿宋" w:eastAsia="仿宋_GB2312"/>
              </w:rPr>
            </w:pPr>
            <w:r>
              <w:rPr>
                <w:rFonts w:hint="eastAsia" w:ascii="仿宋_GB2312" w:hAnsi="仿宋" w:eastAsia="仿宋_GB2312"/>
              </w:rPr>
              <w:t>10:30-16:30</w:t>
            </w:r>
          </w:p>
        </w:tc>
        <w:tc>
          <w:tcPr>
            <w:tcW w:w="1547" w:type="dxa"/>
            <w:vAlign w:val="center"/>
          </w:tcPr>
          <w:p>
            <w:pPr>
              <w:pStyle w:val="11"/>
              <w:adjustRightInd/>
              <w:jc w:val="center"/>
              <w:rPr>
                <w:rFonts w:ascii="仿宋_GB2312" w:hAnsi="仿宋" w:eastAsia="仿宋_GB2312"/>
              </w:rPr>
            </w:pPr>
            <w:r>
              <w:rPr>
                <w:rFonts w:hint="eastAsia" w:ascii="仿宋_GB2312" w:hAnsi="仿宋" w:eastAsia="仿宋_GB2312"/>
              </w:rPr>
              <w:t>模块A考核，现场评分</w:t>
            </w:r>
          </w:p>
        </w:tc>
        <w:tc>
          <w:tcPr>
            <w:tcW w:w="2127" w:type="dxa"/>
            <w:vAlign w:val="center"/>
          </w:tcPr>
          <w:p>
            <w:pPr>
              <w:pStyle w:val="11"/>
              <w:adjustRightInd/>
              <w:jc w:val="center"/>
              <w:rPr>
                <w:rFonts w:ascii="仿宋_GB2312" w:hAnsi="仿宋" w:eastAsia="仿宋_GB2312"/>
              </w:rPr>
            </w:pPr>
            <w:r>
              <w:rPr>
                <w:rFonts w:hint="eastAsia" w:ascii="仿宋_GB2312" w:hAnsi="仿宋" w:eastAsia="仿宋_GB2312"/>
              </w:rPr>
              <w:t>各参赛选手</w:t>
            </w:r>
          </w:p>
        </w:tc>
        <w:tc>
          <w:tcPr>
            <w:tcW w:w="1702" w:type="dxa"/>
          </w:tcPr>
          <w:p>
            <w:pPr>
              <w:pStyle w:val="3"/>
              <w:rPr>
                <w:rFonts w:ascii="仿宋_GB2312" w:hAnsi="仿宋" w:eastAsia="仿宋_GB2312" w:cs="宋体"/>
                <w:color w:val="FF0000"/>
                <w:kern w:val="0"/>
                <w:sz w:val="24"/>
              </w:rPr>
            </w:pPr>
            <w:r>
              <w:rPr>
                <w:rFonts w:hint="eastAsia" w:ascii="仿宋_GB2312" w:hAnsi="仿宋" w:eastAsia="仿宋_GB2312" w:cs="宋体"/>
                <w:kern w:val="0"/>
                <w:sz w:val="24"/>
              </w:rPr>
              <w:t>1号实训楼502</w:t>
            </w:r>
          </w:p>
        </w:tc>
        <w:tc>
          <w:tcPr>
            <w:tcW w:w="1701" w:type="dxa"/>
            <w:vAlign w:val="center"/>
          </w:tcPr>
          <w:p>
            <w:pPr>
              <w:pStyle w:val="11"/>
              <w:adjustRightInd/>
              <w:jc w:val="center"/>
              <w:rPr>
                <w:rFonts w:ascii="仿宋_GB2312" w:hAnsi="仿宋" w:eastAsia="仿宋_GB2312"/>
                <w:color w:val="auto"/>
              </w:rPr>
            </w:pPr>
            <w:r>
              <w:rPr>
                <w:rFonts w:hint="eastAsia" w:ascii="仿宋_GB2312" w:hAnsi="仿宋" w:eastAsia="仿宋_GB2312"/>
                <w:color w:val="auto"/>
              </w:rPr>
              <w:t>13:30-17:00</w:t>
            </w:r>
          </w:p>
        </w:tc>
        <w:tc>
          <w:tcPr>
            <w:tcW w:w="2128" w:type="dxa"/>
            <w:vAlign w:val="center"/>
          </w:tcPr>
          <w:p>
            <w:pPr>
              <w:pStyle w:val="11"/>
              <w:adjustRightInd/>
              <w:jc w:val="center"/>
              <w:rPr>
                <w:rFonts w:ascii="仿宋_GB2312" w:hAnsi="仿宋" w:eastAsia="仿宋_GB2312"/>
                <w:color w:val="auto"/>
              </w:rPr>
            </w:pPr>
            <w:r>
              <w:rPr>
                <w:rFonts w:hint="eastAsia" w:ascii="仿宋_GB2312" w:hAnsi="仿宋" w:eastAsia="仿宋_GB2312"/>
                <w:color w:val="auto"/>
              </w:rPr>
              <w:t>模块B考核，现场评分</w:t>
            </w:r>
          </w:p>
          <w:p>
            <w:pPr>
              <w:pStyle w:val="11"/>
              <w:adjustRightInd/>
              <w:jc w:val="center"/>
              <w:rPr>
                <w:rFonts w:ascii="仿宋_GB2312" w:hAnsi="仿宋" w:eastAsia="仿宋_GB2312"/>
                <w:color w:val="auto"/>
              </w:rPr>
            </w:pPr>
            <w:r>
              <w:rPr>
                <w:rFonts w:hint="eastAsia" w:ascii="仿宋_GB2312" w:hAnsi="仿宋" w:eastAsia="仿宋_GB2312"/>
                <w:color w:val="auto"/>
              </w:rPr>
              <w:t>模块C考核，现场评分</w:t>
            </w:r>
          </w:p>
          <w:p>
            <w:pPr>
              <w:pStyle w:val="11"/>
              <w:adjustRightInd/>
              <w:jc w:val="center"/>
              <w:rPr>
                <w:rFonts w:ascii="仿宋_GB2312" w:hAnsi="仿宋" w:eastAsia="仿宋_GB2312"/>
                <w:color w:val="auto"/>
              </w:rPr>
            </w:pPr>
          </w:p>
        </w:tc>
        <w:tc>
          <w:tcPr>
            <w:tcW w:w="1982" w:type="dxa"/>
            <w:vAlign w:val="center"/>
          </w:tcPr>
          <w:p>
            <w:pPr>
              <w:pStyle w:val="11"/>
              <w:adjustRightInd/>
              <w:jc w:val="center"/>
              <w:rPr>
                <w:rFonts w:ascii="仿宋_GB2312" w:hAnsi="仿宋_GB2312" w:eastAsia="仿宋_GB2312" w:cs="仿宋_GB2312"/>
                <w:color w:val="auto"/>
              </w:rPr>
            </w:pPr>
            <w:r>
              <w:rPr>
                <w:rFonts w:hint="eastAsia" w:ascii="仿宋_GB2312" w:hAnsi="仿宋" w:eastAsia="仿宋_GB2312"/>
                <w:color w:val="auto"/>
              </w:rPr>
              <w:t>各参赛选手，现场裁判</w:t>
            </w:r>
          </w:p>
        </w:tc>
        <w:tc>
          <w:tcPr>
            <w:tcW w:w="1797" w:type="dxa"/>
            <w:vAlign w:val="center"/>
          </w:tcPr>
          <w:p>
            <w:pPr>
              <w:pStyle w:val="11"/>
              <w:adjustRightInd/>
              <w:jc w:val="center"/>
              <w:rPr>
                <w:rFonts w:ascii="仿宋_GB2312" w:hAnsi="仿宋_GB2312" w:eastAsia="仿宋_GB2312" w:cs="仿宋_GB2312"/>
                <w:color w:val="auto"/>
              </w:rPr>
            </w:pPr>
            <w:r>
              <w:rPr>
                <w:rFonts w:hint="eastAsia" w:ascii="仿宋_GB2312" w:hAnsi="仿宋" w:eastAsia="仿宋_GB2312" w:cs="Times New Roman"/>
                <w:color w:val="auto"/>
              </w:rPr>
              <w:t>1号实训楼503、505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5" w:type="dxa"/>
            <w:vMerge w:val="continue"/>
            <w:vAlign w:val="center"/>
          </w:tcPr>
          <w:p>
            <w:pPr>
              <w:pStyle w:val="11"/>
              <w:adjustRightInd/>
              <w:jc w:val="center"/>
              <w:rPr>
                <w:rFonts w:ascii="仿宋_GB2312" w:hAnsi="仿宋" w:eastAsia="仿宋_GB2312"/>
              </w:rPr>
            </w:pPr>
          </w:p>
        </w:tc>
        <w:tc>
          <w:tcPr>
            <w:tcW w:w="1843" w:type="dxa"/>
            <w:vAlign w:val="center"/>
          </w:tcPr>
          <w:p>
            <w:pPr>
              <w:pStyle w:val="11"/>
              <w:adjustRightInd/>
              <w:jc w:val="center"/>
              <w:rPr>
                <w:rFonts w:ascii="仿宋_GB2312" w:hAnsi="仿宋" w:eastAsia="仿宋_GB2312"/>
              </w:rPr>
            </w:pPr>
            <w:r>
              <w:rPr>
                <w:rFonts w:hint="eastAsia" w:ascii="仿宋_GB2312" w:hAnsi="仿宋" w:eastAsia="仿宋_GB2312"/>
              </w:rPr>
              <w:t>17:30</w:t>
            </w:r>
          </w:p>
        </w:tc>
        <w:tc>
          <w:tcPr>
            <w:tcW w:w="5376" w:type="dxa"/>
            <w:gridSpan w:val="3"/>
            <w:vAlign w:val="center"/>
          </w:tcPr>
          <w:p>
            <w:pPr>
              <w:pStyle w:val="3"/>
              <w:ind w:firstLine="241"/>
              <w:jc w:val="center"/>
              <w:rPr>
                <w:rFonts w:ascii="仿宋_GB2312" w:hAnsi="仿宋" w:eastAsia="仿宋_GB2312"/>
                <w:sz w:val="24"/>
              </w:rPr>
            </w:pPr>
            <w:r>
              <w:rPr>
                <w:rFonts w:hint="eastAsia" w:ascii="仿宋_GB2312" w:hAnsi="仿宋" w:eastAsia="仿宋_GB2312"/>
                <w:sz w:val="24"/>
              </w:rPr>
              <w:t>选手乘车返回酒店</w:t>
            </w:r>
          </w:p>
        </w:tc>
        <w:tc>
          <w:tcPr>
            <w:tcW w:w="7608" w:type="dxa"/>
            <w:gridSpan w:val="4"/>
          </w:tcPr>
          <w:p>
            <w:pPr>
              <w:pStyle w:val="3"/>
              <w:ind w:firstLine="241"/>
              <w:jc w:val="center"/>
              <w:rPr>
                <w:rFonts w:ascii="仿宋_GB2312" w:hAnsi="仿宋" w:eastAsia="仿宋_GB2312"/>
                <w:sz w:val="24"/>
              </w:rPr>
            </w:pPr>
            <w:r>
              <w:rPr>
                <w:rFonts w:hint="eastAsia" w:ascii="仿宋_GB2312" w:hAnsi="仿宋" w:eastAsia="仿宋_GB2312"/>
                <w:sz w:val="24"/>
              </w:rPr>
              <w:t>选手乘车返回酒店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5" w:type="dxa"/>
            <w:vMerge w:val="continue"/>
            <w:vAlign w:val="center"/>
          </w:tcPr>
          <w:p>
            <w:pPr>
              <w:pStyle w:val="11"/>
              <w:adjustRightInd/>
              <w:jc w:val="center"/>
              <w:rPr>
                <w:rFonts w:ascii="仿宋_GB2312" w:hAnsi="仿宋" w:eastAsia="仿宋_GB2312"/>
              </w:rPr>
            </w:pPr>
          </w:p>
        </w:tc>
        <w:tc>
          <w:tcPr>
            <w:tcW w:w="1843" w:type="dxa"/>
            <w:vAlign w:val="center"/>
          </w:tcPr>
          <w:p>
            <w:pPr>
              <w:pStyle w:val="11"/>
              <w:adjustRightInd/>
              <w:jc w:val="center"/>
              <w:rPr>
                <w:rFonts w:ascii="仿宋_GB2312" w:hAnsi="仿宋" w:eastAsia="仿宋_GB2312"/>
              </w:rPr>
            </w:pPr>
            <w:r>
              <w:rPr>
                <w:rFonts w:hint="eastAsia" w:ascii="仿宋_GB2312" w:hAnsi="仿宋" w:eastAsia="仿宋_GB2312"/>
              </w:rPr>
              <w:t>17:30-18:30</w:t>
            </w:r>
          </w:p>
        </w:tc>
        <w:tc>
          <w:tcPr>
            <w:tcW w:w="1547" w:type="dxa"/>
            <w:vAlign w:val="center"/>
          </w:tcPr>
          <w:p>
            <w:pPr>
              <w:pStyle w:val="3"/>
              <w:ind w:firstLine="241"/>
              <w:jc w:val="center"/>
              <w:rPr>
                <w:rFonts w:ascii="仿宋_GB2312" w:hAnsi="仿宋" w:eastAsia="仿宋_GB2312"/>
                <w:sz w:val="24"/>
              </w:rPr>
            </w:pPr>
            <w:r>
              <w:rPr>
                <w:rFonts w:hint="eastAsia" w:ascii="仿宋_GB2312" w:hAnsi="仿宋" w:eastAsia="仿宋_GB2312"/>
                <w:sz w:val="24"/>
              </w:rPr>
              <w:t>结果评分</w:t>
            </w:r>
          </w:p>
        </w:tc>
        <w:tc>
          <w:tcPr>
            <w:tcW w:w="2127" w:type="dxa"/>
            <w:vAlign w:val="center"/>
          </w:tcPr>
          <w:p>
            <w:pPr>
              <w:pStyle w:val="3"/>
              <w:ind w:firstLine="241"/>
              <w:jc w:val="center"/>
              <w:rPr>
                <w:rFonts w:ascii="仿宋_GB2312" w:hAnsi="仿宋" w:eastAsia="仿宋_GB2312"/>
                <w:sz w:val="24"/>
              </w:rPr>
            </w:pPr>
            <w:r>
              <w:rPr>
                <w:rFonts w:hint="eastAsia" w:ascii="仿宋_GB2312" w:hAnsi="仿宋" w:eastAsia="仿宋_GB2312"/>
                <w:sz w:val="24"/>
              </w:rPr>
              <w:t>评分裁判</w:t>
            </w:r>
          </w:p>
        </w:tc>
        <w:tc>
          <w:tcPr>
            <w:tcW w:w="1702" w:type="dxa"/>
            <w:vAlign w:val="center"/>
          </w:tcPr>
          <w:p>
            <w:pPr>
              <w:pStyle w:val="3"/>
              <w:ind w:firstLine="241"/>
              <w:jc w:val="center"/>
              <w:rPr>
                <w:rFonts w:ascii="仿宋_GB2312" w:hAnsi="仿宋" w:eastAsia="仿宋_GB2312"/>
                <w:sz w:val="24"/>
              </w:rPr>
            </w:pPr>
            <w:r>
              <w:rPr>
                <w:rFonts w:hint="eastAsia" w:ascii="仿宋_GB2312" w:hAnsi="仿宋" w:eastAsia="仿宋_GB2312"/>
                <w:sz w:val="24"/>
              </w:rPr>
              <w:t>裁判休息间</w:t>
            </w:r>
          </w:p>
        </w:tc>
        <w:tc>
          <w:tcPr>
            <w:tcW w:w="1701" w:type="dxa"/>
            <w:vAlign w:val="center"/>
          </w:tcPr>
          <w:p>
            <w:pPr>
              <w:pStyle w:val="11"/>
              <w:adjustRightInd/>
              <w:jc w:val="center"/>
              <w:rPr>
                <w:rFonts w:ascii="仿宋_GB2312" w:hAnsi="仿宋" w:eastAsia="仿宋_GB2312"/>
              </w:rPr>
            </w:pPr>
            <w:r>
              <w:rPr>
                <w:rFonts w:hint="eastAsia" w:ascii="仿宋_GB2312" w:hAnsi="仿宋" w:eastAsia="仿宋_GB2312"/>
              </w:rPr>
              <w:t>17:30-18:30</w:t>
            </w:r>
          </w:p>
        </w:tc>
        <w:tc>
          <w:tcPr>
            <w:tcW w:w="2128" w:type="dxa"/>
            <w:vAlign w:val="center"/>
          </w:tcPr>
          <w:p>
            <w:pPr>
              <w:pStyle w:val="3"/>
              <w:rPr>
                <w:rFonts w:ascii="仿宋_GB2312" w:hAnsi="仿宋" w:eastAsia="仿宋_GB2312"/>
                <w:sz w:val="24"/>
              </w:rPr>
            </w:pPr>
            <w:r>
              <w:rPr>
                <w:rFonts w:hint="eastAsia" w:ascii="仿宋_GB2312" w:hAnsi="仿宋" w:eastAsia="仿宋_GB2312"/>
                <w:sz w:val="24"/>
              </w:rPr>
              <w:t>结果评分</w:t>
            </w:r>
          </w:p>
        </w:tc>
        <w:tc>
          <w:tcPr>
            <w:tcW w:w="1982" w:type="dxa"/>
            <w:vAlign w:val="center"/>
          </w:tcPr>
          <w:p>
            <w:pPr>
              <w:pStyle w:val="3"/>
              <w:ind w:firstLine="241"/>
              <w:jc w:val="center"/>
              <w:rPr>
                <w:rFonts w:ascii="仿宋_GB2312" w:hAnsi="仿宋" w:eastAsia="仿宋_GB2312"/>
                <w:sz w:val="24"/>
              </w:rPr>
            </w:pPr>
            <w:r>
              <w:rPr>
                <w:rFonts w:hint="eastAsia" w:ascii="仿宋_GB2312" w:hAnsi="仿宋" w:eastAsia="仿宋_GB2312"/>
                <w:sz w:val="24"/>
              </w:rPr>
              <w:t>评分裁判</w:t>
            </w:r>
          </w:p>
        </w:tc>
        <w:tc>
          <w:tcPr>
            <w:tcW w:w="1797" w:type="dxa"/>
            <w:vAlign w:val="center"/>
          </w:tcPr>
          <w:p>
            <w:pPr>
              <w:pStyle w:val="3"/>
              <w:ind w:firstLine="241"/>
              <w:jc w:val="center"/>
              <w:rPr>
                <w:rFonts w:ascii="仿宋_GB2312" w:hAnsi="仿宋" w:eastAsia="仿宋_GB2312"/>
                <w:sz w:val="24"/>
              </w:rPr>
            </w:pPr>
            <w:r>
              <w:rPr>
                <w:rFonts w:hint="eastAsia" w:ascii="仿宋_GB2312" w:hAnsi="仿宋" w:eastAsia="仿宋_GB2312"/>
                <w:sz w:val="24"/>
              </w:rPr>
              <w:t>裁判休息间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5" w:type="dxa"/>
            <w:vMerge w:val="restart"/>
            <w:vAlign w:val="center"/>
          </w:tcPr>
          <w:p>
            <w:pPr>
              <w:pStyle w:val="11"/>
              <w:adjustRightInd/>
              <w:jc w:val="center"/>
              <w:rPr>
                <w:rFonts w:ascii="仿宋_GB2312" w:hAnsi="仿宋" w:eastAsia="仿宋_GB2312"/>
              </w:rPr>
            </w:pPr>
            <w:r>
              <w:rPr>
                <w:rFonts w:hint="eastAsia" w:ascii="仿宋_GB2312" w:hAnsi="仿宋" w:eastAsia="仿宋_GB2312"/>
              </w:rPr>
              <w:t>11月</w:t>
            </w:r>
          </w:p>
          <w:p>
            <w:pPr>
              <w:pStyle w:val="11"/>
              <w:jc w:val="center"/>
              <w:rPr>
                <w:rFonts w:ascii="仿宋_GB2312" w:hAnsi="仿宋" w:eastAsia="仿宋_GB2312"/>
              </w:rPr>
            </w:pPr>
            <w:r>
              <w:rPr>
                <w:rFonts w:hint="eastAsia" w:ascii="仿宋_GB2312" w:hAnsi="仿宋" w:eastAsia="仿宋_GB2312"/>
              </w:rPr>
              <w:t>14日</w:t>
            </w:r>
          </w:p>
        </w:tc>
        <w:tc>
          <w:tcPr>
            <w:tcW w:w="7219" w:type="dxa"/>
            <w:gridSpan w:val="4"/>
            <w:vAlign w:val="center"/>
          </w:tcPr>
          <w:p>
            <w:pPr>
              <w:pStyle w:val="11"/>
              <w:adjustRightInd/>
              <w:jc w:val="center"/>
              <w:rPr>
                <w:rFonts w:ascii="仿宋_GB2312" w:hAnsi="仿宋" w:eastAsia="仿宋_GB2312"/>
              </w:rPr>
            </w:pPr>
            <w:r>
              <w:rPr>
                <w:rFonts w:hint="eastAsia" w:ascii="仿宋_GB2312" w:hAnsi="仿宋" w:eastAsia="仿宋_GB2312"/>
              </w:rPr>
              <w:t>A组</w:t>
            </w:r>
          </w:p>
        </w:tc>
        <w:tc>
          <w:tcPr>
            <w:tcW w:w="7608" w:type="dxa"/>
            <w:gridSpan w:val="4"/>
            <w:vAlign w:val="center"/>
          </w:tcPr>
          <w:p>
            <w:pPr>
              <w:pStyle w:val="11"/>
              <w:adjustRightInd/>
              <w:jc w:val="center"/>
              <w:rPr>
                <w:rFonts w:ascii="仿宋_GB2312" w:hAnsi="仿宋" w:eastAsia="仿宋_GB2312"/>
              </w:rPr>
            </w:pPr>
            <w:r>
              <w:rPr>
                <w:rFonts w:hint="eastAsia" w:ascii="仿宋_GB2312" w:hAnsi="仿宋" w:eastAsia="仿宋_GB2312"/>
              </w:rPr>
              <w:t>B组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5" w:type="dxa"/>
            <w:vMerge w:val="continue"/>
            <w:vAlign w:val="center"/>
          </w:tcPr>
          <w:p>
            <w:pPr>
              <w:pStyle w:val="11"/>
              <w:jc w:val="center"/>
              <w:rPr>
                <w:rFonts w:ascii="仿宋_GB2312" w:hAnsi="仿宋" w:eastAsia="仿宋_GB2312"/>
              </w:rPr>
            </w:pPr>
          </w:p>
        </w:tc>
        <w:tc>
          <w:tcPr>
            <w:tcW w:w="1843" w:type="dxa"/>
            <w:vAlign w:val="center"/>
          </w:tcPr>
          <w:p>
            <w:pPr>
              <w:pStyle w:val="11"/>
              <w:adjustRightInd/>
              <w:jc w:val="center"/>
              <w:rPr>
                <w:rFonts w:ascii="仿宋_GB2312" w:hAnsi="仿宋" w:eastAsia="仿宋_GB2312"/>
              </w:rPr>
            </w:pPr>
            <w:r>
              <w:rPr>
                <w:rFonts w:hint="eastAsia" w:ascii="仿宋_GB2312" w:hAnsi="仿宋" w:eastAsia="仿宋_GB2312"/>
              </w:rPr>
              <w:t>7:30</w:t>
            </w:r>
          </w:p>
        </w:tc>
        <w:tc>
          <w:tcPr>
            <w:tcW w:w="1547" w:type="dxa"/>
            <w:vAlign w:val="center"/>
          </w:tcPr>
          <w:p>
            <w:pPr>
              <w:pStyle w:val="11"/>
              <w:adjustRightInd/>
              <w:jc w:val="center"/>
              <w:rPr>
                <w:rFonts w:ascii="仿宋_GB2312" w:hAnsi="仿宋" w:eastAsia="仿宋_GB2312"/>
              </w:rPr>
            </w:pPr>
            <w:r>
              <w:rPr>
                <w:rFonts w:hint="eastAsia" w:ascii="仿宋_GB2312" w:hAnsi="仿宋" w:eastAsia="仿宋_GB2312"/>
              </w:rPr>
              <w:t>参赛队乘车往赛场</w:t>
            </w:r>
          </w:p>
        </w:tc>
        <w:tc>
          <w:tcPr>
            <w:tcW w:w="2127" w:type="dxa"/>
            <w:vAlign w:val="center"/>
          </w:tcPr>
          <w:p>
            <w:pPr>
              <w:pStyle w:val="11"/>
              <w:adjustRightInd/>
              <w:jc w:val="center"/>
              <w:rPr>
                <w:rFonts w:ascii="仿宋_GB2312" w:hAnsi="仿宋_GB2312" w:eastAsia="仿宋_GB2312" w:cs="仿宋_GB2312"/>
                <w:color w:val="auto"/>
              </w:rPr>
            </w:pPr>
            <w:r>
              <w:rPr>
                <w:rFonts w:hint="eastAsia" w:ascii="仿宋_GB2312" w:hAnsi="仿宋" w:eastAsia="仿宋_GB2312"/>
              </w:rPr>
              <w:t>各参赛队成员</w:t>
            </w:r>
          </w:p>
        </w:tc>
        <w:tc>
          <w:tcPr>
            <w:tcW w:w="1702" w:type="dxa"/>
            <w:vAlign w:val="center"/>
          </w:tcPr>
          <w:p>
            <w:pPr>
              <w:pStyle w:val="11"/>
              <w:adjustRightInd/>
              <w:jc w:val="center"/>
              <w:rPr>
                <w:rFonts w:ascii="仿宋_GB2312" w:hAnsi="仿宋_GB2312" w:eastAsia="仿宋_GB2312" w:cs="仿宋_GB2312"/>
                <w:color w:val="auto"/>
              </w:rPr>
            </w:pPr>
            <w:r>
              <w:rPr>
                <w:rFonts w:hint="eastAsia" w:ascii="仿宋_GB2312" w:hAnsi="仿宋" w:eastAsia="仿宋_GB2312"/>
              </w:rPr>
              <w:t>住宿酒店</w:t>
            </w:r>
          </w:p>
        </w:tc>
        <w:tc>
          <w:tcPr>
            <w:tcW w:w="1701" w:type="dxa"/>
            <w:vAlign w:val="center"/>
          </w:tcPr>
          <w:p>
            <w:pPr>
              <w:pStyle w:val="11"/>
              <w:adjustRightInd/>
              <w:jc w:val="center"/>
              <w:rPr>
                <w:rFonts w:ascii="仿宋_GB2312" w:hAnsi="仿宋" w:eastAsia="仿宋_GB2312"/>
              </w:rPr>
            </w:pPr>
            <w:r>
              <w:rPr>
                <w:rFonts w:hint="eastAsia" w:ascii="仿宋_GB2312" w:hAnsi="仿宋" w:eastAsia="仿宋_GB2312"/>
              </w:rPr>
              <w:t>7:30</w:t>
            </w:r>
          </w:p>
        </w:tc>
        <w:tc>
          <w:tcPr>
            <w:tcW w:w="2128" w:type="dxa"/>
            <w:vAlign w:val="center"/>
          </w:tcPr>
          <w:p>
            <w:pPr>
              <w:pStyle w:val="11"/>
              <w:adjustRightInd/>
              <w:jc w:val="center"/>
              <w:rPr>
                <w:rFonts w:ascii="仿宋_GB2312" w:hAnsi="仿宋" w:eastAsia="仿宋_GB2312"/>
              </w:rPr>
            </w:pPr>
            <w:r>
              <w:rPr>
                <w:rFonts w:hint="eastAsia" w:ascii="仿宋_GB2312" w:hAnsi="仿宋" w:eastAsia="仿宋_GB2312"/>
              </w:rPr>
              <w:t>参赛队乘车往赛场</w:t>
            </w:r>
          </w:p>
        </w:tc>
        <w:tc>
          <w:tcPr>
            <w:tcW w:w="1982" w:type="dxa"/>
            <w:vAlign w:val="center"/>
          </w:tcPr>
          <w:p>
            <w:pPr>
              <w:pStyle w:val="11"/>
              <w:adjustRightInd/>
              <w:jc w:val="center"/>
              <w:rPr>
                <w:rFonts w:ascii="仿宋_GB2312" w:hAnsi="仿宋_GB2312" w:eastAsia="仿宋_GB2312" w:cs="仿宋_GB2312"/>
                <w:color w:val="auto"/>
              </w:rPr>
            </w:pPr>
            <w:r>
              <w:rPr>
                <w:rFonts w:hint="eastAsia" w:ascii="仿宋_GB2312" w:hAnsi="仿宋" w:eastAsia="仿宋_GB2312"/>
              </w:rPr>
              <w:t>各参赛队成员</w:t>
            </w:r>
          </w:p>
        </w:tc>
        <w:tc>
          <w:tcPr>
            <w:tcW w:w="1797" w:type="dxa"/>
            <w:vAlign w:val="center"/>
          </w:tcPr>
          <w:p>
            <w:pPr>
              <w:pStyle w:val="11"/>
              <w:adjustRightInd/>
              <w:jc w:val="center"/>
              <w:rPr>
                <w:rFonts w:ascii="仿宋_GB2312" w:hAnsi="仿宋_GB2312" w:eastAsia="仿宋_GB2312" w:cs="仿宋_GB2312"/>
                <w:color w:val="auto"/>
              </w:rPr>
            </w:pPr>
            <w:r>
              <w:rPr>
                <w:rFonts w:hint="eastAsia" w:ascii="仿宋_GB2312" w:hAnsi="仿宋" w:eastAsia="仿宋_GB2312"/>
              </w:rPr>
              <w:t>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5" w:type="dxa"/>
            <w:vMerge w:val="continue"/>
            <w:vAlign w:val="center"/>
          </w:tcPr>
          <w:p>
            <w:pPr>
              <w:pStyle w:val="11"/>
              <w:jc w:val="center"/>
              <w:rPr>
                <w:rFonts w:ascii="仿宋_GB2312" w:hAnsi="仿宋" w:eastAsia="仿宋_GB2312"/>
              </w:rPr>
            </w:pPr>
          </w:p>
        </w:tc>
        <w:tc>
          <w:tcPr>
            <w:tcW w:w="1843" w:type="dxa"/>
            <w:vAlign w:val="center"/>
          </w:tcPr>
          <w:p>
            <w:pPr>
              <w:pStyle w:val="11"/>
              <w:adjustRightInd/>
              <w:jc w:val="center"/>
              <w:rPr>
                <w:rFonts w:ascii="仿宋_GB2312" w:hAnsi="仿宋" w:eastAsia="仿宋_GB2312"/>
              </w:rPr>
            </w:pPr>
            <w:r>
              <w:rPr>
                <w:rFonts w:hint="eastAsia" w:ascii="仿宋_GB2312" w:hAnsi="仿宋" w:eastAsia="仿宋_GB2312"/>
              </w:rPr>
              <w:t>8:00开始</w:t>
            </w:r>
          </w:p>
        </w:tc>
        <w:tc>
          <w:tcPr>
            <w:tcW w:w="1547" w:type="dxa"/>
            <w:vAlign w:val="center"/>
          </w:tcPr>
          <w:p>
            <w:pPr>
              <w:pStyle w:val="11"/>
              <w:adjustRightInd/>
              <w:jc w:val="center"/>
              <w:rPr>
                <w:rFonts w:ascii="仿宋_GB2312" w:hAnsi="仿宋" w:eastAsia="仿宋_GB2312"/>
              </w:rPr>
            </w:pPr>
            <w:r>
              <w:rPr>
                <w:rFonts w:hint="eastAsia" w:ascii="仿宋_GB2312" w:hAnsi="仿宋" w:eastAsia="仿宋_GB2312"/>
              </w:rPr>
              <w:t>大赛抽签、检录进场</w:t>
            </w:r>
          </w:p>
        </w:tc>
        <w:tc>
          <w:tcPr>
            <w:tcW w:w="2127" w:type="dxa"/>
            <w:vAlign w:val="center"/>
          </w:tcPr>
          <w:p>
            <w:pPr>
              <w:pStyle w:val="11"/>
              <w:adjustRightInd/>
              <w:jc w:val="center"/>
              <w:rPr>
                <w:rFonts w:ascii="仿宋_GB2312" w:hAnsi="仿宋_GB2312" w:eastAsia="仿宋_GB2312" w:cs="仿宋_GB2312"/>
                <w:color w:val="auto"/>
              </w:rPr>
            </w:pPr>
            <w:r>
              <w:rPr>
                <w:rFonts w:hint="eastAsia" w:ascii="仿宋_GB2312" w:hAnsi="仿宋" w:eastAsia="仿宋_GB2312"/>
              </w:rPr>
              <w:t>参赛选手和裁判抽签</w:t>
            </w:r>
          </w:p>
        </w:tc>
        <w:tc>
          <w:tcPr>
            <w:tcW w:w="1702" w:type="dxa"/>
            <w:vAlign w:val="center"/>
          </w:tcPr>
          <w:p>
            <w:pPr>
              <w:pStyle w:val="11"/>
              <w:adjustRightInd/>
              <w:jc w:val="center"/>
              <w:rPr>
                <w:rFonts w:ascii="仿宋_GB2312" w:hAnsi="仿宋_GB2312" w:eastAsia="仿宋_GB2312" w:cs="仿宋_GB2312"/>
                <w:color w:val="auto"/>
              </w:rPr>
            </w:pPr>
            <w:r>
              <w:rPr>
                <w:rFonts w:hint="eastAsia" w:ascii="仿宋_GB2312" w:hAnsi="仿宋" w:eastAsia="仿宋_GB2312"/>
              </w:rPr>
              <w:t>1号实训楼大厅</w:t>
            </w:r>
          </w:p>
        </w:tc>
        <w:tc>
          <w:tcPr>
            <w:tcW w:w="1701" w:type="dxa"/>
            <w:vAlign w:val="center"/>
          </w:tcPr>
          <w:p>
            <w:pPr>
              <w:pStyle w:val="11"/>
              <w:adjustRightInd/>
              <w:jc w:val="center"/>
              <w:rPr>
                <w:rFonts w:ascii="仿宋_GB2312" w:hAnsi="仿宋" w:eastAsia="仿宋_GB2312"/>
              </w:rPr>
            </w:pPr>
            <w:r>
              <w:rPr>
                <w:rFonts w:hint="eastAsia" w:ascii="仿宋_GB2312" w:hAnsi="仿宋" w:eastAsia="仿宋_GB2312"/>
              </w:rPr>
              <w:t>8:00开始</w:t>
            </w:r>
          </w:p>
        </w:tc>
        <w:tc>
          <w:tcPr>
            <w:tcW w:w="2128" w:type="dxa"/>
            <w:vAlign w:val="center"/>
          </w:tcPr>
          <w:p>
            <w:pPr>
              <w:pStyle w:val="11"/>
              <w:adjustRightInd/>
              <w:jc w:val="center"/>
              <w:rPr>
                <w:rFonts w:ascii="仿宋_GB2312" w:hAnsi="仿宋" w:eastAsia="仿宋_GB2312"/>
              </w:rPr>
            </w:pPr>
            <w:r>
              <w:rPr>
                <w:rFonts w:hint="eastAsia" w:ascii="仿宋_GB2312" w:hAnsi="仿宋" w:eastAsia="仿宋_GB2312"/>
              </w:rPr>
              <w:t>大赛抽签、检录进场</w:t>
            </w:r>
          </w:p>
        </w:tc>
        <w:tc>
          <w:tcPr>
            <w:tcW w:w="1982" w:type="dxa"/>
            <w:vAlign w:val="center"/>
          </w:tcPr>
          <w:p>
            <w:pPr>
              <w:pStyle w:val="11"/>
              <w:adjustRightInd/>
              <w:jc w:val="center"/>
              <w:rPr>
                <w:rFonts w:ascii="仿宋_GB2312" w:hAnsi="仿宋_GB2312" w:eastAsia="仿宋_GB2312" w:cs="仿宋_GB2312"/>
                <w:color w:val="auto"/>
              </w:rPr>
            </w:pPr>
            <w:r>
              <w:rPr>
                <w:rFonts w:hint="eastAsia" w:ascii="仿宋_GB2312" w:hAnsi="仿宋" w:eastAsia="仿宋_GB2312"/>
              </w:rPr>
              <w:t>参赛选手和裁判抽签</w:t>
            </w:r>
          </w:p>
        </w:tc>
        <w:tc>
          <w:tcPr>
            <w:tcW w:w="1797" w:type="dxa"/>
            <w:vAlign w:val="center"/>
          </w:tcPr>
          <w:p>
            <w:pPr>
              <w:pStyle w:val="11"/>
              <w:adjustRightInd/>
              <w:rPr>
                <w:rFonts w:ascii="仿宋_GB2312" w:hAnsi="仿宋_GB2312" w:eastAsia="仿宋_GB2312" w:cs="仿宋_GB2312"/>
                <w:color w:val="auto"/>
              </w:rPr>
            </w:pPr>
            <w:r>
              <w:rPr>
                <w:rFonts w:hint="eastAsia" w:ascii="仿宋_GB2312" w:hAnsi="仿宋" w:eastAsia="仿宋_GB2312"/>
              </w:rPr>
              <w:t>1号实训楼大厅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5" w:type="dxa"/>
            <w:vMerge w:val="continue"/>
            <w:vAlign w:val="center"/>
          </w:tcPr>
          <w:p>
            <w:pPr>
              <w:pStyle w:val="11"/>
              <w:adjustRightInd/>
              <w:jc w:val="center"/>
              <w:rPr>
                <w:rFonts w:ascii="仿宋_GB2312" w:hAnsi="仿宋" w:eastAsia="仿宋_GB2312"/>
              </w:rPr>
            </w:pPr>
          </w:p>
        </w:tc>
        <w:tc>
          <w:tcPr>
            <w:tcW w:w="1843" w:type="dxa"/>
            <w:vAlign w:val="center"/>
          </w:tcPr>
          <w:p>
            <w:pPr>
              <w:pStyle w:val="11"/>
              <w:adjustRightInd/>
              <w:jc w:val="center"/>
              <w:rPr>
                <w:rFonts w:ascii="仿宋_GB2312" w:hAnsi="仿宋" w:eastAsia="仿宋_GB2312"/>
                <w:color w:val="auto"/>
              </w:rPr>
            </w:pPr>
            <w:r>
              <w:rPr>
                <w:rFonts w:hint="eastAsia" w:ascii="仿宋_GB2312" w:hAnsi="仿宋" w:eastAsia="仿宋_GB2312"/>
                <w:color w:val="auto"/>
              </w:rPr>
              <w:t>8:30-12:00</w:t>
            </w:r>
          </w:p>
        </w:tc>
        <w:tc>
          <w:tcPr>
            <w:tcW w:w="1547" w:type="dxa"/>
            <w:vAlign w:val="center"/>
          </w:tcPr>
          <w:p>
            <w:pPr>
              <w:pStyle w:val="11"/>
              <w:adjustRightInd/>
              <w:jc w:val="center"/>
              <w:rPr>
                <w:rFonts w:ascii="仿宋_GB2312" w:hAnsi="仿宋" w:eastAsia="仿宋_GB2312"/>
                <w:color w:val="auto"/>
              </w:rPr>
            </w:pPr>
            <w:r>
              <w:rPr>
                <w:rFonts w:hint="eastAsia" w:ascii="仿宋_GB2312" w:hAnsi="仿宋" w:eastAsia="仿宋_GB2312"/>
                <w:color w:val="auto"/>
              </w:rPr>
              <w:t>模块B考核，现场评分</w:t>
            </w:r>
          </w:p>
          <w:p>
            <w:pPr>
              <w:pStyle w:val="11"/>
              <w:adjustRightInd/>
              <w:jc w:val="center"/>
              <w:rPr>
                <w:rFonts w:ascii="仿宋_GB2312" w:hAnsi="仿宋" w:eastAsia="仿宋_GB2312"/>
                <w:color w:val="auto"/>
              </w:rPr>
            </w:pPr>
            <w:r>
              <w:rPr>
                <w:rFonts w:hint="eastAsia" w:ascii="仿宋_GB2312" w:hAnsi="仿宋" w:eastAsia="仿宋_GB2312"/>
                <w:color w:val="auto"/>
              </w:rPr>
              <w:t>模块C考核，现场评分</w:t>
            </w:r>
          </w:p>
        </w:tc>
        <w:tc>
          <w:tcPr>
            <w:tcW w:w="2127" w:type="dxa"/>
            <w:vAlign w:val="center"/>
          </w:tcPr>
          <w:p>
            <w:pPr>
              <w:pStyle w:val="11"/>
              <w:adjustRightInd/>
              <w:jc w:val="center"/>
              <w:rPr>
                <w:rFonts w:ascii="仿宋_GB2312" w:hAnsi="仿宋_GB2312" w:eastAsia="仿宋_GB2312" w:cs="仿宋_GB2312"/>
                <w:color w:val="auto"/>
              </w:rPr>
            </w:pPr>
            <w:r>
              <w:rPr>
                <w:rFonts w:hint="eastAsia" w:ascii="仿宋_GB2312" w:hAnsi="仿宋" w:eastAsia="仿宋_GB2312"/>
                <w:color w:val="auto"/>
              </w:rPr>
              <w:t>各参赛选手，现场裁判</w:t>
            </w:r>
          </w:p>
        </w:tc>
        <w:tc>
          <w:tcPr>
            <w:tcW w:w="1702" w:type="dxa"/>
            <w:vAlign w:val="center"/>
          </w:tcPr>
          <w:p>
            <w:pPr>
              <w:pStyle w:val="11"/>
              <w:adjustRightInd/>
              <w:jc w:val="center"/>
              <w:rPr>
                <w:rFonts w:ascii="仿宋_GB2312" w:hAnsi="仿宋_GB2312" w:eastAsia="仿宋_GB2312" w:cs="仿宋_GB2312"/>
                <w:color w:val="auto"/>
              </w:rPr>
            </w:pPr>
            <w:r>
              <w:rPr>
                <w:rFonts w:hint="eastAsia" w:ascii="仿宋_GB2312" w:hAnsi="仿宋" w:eastAsia="仿宋_GB2312" w:cs="Times New Roman"/>
                <w:color w:val="auto"/>
              </w:rPr>
              <w:t>1号实训楼503、505</w:t>
            </w:r>
          </w:p>
        </w:tc>
        <w:tc>
          <w:tcPr>
            <w:tcW w:w="1701" w:type="dxa"/>
            <w:vAlign w:val="center"/>
          </w:tcPr>
          <w:p>
            <w:pPr>
              <w:pStyle w:val="11"/>
              <w:adjustRightInd/>
              <w:jc w:val="center"/>
              <w:rPr>
                <w:rFonts w:ascii="仿宋_GB2312" w:hAnsi="仿宋" w:eastAsia="仿宋_GB2312"/>
              </w:rPr>
            </w:pPr>
            <w:r>
              <w:rPr>
                <w:rFonts w:hint="eastAsia" w:ascii="仿宋_GB2312" w:hAnsi="仿宋" w:eastAsia="仿宋_GB2312"/>
              </w:rPr>
              <w:t>8:30-14:30</w:t>
            </w:r>
          </w:p>
        </w:tc>
        <w:tc>
          <w:tcPr>
            <w:tcW w:w="2128" w:type="dxa"/>
            <w:vAlign w:val="center"/>
          </w:tcPr>
          <w:p>
            <w:pPr>
              <w:pStyle w:val="11"/>
              <w:adjustRightInd/>
              <w:jc w:val="center"/>
              <w:rPr>
                <w:rFonts w:ascii="仿宋_GB2312" w:hAnsi="仿宋" w:eastAsia="仿宋_GB2312"/>
              </w:rPr>
            </w:pPr>
            <w:r>
              <w:rPr>
                <w:rFonts w:hint="eastAsia" w:ascii="仿宋_GB2312" w:hAnsi="仿宋" w:eastAsia="仿宋_GB2312"/>
              </w:rPr>
              <w:t>模块A考核，现场评分</w:t>
            </w:r>
          </w:p>
        </w:tc>
        <w:tc>
          <w:tcPr>
            <w:tcW w:w="1982" w:type="dxa"/>
            <w:vAlign w:val="center"/>
          </w:tcPr>
          <w:p>
            <w:pPr>
              <w:pStyle w:val="11"/>
              <w:adjustRightInd/>
              <w:jc w:val="center"/>
              <w:rPr>
                <w:rFonts w:ascii="仿宋_GB2312" w:hAnsi="仿宋" w:eastAsia="仿宋_GB2312"/>
              </w:rPr>
            </w:pPr>
            <w:r>
              <w:rPr>
                <w:rFonts w:hint="eastAsia" w:ascii="仿宋_GB2312" w:hAnsi="仿宋" w:eastAsia="仿宋_GB2312"/>
              </w:rPr>
              <w:t>各参赛选手</w:t>
            </w:r>
          </w:p>
        </w:tc>
        <w:tc>
          <w:tcPr>
            <w:tcW w:w="1797" w:type="dxa"/>
            <w:vAlign w:val="center"/>
          </w:tcPr>
          <w:p>
            <w:pPr>
              <w:pStyle w:val="3"/>
              <w:rPr>
                <w:rFonts w:ascii="仿宋_GB2312" w:hAnsi="仿宋" w:eastAsia="仿宋_GB2312" w:cs="宋体"/>
                <w:color w:val="FF0000"/>
                <w:kern w:val="0"/>
                <w:sz w:val="24"/>
              </w:rPr>
            </w:pPr>
            <w:r>
              <w:rPr>
                <w:rFonts w:hint="eastAsia" w:ascii="仿宋_GB2312" w:hAnsi="仿宋" w:eastAsia="仿宋_GB2312" w:cs="宋体"/>
                <w:kern w:val="0"/>
                <w:sz w:val="24"/>
              </w:rPr>
              <w:t>1号实训楼502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5" w:type="dxa"/>
            <w:vMerge w:val="continue"/>
            <w:vAlign w:val="center"/>
          </w:tcPr>
          <w:p>
            <w:pPr>
              <w:pStyle w:val="11"/>
              <w:adjustRightInd/>
              <w:jc w:val="center"/>
              <w:rPr>
                <w:rFonts w:ascii="仿宋_GB2312" w:hAnsi="仿宋" w:eastAsia="仿宋_GB2312"/>
              </w:rPr>
            </w:pPr>
          </w:p>
        </w:tc>
        <w:tc>
          <w:tcPr>
            <w:tcW w:w="1843" w:type="dxa"/>
            <w:vAlign w:val="center"/>
          </w:tcPr>
          <w:p>
            <w:pPr>
              <w:pStyle w:val="11"/>
              <w:adjustRightInd/>
              <w:jc w:val="center"/>
              <w:rPr>
                <w:rFonts w:ascii="仿宋_GB2312" w:hAnsi="仿宋" w:eastAsia="仿宋_GB2312"/>
                <w:color w:val="auto"/>
              </w:rPr>
            </w:pPr>
            <w:r>
              <w:rPr>
                <w:rFonts w:hint="eastAsia" w:ascii="仿宋_GB2312" w:hAnsi="仿宋" w:eastAsia="仿宋_GB2312"/>
                <w:color w:val="auto"/>
              </w:rPr>
              <w:t>12:00-13:00</w:t>
            </w:r>
          </w:p>
        </w:tc>
        <w:tc>
          <w:tcPr>
            <w:tcW w:w="1547" w:type="dxa"/>
            <w:vAlign w:val="center"/>
          </w:tcPr>
          <w:p>
            <w:pPr>
              <w:pStyle w:val="11"/>
              <w:adjustRightInd/>
              <w:jc w:val="center"/>
              <w:rPr>
                <w:rFonts w:ascii="仿宋_GB2312" w:hAnsi="仿宋" w:eastAsia="仿宋_GB2312"/>
                <w:color w:val="auto"/>
              </w:rPr>
            </w:pPr>
            <w:r>
              <w:rPr>
                <w:rFonts w:hint="eastAsia" w:ascii="仿宋_GB2312" w:hAnsi="仿宋" w:eastAsia="仿宋_GB2312"/>
                <w:color w:val="auto"/>
              </w:rPr>
              <w:t>午餐</w:t>
            </w:r>
          </w:p>
        </w:tc>
        <w:tc>
          <w:tcPr>
            <w:tcW w:w="2127" w:type="dxa"/>
            <w:vAlign w:val="center"/>
          </w:tcPr>
          <w:p>
            <w:pPr>
              <w:pStyle w:val="3"/>
              <w:ind w:firstLine="241"/>
              <w:jc w:val="center"/>
              <w:rPr>
                <w:rFonts w:ascii="仿宋_GB2312" w:hAnsi="仿宋" w:eastAsia="仿宋_GB2312"/>
                <w:sz w:val="24"/>
              </w:rPr>
            </w:pPr>
            <w:r>
              <w:rPr>
                <w:rFonts w:hint="eastAsia" w:ascii="仿宋_GB2312" w:hAnsi="仿宋" w:eastAsia="仿宋_GB2312"/>
                <w:sz w:val="24"/>
              </w:rPr>
              <w:t>参赛选手、裁判</w:t>
            </w:r>
          </w:p>
          <w:p>
            <w:pPr>
              <w:pStyle w:val="11"/>
              <w:adjustRightInd/>
              <w:jc w:val="center"/>
              <w:rPr>
                <w:rFonts w:ascii="仿宋_GB2312" w:hAnsi="仿宋_GB2312" w:eastAsia="仿宋_GB2312" w:cs="仿宋_GB2312"/>
                <w:color w:val="auto"/>
              </w:rPr>
            </w:pPr>
            <w:r>
              <w:rPr>
                <w:rFonts w:hint="eastAsia" w:ascii="仿宋_GB2312" w:hAnsi="仿宋" w:eastAsia="仿宋_GB2312"/>
                <w:color w:val="auto"/>
              </w:rPr>
              <w:t>工作人员</w:t>
            </w:r>
          </w:p>
        </w:tc>
        <w:tc>
          <w:tcPr>
            <w:tcW w:w="1702" w:type="dxa"/>
            <w:vAlign w:val="center"/>
          </w:tcPr>
          <w:p>
            <w:pPr>
              <w:pStyle w:val="11"/>
              <w:adjustRightInd/>
              <w:jc w:val="center"/>
              <w:rPr>
                <w:rFonts w:ascii="仿宋_GB2312" w:hAnsi="仿宋_GB2312" w:eastAsia="仿宋_GB2312" w:cs="仿宋_GB2312"/>
                <w:color w:val="auto"/>
              </w:rPr>
            </w:pPr>
            <w:r>
              <w:rPr>
                <w:rFonts w:hint="eastAsia" w:ascii="仿宋_GB2312" w:hAnsi="仿宋_GB2312" w:eastAsia="仿宋_GB2312" w:cs="仿宋_GB2312"/>
                <w:color w:val="auto"/>
              </w:rPr>
              <w:t>行政办公楼519、521房间</w:t>
            </w:r>
          </w:p>
        </w:tc>
        <w:tc>
          <w:tcPr>
            <w:tcW w:w="1701" w:type="dxa"/>
          </w:tcPr>
          <w:p>
            <w:pPr>
              <w:pStyle w:val="11"/>
              <w:adjustRightInd/>
              <w:jc w:val="center"/>
              <w:rPr>
                <w:rFonts w:ascii="仿宋_GB2312" w:hAnsi="仿宋_GB2312" w:eastAsia="仿宋_GB2312" w:cs="仿宋_GB2312"/>
                <w:color w:val="auto"/>
              </w:rPr>
            </w:pPr>
          </w:p>
        </w:tc>
        <w:tc>
          <w:tcPr>
            <w:tcW w:w="2128" w:type="dxa"/>
          </w:tcPr>
          <w:p>
            <w:pPr>
              <w:pStyle w:val="11"/>
              <w:adjustRightInd/>
              <w:jc w:val="center"/>
              <w:rPr>
                <w:rFonts w:ascii="仿宋_GB2312" w:hAnsi="仿宋_GB2312" w:eastAsia="仿宋_GB2312" w:cs="仿宋_GB2312"/>
                <w:color w:val="auto"/>
              </w:rPr>
            </w:pPr>
          </w:p>
        </w:tc>
        <w:tc>
          <w:tcPr>
            <w:tcW w:w="1982" w:type="dxa"/>
          </w:tcPr>
          <w:p>
            <w:pPr>
              <w:pStyle w:val="11"/>
              <w:adjustRightInd/>
              <w:jc w:val="center"/>
              <w:rPr>
                <w:rFonts w:ascii="仿宋_GB2312" w:hAnsi="仿宋_GB2312" w:eastAsia="仿宋_GB2312" w:cs="仿宋_GB2312"/>
                <w:color w:val="auto"/>
              </w:rPr>
            </w:pPr>
          </w:p>
        </w:tc>
        <w:tc>
          <w:tcPr>
            <w:tcW w:w="1797" w:type="dxa"/>
          </w:tcPr>
          <w:p>
            <w:pPr>
              <w:pStyle w:val="11"/>
              <w:adjustRightInd/>
              <w:jc w:val="center"/>
              <w:rPr>
                <w:rFonts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5" w:type="dxa"/>
            <w:vMerge w:val="continue"/>
            <w:vAlign w:val="center"/>
          </w:tcPr>
          <w:p>
            <w:pPr>
              <w:pStyle w:val="11"/>
              <w:adjustRightInd/>
              <w:jc w:val="center"/>
              <w:rPr>
                <w:rFonts w:ascii="仿宋_GB2312" w:hAnsi="仿宋" w:eastAsia="仿宋_GB2312"/>
              </w:rPr>
            </w:pPr>
          </w:p>
        </w:tc>
        <w:tc>
          <w:tcPr>
            <w:tcW w:w="1843" w:type="dxa"/>
            <w:vAlign w:val="center"/>
          </w:tcPr>
          <w:p>
            <w:pPr>
              <w:pStyle w:val="11"/>
              <w:adjustRightInd/>
              <w:jc w:val="center"/>
              <w:rPr>
                <w:rFonts w:ascii="仿宋_GB2312" w:hAnsi="仿宋" w:eastAsia="仿宋_GB2312"/>
                <w:color w:val="auto"/>
              </w:rPr>
            </w:pPr>
            <w:r>
              <w:rPr>
                <w:rFonts w:hint="eastAsia" w:ascii="仿宋_GB2312" w:hAnsi="仿宋" w:eastAsia="仿宋_GB2312"/>
                <w:color w:val="auto"/>
              </w:rPr>
              <w:t>13:00开始</w:t>
            </w:r>
          </w:p>
        </w:tc>
        <w:tc>
          <w:tcPr>
            <w:tcW w:w="1547" w:type="dxa"/>
            <w:vAlign w:val="center"/>
          </w:tcPr>
          <w:p>
            <w:pPr>
              <w:pStyle w:val="11"/>
              <w:adjustRightInd/>
              <w:jc w:val="center"/>
              <w:rPr>
                <w:rFonts w:ascii="仿宋_GB2312" w:hAnsi="仿宋" w:eastAsia="仿宋_GB2312"/>
                <w:color w:val="auto"/>
              </w:rPr>
            </w:pPr>
            <w:r>
              <w:rPr>
                <w:rFonts w:hint="eastAsia" w:ascii="仿宋_GB2312" w:hAnsi="仿宋" w:eastAsia="仿宋_GB2312"/>
                <w:color w:val="auto"/>
              </w:rPr>
              <w:t>大赛抽签、检录进场</w:t>
            </w:r>
          </w:p>
        </w:tc>
        <w:tc>
          <w:tcPr>
            <w:tcW w:w="2127" w:type="dxa"/>
            <w:vAlign w:val="center"/>
          </w:tcPr>
          <w:p>
            <w:pPr>
              <w:pStyle w:val="11"/>
              <w:adjustRightInd/>
              <w:jc w:val="center"/>
              <w:rPr>
                <w:rFonts w:ascii="仿宋_GB2312" w:hAnsi="仿宋_GB2312" w:eastAsia="仿宋_GB2312" w:cs="仿宋_GB2312"/>
                <w:color w:val="auto"/>
              </w:rPr>
            </w:pPr>
            <w:r>
              <w:rPr>
                <w:rFonts w:hint="eastAsia" w:ascii="仿宋_GB2312" w:hAnsi="仿宋" w:eastAsia="仿宋_GB2312"/>
                <w:color w:val="auto"/>
              </w:rPr>
              <w:t>参赛选手和裁判抽签</w:t>
            </w:r>
          </w:p>
        </w:tc>
        <w:tc>
          <w:tcPr>
            <w:tcW w:w="1702" w:type="dxa"/>
            <w:vAlign w:val="center"/>
          </w:tcPr>
          <w:p>
            <w:pPr>
              <w:pStyle w:val="11"/>
              <w:adjustRightInd/>
              <w:jc w:val="center"/>
              <w:rPr>
                <w:rFonts w:ascii="仿宋_GB2312" w:hAnsi="仿宋_GB2312" w:eastAsia="仿宋_GB2312" w:cs="仿宋_GB2312"/>
                <w:color w:val="auto"/>
              </w:rPr>
            </w:pPr>
            <w:r>
              <w:rPr>
                <w:rFonts w:hint="eastAsia" w:ascii="仿宋_GB2312" w:hAnsi="仿宋" w:eastAsia="仿宋_GB2312"/>
                <w:color w:val="auto"/>
              </w:rPr>
              <w:t>检录、抽签区域</w:t>
            </w:r>
          </w:p>
        </w:tc>
        <w:tc>
          <w:tcPr>
            <w:tcW w:w="1701" w:type="dxa"/>
          </w:tcPr>
          <w:p>
            <w:pPr>
              <w:pStyle w:val="11"/>
              <w:adjustRightInd/>
              <w:jc w:val="center"/>
              <w:rPr>
                <w:rFonts w:ascii="仿宋_GB2312" w:hAnsi="仿宋" w:eastAsia="仿宋_GB2312"/>
                <w:color w:val="auto"/>
              </w:rPr>
            </w:pPr>
          </w:p>
        </w:tc>
        <w:tc>
          <w:tcPr>
            <w:tcW w:w="2128" w:type="dxa"/>
          </w:tcPr>
          <w:p>
            <w:pPr>
              <w:pStyle w:val="11"/>
              <w:adjustRightInd/>
              <w:jc w:val="center"/>
              <w:rPr>
                <w:rFonts w:ascii="仿宋_GB2312" w:hAnsi="仿宋" w:eastAsia="仿宋_GB2312"/>
                <w:color w:val="auto"/>
              </w:rPr>
            </w:pPr>
          </w:p>
        </w:tc>
        <w:tc>
          <w:tcPr>
            <w:tcW w:w="1982" w:type="dxa"/>
          </w:tcPr>
          <w:p>
            <w:pPr>
              <w:pStyle w:val="11"/>
              <w:adjustRightInd/>
              <w:jc w:val="center"/>
              <w:rPr>
                <w:rFonts w:ascii="仿宋_GB2312" w:hAnsi="仿宋" w:eastAsia="仿宋_GB2312"/>
                <w:color w:val="auto"/>
              </w:rPr>
            </w:pPr>
          </w:p>
        </w:tc>
        <w:tc>
          <w:tcPr>
            <w:tcW w:w="1797" w:type="dxa"/>
          </w:tcPr>
          <w:p>
            <w:pPr>
              <w:pStyle w:val="11"/>
              <w:adjustRightInd/>
              <w:jc w:val="center"/>
              <w:rPr>
                <w:rFonts w:ascii="仿宋_GB2312" w:hAnsi="仿宋"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2" w:hRule="atLeast"/>
          <w:jc w:val="center"/>
        </w:trPr>
        <w:tc>
          <w:tcPr>
            <w:tcW w:w="585" w:type="dxa"/>
            <w:vMerge w:val="continue"/>
            <w:vAlign w:val="center"/>
          </w:tcPr>
          <w:p>
            <w:pPr>
              <w:pStyle w:val="11"/>
              <w:adjustRightInd/>
              <w:jc w:val="center"/>
              <w:rPr>
                <w:rFonts w:ascii="仿宋_GB2312" w:hAnsi="仿宋" w:eastAsia="仿宋_GB2312"/>
              </w:rPr>
            </w:pPr>
          </w:p>
        </w:tc>
        <w:tc>
          <w:tcPr>
            <w:tcW w:w="1843" w:type="dxa"/>
            <w:vAlign w:val="center"/>
          </w:tcPr>
          <w:p>
            <w:pPr>
              <w:pStyle w:val="11"/>
              <w:adjustRightInd/>
              <w:jc w:val="center"/>
              <w:rPr>
                <w:rFonts w:ascii="仿宋_GB2312" w:hAnsi="仿宋" w:eastAsia="仿宋_GB2312"/>
                <w:color w:val="auto"/>
              </w:rPr>
            </w:pPr>
            <w:r>
              <w:rPr>
                <w:rFonts w:hint="eastAsia" w:ascii="仿宋_GB2312" w:hAnsi="仿宋" w:eastAsia="仿宋_GB2312"/>
                <w:color w:val="auto"/>
              </w:rPr>
              <w:t>13:30-17:00</w:t>
            </w:r>
          </w:p>
        </w:tc>
        <w:tc>
          <w:tcPr>
            <w:tcW w:w="1547" w:type="dxa"/>
            <w:vAlign w:val="center"/>
          </w:tcPr>
          <w:p>
            <w:pPr>
              <w:pStyle w:val="11"/>
              <w:adjustRightInd/>
              <w:jc w:val="center"/>
              <w:rPr>
                <w:rFonts w:ascii="仿宋_GB2312" w:hAnsi="仿宋" w:eastAsia="仿宋_GB2312"/>
                <w:color w:val="auto"/>
              </w:rPr>
            </w:pPr>
            <w:r>
              <w:rPr>
                <w:rFonts w:hint="eastAsia" w:ascii="仿宋_GB2312" w:hAnsi="仿宋" w:eastAsia="仿宋_GB2312"/>
                <w:color w:val="auto"/>
              </w:rPr>
              <w:t>模块B考核，现场评分</w:t>
            </w:r>
          </w:p>
          <w:p>
            <w:pPr>
              <w:pStyle w:val="11"/>
              <w:adjustRightInd/>
              <w:jc w:val="center"/>
              <w:rPr>
                <w:rFonts w:ascii="仿宋_GB2312" w:hAnsi="仿宋" w:eastAsia="仿宋_GB2312"/>
                <w:color w:val="auto"/>
              </w:rPr>
            </w:pPr>
            <w:r>
              <w:rPr>
                <w:rFonts w:hint="eastAsia" w:ascii="仿宋_GB2312" w:hAnsi="仿宋" w:eastAsia="仿宋_GB2312"/>
                <w:color w:val="auto"/>
              </w:rPr>
              <w:t>模块C考核，现场评分</w:t>
            </w:r>
          </w:p>
          <w:p>
            <w:pPr>
              <w:pStyle w:val="11"/>
              <w:adjustRightInd/>
              <w:jc w:val="center"/>
              <w:rPr>
                <w:rFonts w:ascii="仿宋_GB2312" w:hAnsi="仿宋" w:eastAsia="仿宋_GB2312"/>
                <w:color w:val="auto"/>
              </w:rPr>
            </w:pPr>
          </w:p>
        </w:tc>
        <w:tc>
          <w:tcPr>
            <w:tcW w:w="2127" w:type="dxa"/>
            <w:vAlign w:val="center"/>
          </w:tcPr>
          <w:p>
            <w:pPr>
              <w:pStyle w:val="11"/>
              <w:adjustRightInd/>
              <w:jc w:val="center"/>
              <w:rPr>
                <w:rFonts w:ascii="仿宋_GB2312" w:hAnsi="仿宋_GB2312" w:eastAsia="仿宋_GB2312" w:cs="仿宋_GB2312"/>
                <w:color w:val="auto"/>
              </w:rPr>
            </w:pPr>
            <w:r>
              <w:rPr>
                <w:rFonts w:hint="eastAsia" w:ascii="仿宋_GB2312" w:hAnsi="仿宋" w:eastAsia="仿宋_GB2312"/>
                <w:color w:val="auto"/>
              </w:rPr>
              <w:t>各参赛选手，现场裁判</w:t>
            </w:r>
          </w:p>
        </w:tc>
        <w:tc>
          <w:tcPr>
            <w:tcW w:w="1702" w:type="dxa"/>
            <w:vAlign w:val="center"/>
          </w:tcPr>
          <w:p>
            <w:pPr>
              <w:pStyle w:val="11"/>
              <w:adjustRightInd/>
              <w:jc w:val="center"/>
              <w:rPr>
                <w:rFonts w:ascii="仿宋_GB2312" w:hAnsi="仿宋_GB2312" w:eastAsia="仿宋_GB2312" w:cs="仿宋_GB2312"/>
                <w:color w:val="auto"/>
              </w:rPr>
            </w:pPr>
            <w:r>
              <w:rPr>
                <w:rFonts w:hint="eastAsia" w:ascii="仿宋_GB2312" w:hAnsi="仿宋" w:eastAsia="仿宋_GB2312" w:cs="Times New Roman"/>
                <w:color w:val="auto"/>
              </w:rPr>
              <w:t>1号实训楼503、505</w:t>
            </w:r>
          </w:p>
        </w:tc>
        <w:tc>
          <w:tcPr>
            <w:tcW w:w="1701" w:type="dxa"/>
          </w:tcPr>
          <w:p>
            <w:pPr>
              <w:pStyle w:val="11"/>
              <w:adjustRightInd/>
              <w:jc w:val="center"/>
              <w:rPr>
                <w:rFonts w:ascii="仿宋_GB2312" w:hAnsi="仿宋" w:eastAsia="仿宋_GB2312" w:cs="Times New Roman"/>
                <w:color w:val="auto"/>
              </w:rPr>
            </w:pPr>
          </w:p>
        </w:tc>
        <w:tc>
          <w:tcPr>
            <w:tcW w:w="2128" w:type="dxa"/>
          </w:tcPr>
          <w:p>
            <w:pPr>
              <w:pStyle w:val="11"/>
              <w:adjustRightInd/>
              <w:jc w:val="center"/>
              <w:rPr>
                <w:rFonts w:ascii="仿宋_GB2312" w:hAnsi="仿宋" w:eastAsia="仿宋_GB2312" w:cs="Times New Roman"/>
                <w:color w:val="auto"/>
              </w:rPr>
            </w:pPr>
          </w:p>
        </w:tc>
        <w:tc>
          <w:tcPr>
            <w:tcW w:w="1982" w:type="dxa"/>
          </w:tcPr>
          <w:p>
            <w:pPr>
              <w:pStyle w:val="11"/>
              <w:adjustRightInd/>
              <w:jc w:val="center"/>
              <w:rPr>
                <w:rFonts w:ascii="仿宋_GB2312" w:hAnsi="仿宋" w:eastAsia="仿宋_GB2312" w:cs="Times New Roman"/>
                <w:color w:val="auto"/>
              </w:rPr>
            </w:pPr>
          </w:p>
        </w:tc>
        <w:tc>
          <w:tcPr>
            <w:tcW w:w="1797" w:type="dxa"/>
          </w:tcPr>
          <w:p>
            <w:pPr>
              <w:pStyle w:val="11"/>
              <w:adjustRightInd/>
              <w:jc w:val="center"/>
              <w:rPr>
                <w:rFonts w:ascii="仿宋_GB2312" w:hAnsi="仿宋"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5" w:type="dxa"/>
            <w:vMerge w:val="continue"/>
            <w:vAlign w:val="center"/>
          </w:tcPr>
          <w:p>
            <w:pPr>
              <w:pStyle w:val="11"/>
              <w:adjustRightInd/>
              <w:jc w:val="center"/>
              <w:rPr>
                <w:rFonts w:ascii="仿宋_GB2312" w:hAnsi="仿宋" w:eastAsia="仿宋_GB2312"/>
              </w:rPr>
            </w:pPr>
          </w:p>
        </w:tc>
        <w:tc>
          <w:tcPr>
            <w:tcW w:w="1843" w:type="dxa"/>
            <w:vAlign w:val="center"/>
          </w:tcPr>
          <w:p>
            <w:pPr>
              <w:pStyle w:val="11"/>
              <w:adjustRightInd/>
              <w:jc w:val="center"/>
              <w:rPr>
                <w:rFonts w:ascii="仿宋_GB2312" w:hAnsi="仿宋" w:eastAsia="仿宋_GB2312"/>
              </w:rPr>
            </w:pPr>
            <w:r>
              <w:rPr>
                <w:rFonts w:hint="eastAsia" w:ascii="仿宋_GB2312" w:hAnsi="仿宋" w:eastAsia="仿宋_GB2312"/>
              </w:rPr>
              <w:t>17:00-20:00</w:t>
            </w:r>
          </w:p>
        </w:tc>
        <w:tc>
          <w:tcPr>
            <w:tcW w:w="1547" w:type="dxa"/>
            <w:vAlign w:val="center"/>
          </w:tcPr>
          <w:p>
            <w:pPr>
              <w:pStyle w:val="11"/>
              <w:adjustRightInd/>
              <w:jc w:val="center"/>
              <w:rPr>
                <w:rFonts w:ascii="仿宋_GB2312" w:hAnsi="仿宋" w:eastAsia="仿宋_GB2312"/>
              </w:rPr>
            </w:pPr>
            <w:r>
              <w:rPr>
                <w:rFonts w:hint="eastAsia" w:ascii="仿宋_GB2312" w:hAnsi="仿宋" w:eastAsia="仿宋_GB2312"/>
              </w:rPr>
              <w:t>结果评分</w:t>
            </w:r>
          </w:p>
        </w:tc>
        <w:tc>
          <w:tcPr>
            <w:tcW w:w="2127" w:type="dxa"/>
            <w:vAlign w:val="center"/>
          </w:tcPr>
          <w:p>
            <w:pPr>
              <w:pStyle w:val="11"/>
              <w:adjustRightInd/>
              <w:jc w:val="center"/>
              <w:rPr>
                <w:rFonts w:ascii="仿宋_GB2312" w:hAnsi="仿宋" w:eastAsia="仿宋_GB2312"/>
              </w:rPr>
            </w:pPr>
            <w:r>
              <w:rPr>
                <w:rFonts w:hint="eastAsia" w:ascii="仿宋_GB2312" w:hAnsi="仿宋" w:eastAsia="仿宋_GB2312"/>
              </w:rPr>
              <w:t>评分裁判</w:t>
            </w:r>
          </w:p>
        </w:tc>
        <w:tc>
          <w:tcPr>
            <w:tcW w:w="1702" w:type="dxa"/>
            <w:vAlign w:val="center"/>
          </w:tcPr>
          <w:p>
            <w:pPr>
              <w:pStyle w:val="11"/>
              <w:adjustRightInd/>
              <w:jc w:val="center"/>
              <w:rPr>
                <w:rFonts w:ascii="仿宋_GB2312" w:hAnsi="仿宋" w:eastAsia="仿宋_GB2312" w:cs="Times New Roman"/>
                <w:color w:val="auto"/>
              </w:rPr>
            </w:pPr>
            <w:r>
              <w:rPr>
                <w:rFonts w:hint="eastAsia" w:ascii="仿宋_GB2312" w:hAnsi="仿宋" w:eastAsia="仿宋_GB2312" w:cs="Times New Roman"/>
                <w:color w:val="auto"/>
              </w:rPr>
              <w:t>裁判休息间</w:t>
            </w:r>
          </w:p>
        </w:tc>
        <w:tc>
          <w:tcPr>
            <w:tcW w:w="1701" w:type="dxa"/>
            <w:vAlign w:val="center"/>
          </w:tcPr>
          <w:p>
            <w:pPr>
              <w:pStyle w:val="11"/>
              <w:adjustRightInd/>
              <w:jc w:val="center"/>
              <w:rPr>
                <w:rFonts w:ascii="仿宋_GB2312" w:hAnsi="仿宋" w:eastAsia="仿宋_GB2312"/>
              </w:rPr>
            </w:pPr>
            <w:r>
              <w:rPr>
                <w:rFonts w:hint="eastAsia" w:ascii="仿宋_GB2312" w:hAnsi="仿宋" w:eastAsia="仿宋_GB2312"/>
              </w:rPr>
              <w:t>17:00-20:00</w:t>
            </w:r>
          </w:p>
        </w:tc>
        <w:tc>
          <w:tcPr>
            <w:tcW w:w="2128" w:type="dxa"/>
            <w:vAlign w:val="center"/>
          </w:tcPr>
          <w:p>
            <w:pPr>
              <w:pStyle w:val="11"/>
              <w:adjustRightInd/>
              <w:jc w:val="center"/>
              <w:rPr>
                <w:rFonts w:ascii="仿宋_GB2312" w:hAnsi="仿宋" w:eastAsia="仿宋_GB2312"/>
              </w:rPr>
            </w:pPr>
            <w:r>
              <w:rPr>
                <w:rFonts w:hint="eastAsia" w:ascii="仿宋_GB2312" w:hAnsi="仿宋" w:eastAsia="仿宋_GB2312"/>
              </w:rPr>
              <w:t>结果评分</w:t>
            </w:r>
          </w:p>
        </w:tc>
        <w:tc>
          <w:tcPr>
            <w:tcW w:w="1982" w:type="dxa"/>
            <w:vAlign w:val="center"/>
          </w:tcPr>
          <w:p>
            <w:pPr>
              <w:pStyle w:val="11"/>
              <w:adjustRightInd/>
              <w:jc w:val="center"/>
              <w:rPr>
                <w:rFonts w:ascii="仿宋_GB2312" w:hAnsi="仿宋" w:eastAsia="仿宋_GB2312"/>
              </w:rPr>
            </w:pPr>
            <w:r>
              <w:rPr>
                <w:rFonts w:hint="eastAsia" w:ascii="仿宋_GB2312" w:hAnsi="仿宋" w:eastAsia="仿宋_GB2312"/>
              </w:rPr>
              <w:t>评分裁判</w:t>
            </w:r>
          </w:p>
        </w:tc>
        <w:tc>
          <w:tcPr>
            <w:tcW w:w="1797" w:type="dxa"/>
            <w:vAlign w:val="center"/>
          </w:tcPr>
          <w:p>
            <w:pPr>
              <w:pStyle w:val="11"/>
              <w:adjustRightInd/>
              <w:jc w:val="center"/>
              <w:rPr>
                <w:rFonts w:ascii="仿宋_GB2312" w:hAnsi="仿宋" w:eastAsia="仿宋_GB2312" w:cs="Times New Roman"/>
                <w:color w:val="auto"/>
              </w:rPr>
            </w:pPr>
            <w:r>
              <w:rPr>
                <w:rFonts w:hint="eastAsia" w:ascii="仿宋_GB2312" w:hAnsi="仿宋" w:eastAsia="仿宋_GB2312" w:cs="Times New Roman"/>
                <w:color w:val="auto"/>
              </w:rPr>
              <w:t>裁判休息间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85" w:type="dxa"/>
            <w:vMerge w:val="continue"/>
            <w:vAlign w:val="center"/>
          </w:tcPr>
          <w:p>
            <w:pPr>
              <w:pStyle w:val="11"/>
              <w:adjustRightInd/>
              <w:jc w:val="center"/>
              <w:rPr>
                <w:rFonts w:ascii="仿宋_GB2312" w:hAnsi="仿宋" w:eastAsia="仿宋_GB2312"/>
              </w:rPr>
            </w:pPr>
          </w:p>
        </w:tc>
        <w:tc>
          <w:tcPr>
            <w:tcW w:w="1843" w:type="dxa"/>
            <w:vAlign w:val="center"/>
          </w:tcPr>
          <w:p>
            <w:pPr>
              <w:pStyle w:val="11"/>
              <w:adjustRightInd/>
              <w:rPr>
                <w:rFonts w:ascii="仿宋_GB2312" w:hAnsi="仿宋" w:eastAsia="仿宋_GB2312"/>
              </w:rPr>
            </w:pPr>
            <w:r>
              <w:rPr>
                <w:rFonts w:hint="eastAsia" w:ascii="仿宋_GB2312" w:hAnsi="仿宋" w:eastAsia="仿宋_GB2312"/>
              </w:rPr>
              <w:t>20:00以后</w:t>
            </w:r>
          </w:p>
        </w:tc>
        <w:tc>
          <w:tcPr>
            <w:tcW w:w="12984" w:type="dxa"/>
            <w:gridSpan w:val="7"/>
            <w:vAlign w:val="center"/>
          </w:tcPr>
          <w:p>
            <w:pPr>
              <w:pStyle w:val="11"/>
              <w:adjustRightInd/>
              <w:jc w:val="center"/>
              <w:rPr>
                <w:rFonts w:ascii="仿宋_GB2312" w:hAnsi="仿宋" w:eastAsia="仿宋_GB2312"/>
              </w:rPr>
            </w:pPr>
            <w:r>
              <w:rPr>
                <w:rFonts w:hint="eastAsia" w:ascii="仿宋_GB2312" w:hAnsi="仿宋" w:eastAsia="仿宋_GB2312"/>
              </w:rPr>
              <w:t>公布竞赛成绩</w:t>
            </w:r>
          </w:p>
        </w:tc>
      </w:tr>
    </w:tbl>
    <w:p>
      <w:pPr>
        <w:rPr>
          <w:rFonts w:ascii="仿宋_GB2312" w:eastAsia="仿宋_GB2312"/>
          <w:sz w:val="30"/>
          <w:szCs w:val="30"/>
        </w:rPr>
      </w:pPr>
      <w:r>
        <w:rPr>
          <w:rFonts w:hint="eastAsia" w:ascii="仿宋_GB2312" w:hAnsi="宋体" w:eastAsia="仿宋_GB2312" w:cs="宋体"/>
          <w:kern w:val="0"/>
          <w:szCs w:val="21"/>
        </w:rPr>
        <w:t>注：参赛选手必须提前30分钟凭参赛证和身份证到指定地点参加检录和抽签工作。</w:t>
      </w:r>
    </w:p>
    <w:p/>
    <w:sectPr>
      <w:pgSz w:w="16838" w:h="11906" w:orient="landscape"/>
      <w:pgMar w:top="1797" w:right="1440" w:bottom="1797" w:left="1440"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4932"/>
    <w:multiLevelType w:val="multilevel"/>
    <w:tmpl w:val="01204932"/>
    <w:lvl w:ilvl="0" w:tentative="0">
      <w:start w:val="1"/>
      <w:numFmt w:val="bullet"/>
      <w:lvlText w:val=""/>
      <w:lvlJc w:val="left"/>
      <w:pPr>
        <w:ind w:left="1300" w:hanging="420"/>
      </w:pPr>
      <w:rPr>
        <w:rFonts w:hint="default" w:ascii="Wingdings" w:hAnsi="Wingdings"/>
      </w:rPr>
    </w:lvl>
    <w:lvl w:ilvl="1" w:tentative="0">
      <w:start w:val="1"/>
      <w:numFmt w:val="bullet"/>
      <w:lvlText w:val=""/>
      <w:lvlJc w:val="left"/>
      <w:pPr>
        <w:ind w:left="1720" w:hanging="420"/>
      </w:pPr>
      <w:rPr>
        <w:rFonts w:hint="default" w:ascii="Wingdings" w:hAnsi="Wingdings"/>
      </w:rPr>
    </w:lvl>
    <w:lvl w:ilvl="2" w:tentative="0">
      <w:start w:val="1"/>
      <w:numFmt w:val="bullet"/>
      <w:lvlText w:val=""/>
      <w:lvlJc w:val="left"/>
      <w:pPr>
        <w:ind w:left="2140" w:hanging="420"/>
      </w:pPr>
      <w:rPr>
        <w:rFonts w:hint="default" w:ascii="Wingdings" w:hAnsi="Wingdings"/>
      </w:rPr>
    </w:lvl>
    <w:lvl w:ilvl="3" w:tentative="0">
      <w:start w:val="1"/>
      <w:numFmt w:val="bullet"/>
      <w:lvlText w:val=""/>
      <w:lvlJc w:val="left"/>
      <w:pPr>
        <w:ind w:left="2560" w:hanging="420"/>
      </w:pPr>
      <w:rPr>
        <w:rFonts w:hint="default" w:ascii="Wingdings" w:hAnsi="Wingdings"/>
      </w:rPr>
    </w:lvl>
    <w:lvl w:ilvl="4" w:tentative="0">
      <w:start w:val="1"/>
      <w:numFmt w:val="bullet"/>
      <w:lvlText w:val=""/>
      <w:lvlJc w:val="left"/>
      <w:pPr>
        <w:ind w:left="2980" w:hanging="420"/>
      </w:pPr>
      <w:rPr>
        <w:rFonts w:hint="default" w:ascii="Wingdings" w:hAnsi="Wingdings"/>
      </w:rPr>
    </w:lvl>
    <w:lvl w:ilvl="5" w:tentative="0">
      <w:start w:val="1"/>
      <w:numFmt w:val="bullet"/>
      <w:lvlText w:val=""/>
      <w:lvlJc w:val="left"/>
      <w:pPr>
        <w:ind w:left="3400" w:hanging="420"/>
      </w:pPr>
      <w:rPr>
        <w:rFonts w:hint="default" w:ascii="Wingdings" w:hAnsi="Wingdings"/>
      </w:rPr>
    </w:lvl>
    <w:lvl w:ilvl="6" w:tentative="0">
      <w:start w:val="1"/>
      <w:numFmt w:val="bullet"/>
      <w:lvlText w:val=""/>
      <w:lvlJc w:val="left"/>
      <w:pPr>
        <w:ind w:left="3820" w:hanging="420"/>
      </w:pPr>
      <w:rPr>
        <w:rFonts w:hint="default" w:ascii="Wingdings" w:hAnsi="Wingdings"/>
      </w:rPr>
    </w:lvl>
    <w:lvl w:ilvl="7" w:tentative="0">
      <w:start w:val="1"/>
      <w:numFmt w:val="bullet"/>
      <w:lvlText w:val=""/>
      <w:lvlJc w:val="left"/>
      <w:pPr>
        <w:ind w:left="4240" w:hanging="420"/>
      </w:pPr>
      <w:rPr>
        <w:rFonts w:hint="default" w:ascii="Wingdings" w:hAnsi="Wingdings"/>
      </w:rPr>
    </w:lvl>
    <w:lvl w:ilvl="8" w:tentative="0">
      <w:start w:val="1"/>
      <w:numFmt w:val="bullet"/>
      <w:lvlText w:val=""/>
      <w:lvlJc w:val="left"/>
      <w:pPr>
        <w:ind w:left="4660" w:hanging="420"/>
      </w:pPr>
      <w:rPr>
        <w:rFonts w:hint="default" w:ascii="Wingdings" w:hAnsi="Wingdings"/>
      </w:rPr>
    </w:lvl>
  </w:abstractNum>
  <w:abstractNum w:abstractNumId="1">
    <w:nsid w:val="09D43E32"/>
    <w:multiLevelType w:val="multilevel"/>
    <w:tmpl w:val="09D43E32"/>
    <w:lvl w:ilvl="0" w:tentative="0">
      <w:start w:val="1"/>
      <w:numFmt w:val="bullet"/>
      <w:lvlText w:val=""/>
      <w:lvlJc w:val="left"/>
      <w:pPr>
        <w:ind w:left="1300" w:hanging="420"/>
      </w:pPr>
      <w:rPr>
        <w:rFonts w:hint="default" w:ascii="Wingdings" w:hAnsi="Wingdings"/>
      </w:rPr>
    </w:lvl>
    <w:lvl w:ilvl="1" w:tentative="0">
      <w:start w:val="1"/>
      <w:numFmt w:val="bullet"/>
      <w:lvlText w:val=""/>
      <w:lvlJc w:val="left"/>
      <w:pPr>
        <w:ind w:left="917" w:hanging="420"/>
      </w:pPr>
      <w:rPr>
        <w:rFonts w:hint="default" w:ascii="Wingdings" w:hAnsi="Wingdings"/>
      </w:rPr>
    </w:lvl>
    <w:lvl w:ilvl="2" w:tentative="0">
      <w:start w:val="1"/>
      <w:numFmt w:val="bullet"/>
      <w:lvlText w:val=""/>
      <w:lvlJc w:val="left"/>
      <w:pPr>
        <w:ind w:left="2140" w:hanging="420"/>
      </w:pPr>
      <w:rPr>
        <w:rFonts w:hint="default" w:ascii="Wingdings" w:hAnsi="Wingdings"/>
      </w:rPr>
    </w:lvl>
    <w:lvl w:ilvl="3" w:tentative="0">
      <w:start w:val="1"/>
      <w:numFmt w:val="bullet"/>
      <w:lvlText w:val=""/>
      <w:lvlJc w:val="left"/>
      <w:pPr>
        <w:ind w:left="2560" w:hanging="420"/>
      </w:pPr>
      <w:rPr>
        <w:rFonts w:hint="default" w:ascii="Wingdings" w:hAnsi="Wingdings"/>
      </w:rPr>
    </w:lvl>
    <w:lvl w:ilvl="4" w:tentative="0">
      <w:start w:val="1"/>
      <w:numFmt w:val="bullet"/>
      <w:lvlText w:val=""/>
      <w:lvlJc w:val="left"/>
      <w:pPr>
        <w:ind w:left="2980" w:hanging="420"/>
      </w:pPr>
      <w:rPr>
        <w:rFonts w:hint="default" w:ascii="Wingdings" w:hAnsi="Wingdings"/>
      </w:rPr>
    </w:lvl>
    <w:lvl w:ilvl="5" w:tentative="0">
      <w:start w:val="1"/>
      <w:numFmt w:val="bullet"/>
      <w:lvlText w:val=""/>
      <w:lvlJc w:val="left"/>
      <w:pPr>
        <w:ind w:left="3400" w:hanging="420"/>
      </w:pPr>
      <w:rPr>
        <w:rFonts w:hint="default" w:ascii="Wingdings" w:hAnsi="Wingdings"/>
      </w:rPr>
    </w:lvl>
    <w:lvl w:ilvl="6" w:tentative="0">
      <w:start w:val="1"/>
      <w:numFmt w:val="bullet"/>
      <w:lvlText w:val=""/>
      <w:lvlJc w:val="left"/>
      <w:pPr>
        <w:ind w:left="3820" w:hanging="420"/>
      </w:pPr>
      <w:rPr>
        <w:rFonts w:hint="default" w:ascii="Wingdings" w:hAnsi="Wingdings"/>
      </w:rPr>
    </w:lvl>
    <w:lvl w:ilvl="7" w:tentative="0">
      <w:start w:val="1"/>
      <w:numFmt w:val="bullet"/>
      <w:lvlText w:val=""/>
      <w:lvlJc w:val="left"/>
      <w:pPr>
        <w:ind w:left="4240" w:hanging="420"/>
      </w:pPr>
      <w:rPr>
        <w:rFonts w:hint="default" w:ascii="Wingdings" w:hAnsi="Wingdings"/>
      </w:rPr>
    </w:lvl>
    <w:lvl w:ilvl="8" w:tentative="0">
      <w:start w:val="1"/>
      <w:numFmt w:val="bullet"/>
      <w:lvlText w:val=""/>
      <w:lvlJc w:val="left"/>
      <w:pPr>
        <w:ind w:left="4660" w:hanging="420"/>
      </w:pPr>
      <w:rPr>
        <w:rFonts w:hint="default" w:ascii="Wingdings" w:hAnsi="Wingdings"/>
      </w:rPr>
    </w:lvl>
  </w:abstractNum>
  <w:abstractNum w:abstractNumId="2">
    <w:nsid w:val="0E7D0AB5"/>
    <w:multiLevelType w:val="multilevel"/>
    <w:tmpl w:val="0E7D0AB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29E6889"/>
    <w:multiLevelType w:val="multilevel"/>
    <w:tmpl w:val="129E6889"/>
    <w:lvl w:ilvl="0" w:tentative="0">
      <w:start w:val="1"/>
      <w:numFmt w:val="bullet"/>
      <w:lvlText w:val=""/>
      <w:lvlJc w:val="left"/>
      <w:pPr>
        <w:ind w:left="1325" w:hanging="420"/>
      </w:pPr>
      <w:rPr>
        <w:rFonts w:hint="default" w:ascii="Wingdings" w:hAnsi="Wingdings"/>
      </w:rPr>
    </w:lvl>
    <w:lvl w:ilvl="1" w:tentative="0">
      <w:start w:val="1"/>
      <w:numFmt w:val="bullet"/>
      <w:lvlText w:val=""/>
      <w:lvlJc w:val="left"/>
      <w:pPr>
        <w:ind w:left="1745" w:hanging="420"/>
      </w:pPr>
      <w:rPr>
        <w:rFonts w:hint="default" w:ascii="Wingdings" w:hAnsi="Wingdings"/>
      </w:rPr>
    </w:lvl>
    <w:lvl w:ilvl="2" w:tentative="0">
      <w:start w:val="1"/>
      <w:numFmt w:val="bullet"/>
      <w:lvlText w:val=""/>
      <w:lvlJc w:val="left"/>
      <w:pPr>
        <w:ind w:left="2165" w:hanging="420"/>
      </w:pPr>
      <w:rPr>
        <w:rFonts w:hint="default" w:ascii="Wingdings" w:hAnsi="Wingdings"/>
      </w:rPr>
    </w:lvl>
    <w:lvl w:ilvl="3" w:tentative="0">
      <w:start w:val="1"/>
      <w:numFmt w:val="bullet"/>
      <w:lvlText w:val=""/>
      <w:lvlJc w:val="left"/>
      <w:pPr>
        <w:ind w:left="2585" w:hanging="420"/>
      </w:pPr>
      <w:rPr>
        <w:rFonts w:hint="default" w:ascii="Wingdings" w:hAnsi="Wingdings"/>
      </w:rPr>
    </w:lvl>
    <w:lvl w:ilvl="4" w:tentative="0">
      <w:start w:val="1"/>
      <w:numFmt w:val="bullet"/>
      <w:lvlText w:val=""/>
      <w:lvlJc w:val="left"/>
      <w:pPr>
        <w:ind w:left="3005" w:hanging="420"/>
      </w:pPr>
      <w:rPr>
        <w:rFonts w:hint="default" w:ascii="Wingdings" w:hAnsi="Wingdings"/>
      </w:rPr>
    </w:lvl>
    <w:lvl w:ilvl="5" w:tentative="0">
      <w:start w:val="1"/>
      <w:numFmt w:val="bullet"/>
      <w:lvlText w:val=""/>
      <w:lvlJc w:val="left"/>
      <w:pPr>
        <w:ind w:left="3425" w:hanging="420"/>
      </w:pPr>
      <w:rPr>
        <w:rFonts w:hint="default" w:ascii="Wingdings" w:hAnsi="Wingdings"/>
      </w:rPr>
    </w:lvl>
    <w:lvl w:ilvl="6" w:tentative="0">
      <w:start w:val="1"/>
      <w:numFmt w:val="bullet"/>
      <w:lvlText w:val=""/>
      <w:lvlJc w:val="left"/>
      <w:pPr>
        <w:ind w:left="3845" w:hanging="420"/>
      </w:pPr>
      <w:rPr>
        <w:rFonts w:hint="default" w:ascii="Wingdings" w:hAnsi="Wingdings"/>
      </w:rPr>
    </w:lvl>
    <w:lvl w:ilvl="7" w:tentative="0">
      <w:start w:val="1"/>
      <w:numFmt w:val="bullet"/>
      <w:lvlText w:val=""/>
      <w:lvlJc w:val="left"/>
      <w:pPr>
        <w:ind w:left="4265" w:hanging="420"/>
      </w:pPr>
      <w:rPr>
        <w:rFonts w:hint="default" w:ascii="Wingdings" w:hAnsi="Wingdings"/>
      </w:rPr>
    </w:lvl>
    <w:lvl w:ilvl="8" w:tentative="0">
      <w:start w:val="1"/>
      <w:numFmt w:val="bullet"/>
      <w:lvlText w:val=""/>
      <w:lvlJc w:val="left"/>
      <w:pPr>
        <w:ind w:left="4685" w:hanging="420"/>
      </w:pPr>
      <w:rPr>
        <w:rFonts w:hint="default" w:ascii="Wingdings" w:hAnsi="Wingdings"/>
      </w:rPr>
    </w:lvl>
  </w:abstractNum>
  <w:abstractNum w:abstractNumId="4">
    <w:nsid w:val="14A06765"/>
    <w:multiLevelType w:val="multilevel"/>
    <w:tmpl w:val="14A06765"/>
    <w:lvl w:ilvl="0" w:tentative="0">
      <w:start w:val="1"/>
      <w:numFmt w:val="bullet"/>
      <w:lvlText w:val=""/>
      <w:lvlJc w:val="left"/>
      <w:pPr>
        <w:ind w:left="917" w:hanging="420"/>
      </w:pPr>
      <w:rPr>
        <w:rFonts w:hint="default" w:ascii="Wingdings" w:hAnsi="Wingdings"/>
      </w:rPr>
    </w:lvl>
    <w:lvl w:ilvl="1" w:tentative="0">
      <w:start w:val="0"/>
      <w:numFmt w:val="bullet"/>
      <w:lvlText w:val="•"/>
      <w:lvlJc w:val="left"/>
      <w:pPr>
        <w:ind w:left="917" w:hanging="420"/>
      </w:pPr>
      <w:rPr>
        <w:rFonts w:hint="default" w:ascii="Times New Roman" w:hAnsi="Times New Roman" w:eastAsia="宋体" w:cs="Times New Roman"/>
      </w:rPr>
    </w:lvl>
    <w:lvl w:ilvl="2" w:tentative="0">
      <w:start w:val="1"/>
      <w:numFmt w:val="bullet"/>
      <w:lvlText w:val=""/>
      <w:lvlJc w:val="left"/>
      <w:pPr>
        <w:ind w:left="1757" w:hanging="420"/>
      </w:pPr>
      <w:rPr>
        <w:rFonts w:hint="default" w:ascii="Wingdings" w:hAnsi="Wingdings"/>
      </w:rPr>
    </w:lvl>
    <w:lvl w:ilvl="3" w:tentative="0">
      <w:start w:val="1"/>
      <w:numFmt w:val="bullet"/>
      <w:lvlText w:val=""/>
      <w:lvlJc w:val="left"/>
      <w:pPr>
        <w:ind w:left="2177" w:hanging="420"/>
      </w:pPr>
      <w:rPr>
        <w:rFonts w:hint="default" w:ascii="Wingdings" w:hAnsi="Wingdings"/>
      </w:rPr>
    </w:lvl>
    <w:lvl w:ilvl="4" w:tentative="0">
      <w:start w:val="1"/>
      <w:numFmt w:val="bullet"/>
      <w:lvlText w:val=""/>
      <w:lvlJc w:val="left"/>
      <w:pPr>
        <w:ind w:left="2597" w:hanging="420"/>
      </w:pPr>
      <w:rPr>
        <w:rFonts w:hint="default" w:ascii="Wingdings" w:hAnsi="Wingdings"/>
      </w:rPr>
    </w:lvl>
    <w:lvl w:ilvl="5" w:tentative="0">
      <w:start w:val="1"/>
      <w:numFmt w:val="bullet"/>
      <w:lvlText w:val=""/>
      <w:lvlJc w:val="left"/>
      <w:pPr>
        <w:ind w:left="3017" w:hanging="420"/>
      </w:pPr>
      <w:rPr>
        <w:rFonts w:hint="default" w:ascii="Wingdings" w:hAnsi="Wingdings"/>
      </w:rPr>
    </w:lvl>
    <w:lvl w:ilvl="6" w:tentative="0">
      <w:start w:val="1"/>
      <w:numFmt w:val="bullet"/>
      <w:lvlText w:val=""/>
      <w:lvlJc w:val="left"/>
      <w:pPr>
        <w:ind w:left="3437" w:hanging="420"/>
      </w:pPr>
      <w:rPr>
        <w:rFonts w:hint="default" w:ascii="Wingdings" w:hAnsi="Wingdings"/>
      </w:rPr>
    </w:lvl>
    <w:lvl w:ilvl="7" w:tentative="0">
      <w:start w:val="1"/>
      <w:numFmt w:val="bullet"/>
      <w:lvlText w:val=""/>
      <w:lvlJc w:val="left"/>
      <w:pPr>
        <w:ind w:left="3857" w:hanging="420"/>
      </w:pPr>
      <w:rPr>
        <w:rFonts w:hint="default" w:ascii="Wingdings" w:hAnsi="Wingdings"/>
      </w:rPr>
    </w:lvl>
    <w:lvl w:ilvl="8" w:tentative="0">
      <w:start w:val="1"/>
      <w:numFmt w:val="bullet"/>
      <w:lvlText w:val=""/>
      <w:lvlJc w:val="left"/>
      <w:pPr>
        <w:ind w:left="4277" w:hanging="420"/>
      </w:pPr>
      <w:rPr>
        <w:rFonts w:hint="default" w:ascii="Wingdings" w:hAnsi="Wingdings"/>
      </w:rPr>
    </w:lvl>
  </w:abstractNum>
  <w:abstractNum w:abstractNumId="5">
    <w:nsid w:val="17E314E0"/>
    <w:multiLevelType w:val="multilevel"/>
    <w:tmpl w:val="17E314E0"/>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6">
    <w:nsid w:val="21C7160B"/>
    <w:multiLevelType w:val="multilevel"/>
    <w:tmpl w:val="21C7160B"/>
    <w:lvl w:ilvl="0" w:tentative="0">
      <w:start w:val="0"/>
      <w:numFmt w:val="bullet"/>
      <w:lvlText w:val="•"/>
      <w:lvlJc w:val="left"/>
      <w:pPr>
        <w:ind w:left="1540" w:hanging="420"/>
      </w:pPr>
      <w:rPr>
        <w:rFonts w:hint="default" w:ascii="Times New Roman" w:hAnsi="Times New Roman" w:eastAsia="宋体" w:cs="Times New Roman"/>
      </w:rPr>
    </w:lvl>
    <w:lvl w:ilvl="1" w:tentative="0">
      <w:start w:val="0"/>
      <w:numFmt w:val="bullet"/>
      <w:lvlText w:val="•"/>
      <w:lvlJc w:val="left"/>
      <w:pPr>
        <w:ind w:left="917" w:hanging="420"/>
      </w:pPr>
      <w:rPr>
        <w:rFonts w:hint="default" w:ascii="Times New Roman" w:hAnsi="Times New Roman" w:eastAsia="宋体" w:cs="Times New Roman"/>
      </w:rPr>
    </w:lvl>
    <w:lvl w:ilvl="2" w:tentative="0">
      <w:start w:val="1"/>
      <w:numFmt w:val="bullet"/>
      <w:lvlText w:val=""/>
      <w:lvlJc w:val="left"/>
      <w:pPr>
        <w:ind w:left="2380" w:hanging="420"/>
      </w:pPr>
      <w:rPr>
        <w:rFonts w:hint="default" w:ascii="Wingdings" w:hAnsi="Wingdings"/>
      </w:rPr>
    </w:lvl>
    <w:lvl w:ilvl="3" w:tentative="0">
      <w:start w:val="1"/>
      <w:numFmt w:val="bullet"/>
      <w:lvlText w:val=""/>
      <w:lvlJc w:val="left"/>
      <w:pPr>
        <w:ind w:left="2800" w:hanging="420"/>
      </w:pPr>
      <w:rPr>
        <w:rFonts w:hint="default" w:ascii="Wingdings" w:hAnsi="Wingdings"/>
      </w:rPr>
    </w:lvl>
    <w:lvl w:ilvl="4" w:tentative="0">
      <w:start w:val="1"/>
      <w:numFmt w:val="bullet"/>
      <w:lvlText w:val=""/>
      <w:lvlJc w:val="left"/>
      <w:pPr>
        <w:ind w:left="3220" w:hanging="420"/>
      </w:pPr>
      <w:rPr>
        <w:rFonts w:hint="default" w:ascii="Wingdings" w:hAnsi="Wingdings"/>
      </w:rPr>
    </w:lvl>
    <w:lvl w:ilvl="5" w:tentative="0">
      <w:start w:val="1"/>
      <w:numFmt w:val="bullet"/>
      <w:lvlText w:val=""/>
      <w:lvlJc w:val="left"/>
      <w:pPr>
        <w:ind w:left="3640" w:hanging="420"/>
      </w:pPr>
      <w:rPr>
        <w:rFonts w:hint="default" w:ascii="Wingdings" w:hAnsi="Wingdings"/>
      </w:rPr>
    </w:lvl>
    <w:lvl w:ilvl="6" w:tentative="0">
      <w:start w:val="1"/>
      <w:numFmt w:val="bullet"/>
      <w:lvlText w:val=""/>
      <w:lvlJc w:val="left"/>
      <w:pPr>
        <w:ind w:left="4060" w:hanging="420"/>
      </w:pPr>
      <w:rPr>
        <w:rFonts w:hint="default" w:ascii="Wingdings" w:hAnsi="Wingdings"/>
      </w:rPr>
    </w:lvl>
    <w:lvl w:ilvl="7" w:tentative="0">
      <w:start w:val="1"/>
      <w:numFmt w:val="bullet"/>
      <w:lvlText w:val=""/>
      <w:lvlJc w:val="left"/>
      <w:pPr>
        <w:ind w:left="4480" w:hanging="420"/>
      </w:pPr>
      <w:rPr>
        <w:rFonts w:hint="default" w:ascii="Wingdings" w:hAnsi="Wingdings"/>
      </w:rPr>
    </w:lvl>
    <w:lvl w:ilvl="8" w:tentative="0">
      <w:start w:val="1"/>
      <w:numFmt w:val="bullet"/>
      <w:lvlText w:val=""/>
      <w:lvlJc w:val="left"/>
      <w:pPr>
        <w:ind w:left="4900" w:hanging="420"/>
      </w:pPr>
      <w:rPr>
        <w:rFonts w:hint="default" w:ascii="Wingdings" w:hAnsi="Wingdings"/>
      </w:rPr>
    </w:lvl>
  </w:abstractNum>
  <w:abstractNum w:abstractNumId="7">
    <w:nsid w:val="26E02710"/>
    <w:multiLevelType w:val="multilevel"/>
    <w:tmpl w:val="26E02710"/>
    <w:lvl w:ilvl="0" w:tentative="0">
      <w:start w:val="0"/>
      <w:numFmt w:val="bullet"/>
      <w:lvlText w:val="•"/>
      <w:lvlJc w:val="left"/>
      <w:pPr>
        <w:ind w:left="1540" w:hanging="420"/>
      </w:pPr>
      <w:rPr>
        <w:rFonts w:hint="default" w:ascii="Times New Roman" w:hAnsi="Times New Roman" w:eastAsia="宋体" w:cs="Times New Roman"/>
      </w:rPr>
    </w:lvl>
    <w:lvl w:ilvl="1" w:tentative="0">
      <w:start w:val="1"/>
      <w:numFmt w:val="bullet"/>
      <w:lvlText w:val=""/>
      <w:lvlJc w:val="left"/>
      <w:pPr>
        <w:ind w:left="1960" w:hanging="420"/>
      </w:pPr>
      <w:rPr>
        <w:rFonts w:hint="default" w:ascii="Wingdings" w:hAnsi="Wingdings"/>
      </w:rPr>
    </w:lvl>
    <w:lvl w:ilvl="2" w:tentative="0">
      <w:start w:val="1"/>
      <w:numFmt w:val="bullet"/>
      <w:lvlText w:val=""/>
      <w:lvlJc w:val="left"/>
      <w:pPr>
        <w:ind w:left="2380" w:hanging="420"/>
      </w:pPr>
      <w:rPr>
        <w:rFonts w:hint="default" w:ascii="Wingdings" w:hAnsi="Wingdings"/>
      </w:rPr>
    </w:lvl>
    <w:lvl w:ilvl="3" w:tentative="0">
      <w:start w:val="1"/>
      <w:numFmt w:val="bullet"/>
      <w:lvlText w:val=""/>
      <w:lvlJc w:val="left"/>
      <w:pPr>
        <w:ind w:left="2800" w:hanging="420"/>
      </w:pPr>
      <w:rPr>
        <w:rFonts w:hint="default" w:ascii="Wingdings" w:hAnsi="Wingdings"/>
      </w:rPr>
    </w:lvl>
    <w:lvl w:ilvl="4" w:tentative="0">
      <w:start w:val="1"/>
      <w:numFmt w:val="bullet"/>
      <w:lvlText w:val=""/>
      <w:lvlJc w:val="left"/>
      <w:pPr>
        <w:ind w:left="3220" w:hanging="420"/>
      </w:pPr>
      <w:rPr>
        <w:rFonts w:hint="default" w:ascii="Wingdings" w:hAnsi="Wingdings"/>
      </w:rPr>
    </w:lvl>
    <w:lvl w:ilvl="5" w:tentative="0">
      <w:start w:val="1"/>
      <w:numFmt w:val="bullet"/>
      <w:lvlText w:val=""/>
      <w:lvlJc w:val="left"/>
      <w:pPr>
        <w:ind w:left="3640" w:hanging="420"/>
      </w:pPr>
      <w:rPr>
        <w:rFonts w:hint="default" w:ascii="Wingdings" w:hAnsi="Wingdings"/>
      </w:rPr>
    </w:lvl>
    <w:lvl w:ilvl="6" w:tentative="0">
      <w:start w:val="1"/>
      <w:numFmt w:val="bullet"/>
      <w:lvlText w:val=""/>
      <w:lvlJc w:val="left"/>
      <w:pPr>
        <w:ind w:left="4060" w:hanging="420"/>
      </w:pPr>
      <w:rPr>
        <w:rFonts w:hint="default" w:ascii="Wingdings" w:hAnsi="Wingdings"/>
      </w:rPr>
    </w:lvl>
    <w:lvl w:ilvl="7" w:tentative="0">
      <w:start w:val="1"/>
      <w:numFmt w:val="bullet"/>
      <w:lvlText w:val=""/>
      <w:lvlJc w:val="left"/>
      <w:pPr>
        <w:ind w:left="4480" w:hanging="420"/>
      </w:pPr>
      <w:rPr>
        <w:rFonts w:hint="default" w:ascii="Wingdings" w:hAnsi="Wingdings"/>
      </w:rPr>
    </w:lvl>
    <w:lvl w:ilvl="8" w:tentative="0">
      <w:start w:val="1"/>
      <w:numFmt w:val="bullet"/>
      <w:lvlText w:val=""/>
      <w:lvlJc w:val="left"/>
      <w:pPr>
        <w:ind w:left="4900" w:hanging="420"/>
      </w:pPr>
      <w:rPr>
        <w:rFonts w:hint="default" w:ascii="Wingdings" w:hAnsi="Wingdings"/>
      </w:rPr>
    </w:lvl>
  </w:abstractNum>
  <w:abstractNum w:abstractNumId="8">
    <w:nsid w:val="2BAB687A"/>
    <w:multiLevelType w:val="multilevel"/>
    <w:tmpl w:val="2BAB687A"/>
    <w:lvl w:ilvl="0" w:tentative="0">
      <w:start w:val="1"/>
      <w:numFmt w:val="bullet"/>
      <w:lvlText w:val=""/>
      <w:lvlJc w:val="left"/>
      <w:pPr>
        <w:ind w:left="1300" w:hanging="420"/>
      </w:pPr>
      <w:rPr>
        <w:rFonts w:hint="default" w:ascii="Wingdings" w:hAnsi="Wingdings"/>
      </w:rPr>
    </w:lvl>
    <w:lvl w:ilvl="1" w:tentative="0">
      <w:start w:val="1"/>
      <w:numFmt w:val="bullet"/>
      <w:lvlText w:val=""/>
      <w:lvlJc w:val="left"/>
      <w:pPr>
        <w:ind w:left="1720" w:hanging="420"/>
      </w:pPr>
      <w:rPr>
        <w:rFonts w:hint="default" w:ascii="Wingdings" w:hAnsi="Wingdings"/>
      </w:rPr>
    </w:lvl>
    <w:lvl w:ilvl="2" w:tentative="0">
      <w:start w:val="1"/>
      <w:numFmt w:val="bullet"/>
      <w:lvlText w:val=""/>
      <w:lvlJc w:val="left"/>
      <w:pPr>
        <w:ind w:left="2140" w:hanging="420"/>
      </w:pPr>
      <w:rPr>
        <w:rFonts w:hint="default" w:ascii="Wingdings" w:hAnsi="Wingdings"/>
      </w:rPr>
    </w:lvl>
    <w:lvl w:ilvl="3" w:tentative="0">
      <w:start w:val="1"/>
      <w:numFmt w:val="bullet"/>
      <w:lvlText w:val=""/>
      <w:lvlJc w:val="left"/>
      <w:pPr>
        <w:ind w:left="2560" w:hanging="420"/>
      </w:pPr>
      <w:rPr>
        <w:rFonts w:hint="default" w:ascii="Wingdings" w:hAnsi="Wingdings"/>
      </w:rPr>
    </w:lvl>
    <w:lvl w:ilvl="4" w:tentative="0">
      <w:start w:val="1"/>
      <w:numFmt w:val="bullet"/>
      <w:lvlText w:val=""/>
      <w:lvlJc w:val="left"/>
      <w:pPr>
        <w:ind w:left="2980" w:hanging="420"/>
      </w:pPr>
      <w:rPr>
        <w:rFonts w:hint="default" w:ascii="Wingdings" w:hAnsi="Wingdings"/>
      </w:rPr>
    </w:lvl>
    <w:lvl w:ilvl="5" w:tentative="0">
      <w:start w:val="1"/>
      <w:numFmt w:val="bullet"/>
      <w:lvlText w:val=""/>
      <w:lvlJc w:val="left"/>
      <w:pPr>
        <w:ind w:left="3400" w:hanging="420"/>
      </w:pPr>
      <w:rPr>
        <w:rFonts w:hint="default" w:ascii="Wingdings" w:hAnsi="Wingdings"/>
      </w:rPr>
    </w:lvl>
    <w:lvl w:ilvl="6" w:tentative="0">
      <w:start w:val="1"/>
      <w:numFmt w:val="bullet"/>
      <w:lvlText w:val=""/>
      <w:lvlJc w:val="left"/>
      <w:pPr>
        <w:ind w:left="3820" w:hanging="420"/>
      </w:pPr>
      <w:rPr>
        <w:rFonts w:hint="default" w:ascii="Wingdings" w:hAnsi="Wingdings"/>
      </w:rPr>
    </w:lvl>
    <w:lvl w:ilvl="7" w:tentative="0">
      <w:start w:val="1"/>
      <w:numFmt w:val="bullet"/>
      <w:lvlText w:val=""/>
      <w:lvlJc w:val="left"/>
      <w:pPr>
        <w:ind w:left="4240" w:hanging="420"/>
      </w:pPr>
      <w:rPr>
        <w:rFonts w:hint="default" w:ascii="Wingdings" w:hAnsi="Wingdings"/>
      </w:rPr>
    </w:lvl>
    <w:lvl w:ilvl="8" w:tentative="0">
      <w:start w:val="1"/>
      <w:numFmt w:val="bullet"/>
      <w:lvlText w:val=""/>
      <w:lvlJc w:val="left"/>
      <w:pPr>
        <w:ind w:left="4660" w:hanging="420"/>
      </w:pPr>
      <w:rPr>
        <w:rFonts w:hint="default" w:ascii="Wingdings" w:hAnsi="Wingdings"/>
      </w:rPr>
    </w:lvl>
  </w:abstractNum>
  <w:abstractNum w:abstractNumId="9">
    <w:nsid w:val="2BAE68C0"/>
    <w:multiLevelType w:val="multilevel"/>
    <w:tmpl w:val="2BAE68C0"/>
    <w:lvl w:ilvl="0" w:tentative="0">
      <w:start w:val="1"/>
      <w:numFmt w:val="bullet"/>
      <w:lvlText w:val=""/>
      <w:lvlJc w:val="left"/>
      <w:pPr>
        <w:ind w:left="1300" w:hanging="420"/>
      </w:pPr>
      <w:rPr>
        <w:rFonts w:hint="default" w:ascii="Wingdings" w:hAnsi="Wingdings"/>
      </w:rPr>
    </w:lvl>
    <w:lvl w:ilvl="1" w:tentative="0">
      <w:start w:val="1"/>
      <w:numFmt w:val="bullet"/>
      <w:lvlText w:val=""/>
      <w:lvlJc w:val="left"/>
      <w:pPr>
        <w:ind w:left="1720" w:hanging="420"/>
      </w:pPr>
      <w:rPr>
        <w:rFonts w:hint="default" w:ascii="Wingdings" w:hAnsi="Wingdings"/>
      </w:rPr>
    </w:lvl>
    <w:lvl w:ilvl="2" w:tentative="0">
      <w:start w:val="1"/>
      <w:numFmt w:val="bullet"/>
      <w:lvlText w:val=""/>
      <w:lvlJc w:val="left"/>
      <w:pPr>
        <w:ind w:left="2140" w:hanging="420"/>
      </w:pPr>
      <w:rPr>
        <w:rFonts w:hint="default" w:ascii="Wingdings" w:hAnsi="Wingdings"/>
      </w:rPr>
    </w:lvl>
    <w:lvl w:ilvl="3" w:tentative="0">
      <w:start w:val="1"/>
      <w:numFmt w:val="bullet"/>
      <w:lvlText w:val=""/>
      <w:lvlJc w:val="left"/>
      <w:pPr>
        <w:ind w:left="2560" w:hanging="420"/>
      </w:pPr>
      <w:rPr>
        <w:rFonts w:hint="default" w:ascii="Wingdings" w:hAnsi="Wingdings"/>
      </w:rPr>
    </w:lvl>
    <w:lvl w:ilvl="4" w:tentative="0">
      <w:start w:val="1"/>
      <w:numFmt w:val="bullet"/>
      <w:lvlText w:val=""/>
      <w:lvlJc w:val="left"/>
      <w:pPr>
        <w:ind w:left="2980" w:hanging="420"/>
      </w:pPr>
      <w:rPr>
        <w:rFonts w:hint="default" w:ascii="Wingdings" w:hAnsi="Wingdings"/>
      </w:rPr>
    </w:lvl>
    <w:lvl w:ilvl="5" w:tentative="0">
      <w:start w:val="1"/>
      <w:numFmt w:val="bullet"/>
      <w:lvlText w:val=""/>
      <w:lvlJc w:val="left"/>
      <w:pPr>
        <w:ind w:left="3400" w:hanging="420"/>
      </w:pPr>
      <w:rPr>
        <w:rFonts w:hint="default" w:ascii="Wingdings" w:hAnsi="Wingdings"/>
      </w:rPr>
    </w:lvl>
    <w:lvl w:ilvl="6" w:tentative="0">
      <w:start w:val="1"/>
      <w:numFmt w:val="bullet"/>
      <w:lvlText w:val=""/>
      <w:lvlJc w:val="left"/>
      <w:pPr>
        <w:ind w:left="3820" w:hanging="420"/>
      </w:pPr>
      <w:rPr>
        <w:rFonts w:hint="default" w:ascii="Wingdings" w:hAnsi="Wingdings"/>
      </w:rPr>
    </w:lvl>
    <w:lvl w:ilvl="7" w:tentative="0">
      <w:start w:val="1"/>
      <w:numFmt w:val="bullet"/>
      <w:lvlText w:val=""/>
      <w:lvlJc w:val="left"/>
      <w:pPr>
        <w:ind w:left="4240" w:hanging="420"/>
      </w:pPr>
      <w:rPr>
        <w:rFonts w:hint="default" w:ascii="Wingdings" w:hAnsi="Wingdings"/>
      </w:rPr>
    </w:lvl>
    <w:lvl w:ilvl="8" w:tentative="0">
      <w:start w:val="1"/>
      <w:numFmt w:val="bullet"/>
      <w:lvlText w:val=""/>
      <w:lvlJc w:val="left"/>
      <w:pPr>
        <w:ind w:left="4660" w:hanging="420"/>
      </w:pPr>
      <w:rPr>
        <w:rFonts w:hint="default" w:ascii="Wingdings" w:hAnsi="Wingdings"/>
      </w:rPr>
    </w:lvl>
  </w:abstractNum>
  <w:abstractNum w:abstractNumId="10">
    <w:nsid w:val="2C480A24"/>
    <w:multiLevelType w:val="multilevel"/>
    <w:tmpl w:val="2C480A24"/>
    <w:lvl w:ilvl="0" w:tentative="0">
      <w:start w:val="1"/>
      <w:numFmt w:val="bullet"/>
      <w:lvlText w:val=""/>
      <w:lvlJc w:val="left"/>
      <w:pPr>
        <w:ind w:left="1300" w:hanging="420"/>
      </w:pPr>
      <w:rPr>
        <w:rFonts w:hint="default" w:ascii="Wingdings" w:hAnsi="Wingdings"/>
      </w:rPr>
    </w:lvl>
    <w:lvl w:ilvl="1" w:tentative="0">
      <w:start w:val="1"/>
      <w:numFmt w:val="bullet"/>
      <w:lvlText w:val=""/>
      <w:lvlJc w:val="left"/>
      <w:pPr>
        <w:ind w:left="917" w:hanging="420"/>
      </w:pPr>
      <w:rPr>
        <w:rFonts w:hint="default" w:ascii="Wingdings" w:hAnsi="Wingdings"/>
      </w:rPr>
    </w:lvl>
    <w:lvl w:ilvl="2" w:tentative="0">
      <w:start w:val="1"/>
      <w:numFmt w:val="bullet"/>
      <w:lvlText w:val=""/>
      <w:lvlJc w:val="left"/>
      <w:pPr>
        <w:ind w:left="2140" w:hanging="420"/>
      </w:pPr>
      <w:rPr>
        <w:rFonts w:hint="default" w:ascii="Wingdings" w:hAnsi="Wingdings"/>
      </w:rPr>
    </w:lvl>
    <w:lvl w:ilvl="3" w:tentative="0">
      <w:start w:val="1"/>
      <w:numFmt w:val="bullet"/>
      <w:lvlText w:val=""/>
      <w:lvlJc w:val="left"/>
      <w:pPr>
        <w:ind w:left="2560" w:hanging="420"/>
      </w:pPr>
      <w:rPr>
        <w:rFonts w:hint="default" w:ascii="Wingdings" w:hAnsi="Wingdings"/>
      </w:rPr>
    </w:lvl>
    <w:lvl w:ilvl="4" w:tentative="0">
      <w:start w:val="1"/>
      <w:numFmt w:val="bullet"/>
      <w:lvlText w:val=""/>
      <w:lvlJc w:val="left"/>
      <w:pPr>
        <w:ind w:left="2980" w:hanging="420"/>
      </w:pPr>
      <w:rPr>
        <w:rFonts w:hint="default" w:ascii="Wingdings" w:hAnsi="Wingdings"/>
      </w:rPr>
    </w:lvl>
    <w:lvl w:ilvl="5" w:tentative="0">
      <w:start w:val="1"/>
      <w:numFmt w:val="bullet"/>
      <w:lvlText w:val=""/>
      <w:lvlJc w:val="left"/>
      <w:pPr>
        <w:ind w:left="3400" w:hanging="420"/>
      </w:pPr>
      <w:rPr>
        <w:rFonts w:hint="default" w:ascii="Wingdings" w:hAnsi="Wingdings"/>
      </w:rPr>
    </w:lvl>
    <w:lvl w:ilvl="6" w:tentative="0">
      <w:start w:val="1"/>
      <w:numFmt w:val="bullet"/>
      <w:lvlText w:val=""/>
      <w:lvlJc w:val="left"/>
      <w:pPr>
        <w:ind w:left="3820" w:hanging="420"/>
      </w:pPr>
      <w:rPr>
        <w:rFonts w:hint="default" w:ascii="Wingdings" w:hAnsi="Wingdings"/>
      </w:rPr>
    </w:lvl>
    <w:lvl w:ilvl="7" w:tentative="0">
      <w:start w:val="1"/>
      <w:numFmt w:val="bullet"/>
      <w:lvlText w:val=""/>
      <w:lvlJc w:val="left"/>
      <w:pPr>
        <w:ind w:left="4240" w:hanging="420"/>
      </w:pPr>
      <w:rPr>
        <w:rFonts w:hint="default" w:ascii="Wingdings" w:hAnsi="Wingdings"/>
      </w:rPr>
    </w:lvl>
    <w:lvl w:ilvl="8" w:tentative="0">
      <w:start w:val="1"/>
      <w:numFmt w:val="bullet"/>
      <w:lvlText w:val=""/>
      <w:lvlJc w:val="left"/>
      <w:pPr>
        <w:ind w:left="4660" w:hanging="420"/>
      </w:pPr>
      <w:rPr>
        <w:rFonts w:hint="default" w:ascii="Wingdings" w:hAnsi="Wingdings"/>
      </w:rPr>
    </w:lvl>
  </w:abstractNum>
  <w:abstractNum w:abstractNumId="11">
    <w:nsid w:val="38705249"/>
    <w:multiLevelType w:val="multilevel"/>
    <w:tmpl w:val="38705249"/>
    <w:lvl w:ilvl="0" w:tentative="0">
      <w:start w:val="1"/>
      <w:numFmt w:val="bullet"/>
      <w:lvlText w:val=""/>
      <w:lvlJc w:val="left"/>
      <w:pPr>
        <w:ind w:left="1300" w:hanging="420"/>
      </w:pPr>
      <w:rPr>
        <w:rFonts w:hint="default" w:ascii="Wingdings" w:hAnsi="Wingdings"/>
      </w:rPr>
    </w:lvl>
    <w:lvl w:ilvl="1" w:tentative="0">
      <w:start w:val="1"/>
      <w:numFmt w:val="bullet"/>
      <w:lvlText w:val=""/>
      <w:lvlJc w:val="left"/>
      <w:pPr>
        <w:ind w:left="1720" w:hanging="420"/>
      </w:pPr>
      <w:rPr>
        <w:rFonts w:hint="default" w:ascii="Wingdings" w:hAnsi="Wingdings"/>
      </w:rPr>
    </w:lvl>
    <w:lvl w:ilvl="2" w:tentative="0">
      <w:start w:val="1"/>
      <w:numFmt w:val="bullet"/>
      <w:lvlText w:val=""/>
      <w:lvlJc w:val="left"/>
      <w:pPr>
        <w:ind w:left="2140" w:hanging="420"/>
      </w:pPr>
      <w:rPr>
        <w:rFonts w:hint="default" w:ascii="Wingdings" w:hAnsi="Wingdings"/>
      </w:rPr>
    </w:lvl>
    <w:lvl w:ilvl="3" w:tentative="0">
      <w:start w:val="1"/>
      <w:numFmt w:val="bullet"/>
      <w:lvlText w:val=""/>
      <w:lvlJc w:val="left"/>
      <w:pPr>
        <w:ind w:left="2560" w:hanging="420"/>
      </w:pPr>
      <w:rPr>
        <w:rFonts w:hint="default" w:ascii="Wingdings" w:hAnsi="Wingdings"/>
      </w:rPr>
    </w:lvl>
    <w:lvl w:ilvl="4" w:tentative="0">
      <w:start w:val="1"/>
      <w:numFmt w:val="bullet"/>
      <w:lvlText w:val=""/>
      <w:lvlJc w:val="left"/>
      <w:pPr>
        <w:ind w:left="2980" w:hanging="420"/>
      </w:pPr>
      <w:rPr>
        <w:rFonts w:hint="default" w:ascii="Wingdings" w:hAnsi="Wingdings"/>
      </w:rPr>
    </w:lvl>
    <w:lvl w:ilvl="5" w:tentative="0">
      <w:start w:val="1"/>
      <w:numFmt w:val="bullet"/>
      <w:lvlText w:val=""/>
      <w:lvlJc w:val="left"/>
      <w:pPr>
        <w:ind w:left="3400" w:hanging="420"/>
      </w:pPr>
      <w:rPr>
        <w:rFonts w:hint="default" w:ascii="Wingdings" w:hAnsi="Wingdings"/>
      </w:rPr>
    </w:lvl>
    <w:lvl w:ilvl="6" w:tentative="0">
      <w:start w:val="1"/>
      <w:numFmt w:val="bullet"/>
      <w:lvlText w:val=""/>
      <w:lvlJc w:val="left"/>
      <w:pPr>
        <w:ind w:left="3820" w:hanging="420"/>
      </w:pPr>
      <w:rPr>
        <w:rFonts w:hint="default" w:ascii="Wingdings" w:hAnsi="Wingdings"/>
      </w:rPr>
    </w:lvl>
    <w:lvl w:ilvl="7" w:tentative="0">
      <w:start w:val="1"/>
      <w:numFmt w:val="bullet"/>
      <w:lvlText w:val=""/>
      <w:lvlJc w:val="left"/>
      <w:pPr>
        <w:ind w:left="4240" w:hanging="420"/>
      </w:pPr>
      <w:rPr>
        <w:rFonts w:hint="default" w:ascii="Wingdings" w:hAnsi="Wingdings"/>
      </w:rPr>
    </w:lvl>
    <w:lvl w:ilvl="8" w:tentative="0">
      <w:start w:val="1"/>
      <w:numFmt w:val="bullet"/>
      <w:lvlText w:val=""/>
      <w:lvlJc w:val="left"/>
      <w:pPr>
        <w:ind w:left="4660" w:hanging="420"/>
      </w:pPr>
      <w:rPr>
        <w:rFonts w:hint="default" w:ascii="Wingdings" w:hAnsi="Wingdings"/>
      </w:rPr>
    </w:lvl>
  </w:abstractNum>
  <w:abstractNum w:abstractNumId="12">
    <w:nsid w:val="3D331EBE"/>
    <w:multiLevelType w:val="multilevel"/>
    <w:tmpl w:val="3D331EBE"/>
    <w:lvl w:ilvl="0" w:tentative="0">
      <w:start w:val="1"/>
      <w:numFmt w:val="bullet"/>
      <w:lvlText w:val=""/>
      <w:lvlJc w:val="left"/>
      <w:pPr>
        <w:ind w:left="917" w:hanging="420"/>
      </w:pPr>
      <w:rPr>
        <w:rFonts w:hint="default" w:ascii="Wingdings" w:hAnsi="Wingdings"/>
      </w:rPr>
    </w:lvl>
    <w:lvl w:ilvl="1" w:tentative="0">
      <w:start w:val="1"/>
      <w:numFmt w:val="bullet"/>
      <w:lvlText w:val=""/>
      <w:lvlJc w:val="left"/>
      <w:pPr>
        <w:ind w:left="917" w:hanging="420"/>
      </w:pPr>
      <w:rPr>
        <w:rFonts w:hint="default" w:ascii="Wingdings" w:hAnsi="Wingdings"/>
      </w:rPr>
    </w:lvl>
    <w:lvl w:ilvl="2" w:tentative="0">
      <w:start w:val="1"/>
      <w:numFmt w:val="bullet"/>
      <w:lvlText w:val=""/>
      <w:lvlJc w:val="left"/>
      <w:pPr>
        <w:ind w:left="1757" w:hanging="420"/>
      </w:pPr>
      <w:rPr>
        <w:rFonts w:hint="default" w:ascii="Wingdings" w:hAnsi="Wingdings"/>
      </w:rPr>
    </w:lvl>
    <w:lvl w:ilvl="3" w:tentative="0">
      <w:start w:val="1"/>
      <w:numFmt w:val="bullet"/>
      <w:lvlText w:val=""/>
      <w:lvlJc w:val="left"/>
      <w:pPr>
        <w:ind w:left="2177" w:hanging="420"/>
      </w:pPr>
      <w:rPr>
        <w:rFonts w:hint="default" w:ascii="Wingdings" w:hAnsi="Wingdings"/>
      </w:rPr>
    </w:lvl>
    <w:lvl w:ilvl="4" w:tentative="0">
      <w:start w:val="1"/>
      <w:numFmt w:val="bullet"/>
      <w:lvlText w:val=""/>
      <w:lvlJc w:val="left"/>
      <w:pPr>
        <w:ind w:left="2597" w:hanging="420"/>
      </w:pPr>
      <w:rPr>
        <w:rFonts w:hint="default" w:ascii="Wingdings" w:hAnsi="Wingdings"/>
      </w:rPr>
    </w:lvl>
    <w:lvl w:ilvl="5" w:tentative="0">
      <w:start w:val="1"/>
      <w:numFmt w:val="bullet"/>
      <w:lvlText w:val=""/>
      <w:lvlJc w:val="left"/>
      <w:pPr>
        <w:ind w:left="3017" w:hanging="420"/>
      </w:pPr>
      <w:rPr>
        <w:rFonts w:hint="default" w:ascii="Wingdings" w:hAnsi="Wingdings"/>
      </w:rPr>
    </w:lvl>
    <w:lvl w:ilvl="6" w:tentative="0">
      <w:start w:val="1"/>
      <w:numFmt w:val="bullet"/>
      <w:lvlText w:val=""/>
      <w:lvlJc w:val="left"/>
      <w:pPr>
        <w:ind w:left="3437" w:hanging="420"/>
      </w:pPr>
      <w:rPr>
        <w:rFonts w:hint="default" w:ascii="Wingdings" w:hAnsi="Wingdings"/>
      </w:rPr>
    </w:lvl>
    <w:lvl w:ilvl="7" w:tentative="0">
      <w:start w:val="1"/>
      <w:numFmt w:val="bullet"/>
      <w:lvlText w:val=""/>
      <w:lvlJc w:val="left"/>
      <w:pPr>
        <w:ind w:left="3857" w:hanging="420"/>
      </w:pPr>
      <w:rPr>
        <w:rFonts w:hint="default" w:ascii="Wingdings" w:hAnsi="Wingdings"/>
      </w:rPr>
    </w:lvl>
    <w:lvl w:ilvl="8" w:tentative="0">
      <w:start w:val="1"/>
      <w:numFmt w:val="bullet"/>
      <w:lvlText w:val=""/>
      <w:lvlJc w:val="left"/>
      <w:pPr>
        <w:ind w:left="4277" w:hanging="420"/>
      </w:pPr>
      <w:rPr>
        <w:rFonts w:hint="default" w:ascii="Wingdings" w:hAnsi="Wingdings"/>
      </w:rPr>
    </w:lvl>
  </w:abstractNum>
  <w:abstractNum w:abstractNumId="13">
    <w:nsid w:val="48F0711B"/>
    <w:multiLevelType w:val="multilevel"/>
    <w:tmpl w:val="48F0711B"/>
    <w:lvl w:ilvl="0" w:tentative="0">
      <w:start w:val="1"/>
      <w:numFmt w:val="bullet"/>
      <w:lvlText w:val=""/>
      <w:lvlJc w:val="left"/>
      <w:pPr>
        <w:ind w:left="1325" w:hanging="420"/>
      </w:pPr>
      <w:rPr>
        <w:rFonts w:hint="default" w:ascii="Wingdings" w:hAnsi="Wingdings"/>
      </w:rPr>
    </w:lvl>
    <w:lvl w:ilvl="1" w:tentative="0">
      <w:start w:val="1"/>
      <w:numFmt w:val="bullet"/>
      <w:lvlText w:val=""/>
      <w:lvlJc w:val="left"/>
      <w:pPr>
        <w:ind w:left="1745" w:hanging="420"/>
      </w:pPr>
      <w:rPr>
        <w:rFonts w:hint="default" w:ascii="Wingdings" w:hAnsi="Wingdings"/>
      </w:rPr>
    </w:lvl>
    <w:lvl w:ilvl="2" w:tentative="0">
      <w:start w:val="1"/>
      <w:numFmt w:val="bullet"/>
      <w:lvlText w:val=""/>
      <w:lvlJc w:val="left"/>
      <w:pPr>
        <w:ind w:left="2165" w:hanging="420"/>
      </w:pPr>
      <w:rPr>
        <w:rFonts w:hint="default" w:ascii="Wingdings" w:hAnsi="Wingdings"/>
      </w:rPr>
    </w:lvl>
    <w:lvl w:ilvl="3" w:tentative="0">
      <w:start w:val="1"/>
      <w:numFmt w:val="bullet"/>
      <w:lvlText w:val=""/>
      <w:lvlJc w:val="left"/>
      <w:pPr>
        <w:ind w:left="2585" w:hanging="420"/>
      </w:pPr>
      <w:rPr>
        <w:rFonts w:hint="default" w:ascii="Wingdings" w:hAnsi="Wingdings"/>
      </w:rPr>
    </w:lvl>
    <w:lvl w:ilvl="4" w:tentative="0">
      <w:start w:val="1"/>
      <w:numFmt w:val="bullet"/>
      <w:lvlText w:val=""/>
      <w:lvlJc w:val="left"/>
      <w:pPr>
        <w:ind w:left="3005" w:hanging="420"/>
      </w:pPr>
      <w:rPr>
        <w:rFonts w:hint="default" w:ascii="Wingdings" w:hAnsi="Wingdings"/>
      </w:rPr>
    </w:lvl>
    <w:lvl w:ilvl="5" w:tentative="0">
      <w:start w:val="1"/>
      <w:numFmt w:val="bullet"/>
      <w:lvlText w:val=""/>
      <w:lvlJc w:val="left"/>
      <w:pPr>
        <w:ind w:left="3425" w:hanging="420"/>
      </w:pPr>
      <w:rPr>
        <w:rFonts w:hint="default" w:ascii="Wingdings" w:hAnsi="Wingdings"/>
      </w:rPr>
    </w:lvl>
    <w:lvl w:ilvl="6" w:tentative="0">
      <w:start w:val="1"/>
      <w:numFmt w:val="bullet"/>
      <w:lvlText w:val=""/>
      <w:lvlJc w:val="left"/>
      <w:pPr>
        <w:ind w:left="3845" w:hanging="420"/>
      </w:pPr>
      <w:rPr>
        <w:rFonts w:hint="default" w:ascii="Wingdings" w:hAnsi="Wingdings"/>
      </w:rPr>
    </w:lvl>
    <w:lvl w:ilvl="7" w:tentative="0">
      <w:start w:val="1"/>
      <w:numFmt w:val="bullet"/>
      <w:lvlText w:val=""/>
      <w:lvlJc w:val="left"/>
      <w:pPr>
        <w:ind w:left="4265" w:hanging="420"/>
      </w:pPr>
      <w:rPr>
        <w:rFonts w:hint="default" w:ascii="Wingdings" w:hAnsi="Wingdings"/>
      </w:rPr>
    </w:lvl>
    <w:lvl w:ilvl="8" w:tentative="0">
      <w:start w:val="1"/>
      <w:numFmt w:val="bullet"/>
      <w:lvlText w:val=""/>
      <w:lvlJc w:val="left"/>
      <w:pPr>
        <w:ind w:left="4685" w:hanging="420"/>
      </w:pPr>
      <w:rPr>
        <w:rFonts w:hint="default" w:ascii="Wingdings" w:hAnsi="Wingdings"/>
      </w:rPr>
    </w:lvl>
  </w:abstractNum>
  <w:abstractNum w:abstractNumId="14">
    <w:nsid w:val="4CCA19FE"/>
    <w:multiLevelType w:val="multilevel"/>
    <w:tmpl w:val="4CCA19F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61B41018"/>
    <w:multiLevelType w:val="multilevel"/>
    <w:tmpl w:val="61B41018"/>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6">
    <w:nsid w:val="61CC2CBF"/>
    <w:multiLevelType w:val="multilevel"/>
    <w:tmpl w:val="61CC2CBF"/>
    <w:lvl w:ilvl="0" w:tentative="0">
      <w:start w:val="0"/>
      <w:numFmt w:val="bullet"/>
      <w:lvlText w:val="•"/>
      <w:lvlJc w:val="left"/>
      <w:pPr>
        <w:ind w:left="1420" w:hanging="420"/>
      </w:pPr>
      <w:rPr>
        <w:rFonts w:hint="default" w:ascii="Times New Roman" w:hAnsi="Times New Roman" w:eastAsia="宋体" w:cs="Times New Roman"/>
      </w:rPr>
    </w:lvl>
    <w:lvl w:ilvl="1" w:tentative="0">
      <w:start w:val="1"/>
      <w:numFmt w:val="bullet"/>
      <w:lvlText w:val=""/>
      <w:lvlJc w:val="left"/>
      <w:pPr>
        <w:ind w:left="1840" w:hanging="420"/>
      </w:pPr>
      <w:rPr>
        <w:rFonts w:hint="default" w:ascii="Wingdings" w:hAnsi="Wingdings"/>
      </w:rPr>
    </w:lvl>
    <w:lvl w:ilvl="2" w:tentative="0">
      <w:start w:val="1"/>
      <w:numFmt w:val="bullet"/>
      <w:lvlText w:val=""/>
      <w:lvlJc w:val="left"/>
      <w:pPr>
        <w:ind w:left="2260" w:hanging="420"/>
      </w:pPr>
      <w:rPr>
        <w:rFonts w:hint="default" w:ascii="Wingdings" w:hAnsi="Wingdings"/>
      </w:rPr>
    </w:lvl>
    <w:lvl w:ilvl="3" w:tentative="0">
      <w:start w:val="1"/>
      <w:numFmt w:val="bullet"/>
      <w:lvlText w:val=""/>
      <w:lvlJc w:val="left"/>
      <w:pPr>
        <w:ind w:left="2680" w:hanging="420"/>
      </w:pPr>
      <w:rPr>
        <w:rFonts w:hint="default" w:ascii="Wingdings" w:hAnsi="Wingdings"/>
      </w:rPr>
    </w:lvl>
    <w:lvl w:ilvl="4" w:tentative="0">
      <w:start w:val="1"/>
      <w:numFmt w:val="bullet"/>
      <w:lvlText w:val=""/>
      <w:lvlJc w:val="left"/>
      <w:pPr>
        <w:ind w:left="3100" w:hanging="420"/>
      </w:pPr>
      <w:rPr>
        <w:rFonts w:hint="default" w:ascii="Wingdings" w:hAnsi="Wingdings"/>
      </w:rPr>
    </w:lvl>
    <w:lvl w:ilvl="5" w:tentative="0">
      <w:start w:val="1"/>
      <w:numFmt w:val="bullet"/>
      <w:lvlText w:val=""/>
      <w:lvlJc w:val="left"/>
      <w:pPr>
        <w:ind w:left="3520" w:hanging="420"/>
      </w:pPr>
      <w:rPr>
        <w:rFonts w:hint="default" w:ascii="Wingdings" w:hAnsi="Wingdings"/>
      </w:rPr>
    </w:lvl>
    <w:lvl w:ilvl="6" w:tentative="0">
      <w:start w:val="1"/>
      <w:numFmt w:val="bullet"/>
      <w:lvlText w:val=""/>
      <w:lvlJc w:val="left"/>
      <w:pPr>
        <w:ind w:left="3940" w:hanging="420"/>
      </w:pPr>
      <w:rPr>
        <w:rFonts w:hint="default" w:ascii="Wingdings" w:hAnsi="Wingdings"/>
      </w:rPr>
    </w:lvl>
    <w:lvl w:ilvl="7" w:tentative="0">
      <w:start w:val="1"/>
      <w:numFmt w:val="bullet"/>
      <w:lvlText w:val=""/>
      <w:lvlJc w:val="left"/>
      <w:pPr>
        <w:ind w:left="4360" w:hanging="420"/>
      </w:pPr>
      <w:rPr>
        <w:rFonts w:hint="default" w:ascii="Wingdings" w:hAnsi="Wingdings"/>
      </w:rPr>
    </w:lvl>
    <w:lvl w:ilvl="8" w:tentative="0">
      <w:start w:val="1"/>
      <w:numFmt w:val="bullet"/>
      <w:lvlText w:val=""/>
      <w:lvlJc w:val="left"/>
      <w:pPr>
        <w:ind w:left="4780" w:hanging="420"/>
      </w:pPr>
      <w:rPr>
        <w:rFonts w:hint="default" w:ascii="Wingdings" w:hAnsi="Wingdings"/>
      </w:rPr>
    </w:lvl>
  </w:abstractNum>
  <w:abstractNum w:abstractNumId="17">
    <w:nsid w:val="635350B5"/>
    <w:multiLevelType w:val="singleLevel"/>
    <w:tmpl w:val="635350B5"/>
    <w:lvl w:ilvl="0" w:tentative="0">
      <w:start w:val="1"/>
      <w:numFmt w:val="bullet"/>
      <w:lvlText w:val=""/>
      <w:lvlJc w:val="left"/>
      <w:pPr>
        <w:ind w:left="420" w:hanging="420"/>
      </w:pPr>
      <w:rPr>
        <w:rFonts w:hint="default" w:ascii="Wingdings" w:hAnsi="Wingdings"/>
      </w:rPr>
    </w:lvl>
  </w:abstractNum>
  <w:abstractNum w:abstractNumId="18">
    <w:nsid w:val="65623B10"/>
    <w:multiLevelType w:val="multilevel"/>
    <w:tmpl w:val="65623B10"/>
    <w:lvl w:ilvl="0" w:tentative="0">
      <w:start w:val="1"/>
      <w:numFmt w:val="bullet"/>
      <w:lvlText w:val=""/>
      <w:lvlJc w:val="left"/>
      <w:pPr>
        <w:ind w:left="917" w:hanging="420"/>
      </w:pPr>
      <w:rPr>
        <w:rFonts w:hint="default" w:ascii="Wingdings" w:hAnsi="Wingdings"/>
      </w:rPr>
    </w:lvl>
    <w:lvl w:ilvl="1" w:tentative="0">
      <w:start w:val="1"/>
      <w:numFmt w:val="bullet"/>
      <w:lvlText w:val=""/>
      <w:lvlJc w:val="left"/>
      <w:pPr>
        <w:ind w:left="917" w:hanging="420"/>
      </w:pPr>
      <w:rPr>
        <w:rFonts w:hint="default" w:ascii="Wingdings" w:hAnsi="Wingdings"/>
      </w:rPr>
    </w:lvl>
    <w:lvl w:ilvl="2" w:tentative="0">
      <w:start w:val="1"/>
      <w:numFmt w:val="bullet"/>
      <w:lvlText w:val=""/>
      <w:lvlJc w:val="left"/>
      <w:pPr>
        <w:ind w:left="1757" w:hanging="420"/>
      </w:pPr>
      <w:rPr>
        <w:rFonts w:hint="default" w:ascii="Wingdings" w:hAnsi="Wingdings"/>
      </w:rPr>
    </w:lvl>
    <w:lvl w:ilvl="3" w:tentative="0">
      <w:start w:val="1"/>
      <w:numFmt w:val="bullet"/>
      <w:lvlText w:val=""/>
      <w:lvlJc w:val="left"/>
      <w:pPr>
        <w:ind w:left="2177" w:hanging="420"/>
      </w:pPr>
      <w:rPr>
        <w:rFonts w:hint="default" w:ascii="Wingdings" w:hAnsi="Wingdings"/>
      </w:rPr>
    </w:lvl>
    <w:lvl w:ilvl="4" w:tentative="0">
      <w:start w:val="1"/>
      <w:numFmt w:val="bullet"/>
      <w:lvlText w:val=""/>
      <w:lvlJc w:val="left"/>
      <w:pPr>
        <w:ind w:left="2597" w:hanging="420"/>
      </w:pPr>
      <w:rPr>
        <w:rFonts w:hint="default" w:ascii="Wingdings" w:hAnsi="Wingdings"/>
      </w:rPr>
    </w:lvl>
    <w:lvl w:ilvl="5" w:tentative="0">
      <w:start w:val="1"/>
      <w:numFmt w:val="bullet"/>
      <w:lvlText w:val=""/>
      <w:lvlJc w:val="left"/>
      <w:pPr>
        <w:ind w:left="3017" w:hanging="420"/>
      </w:pPr>
      <w:rPr>
        <w:rFonts w:hint="default" w:ascii="Wingdings" w:hAnsi="Wingdings"/>
      </w:rPr>
    </w:lvl>
    <w:lvl w:ilvl="6" w:tentative="0">
      <w:start w:val="1"/>
      <w:numFmt w:val="bullet"/>
      <w:lvlText w:val=""/>
      <w:lvlJc w:val="left"/>
      <w:pPr>
        <w:ind w:left="3437" w:hanging="420"/>
      </w:pPr>
      <w:rPr>
        <w:rFonts w:hint="default" w:ascii="Wingdings" w:hAnsi="Wingdings"/>
      </w:rPr>
    </w:lvl>
    <w:lvl w:ilvl="7" w:tentative="0">
      <w:start w:val="1"/>
      <w:numFmt w:val="bullet"/>
      <w:lvlText w:val=""/>
      <w:lvlJc w:val="left"/>
      <w:pPr>
        <w:ind w:left="3857" w:hanging="420"/>
      </w:pPr>
      <w:rPr>
        <w:rFonts w:hint="default" w:ascii="Wingdings" w:hAnsi="Wingdings"/>
      </w:rPr>
    </w:lvl>
    <w:lvl w:ilvl="8" w:tentative="0">
      <w:start w:val="1"/>
      <w:numFmt w:val="bullet"/>
      <w:lvlText w:val=""/>
      <w:lvlJc w:val="left"/>
      <w:pPr>
        <w:ind w:left="4277" w:hanging="420"/>
      </w:pPr>
      <w:rPr>
        <w:rFonts w:hint="default" w:ascii="Wingdings" w:hAnsi="Wingdings"/>
      </w:rPr>
    </w:lvl>
  </w:abstractNum>
  <w:abstractNum w:abstractNumId="19">
    <w:nsid w:val="6CC87301"/>
    <w:multiLevelType w:val="multilevel"/>
    <w:tmpl w:val="6CC87301"/>
    <w:lvl w:ilvl="0" w:tentative="0">
      <w:start w:val="1"/>
      <w:numFmt w:val="bullet"/>
      <w:lvlText w:val=""/>
      <w:lvlJc w:val="left"/>
      <w:pPr>
        <w:ind w:left="917" w:hanging="420"/>
      </w:pPr>
      <w:rPr>
        <w:rFonts w:hint="default" w:ascii="Wingdings" w:hAnsi="Wingdings"/>
      </w:rPr>
    </w:lvl>
    <w:lvl w:ilvl="1" w:tentative="0">
      <w:start w:val="0"/>
      <w:numFmt w:val="bullet"/>
      <w:lvlText w:val="•"/>
      <w:lvlJc w:val="left"/>
      <w:pPr>
        <w:ind w:left="1277" w:hanging="360"/>
      </w:pPr>
      <w:rPr>
        <w:rFonts w:hint="default" w:ascii="Times New Roman" w:hAnsi="Times New Roman" w:eastAsia="宋体" w:cs="Times New Roman"/>
      </w:rPr>
    </w:lvl>
    <w:lvl w:ilvl="2" w:tentative="0">
      <w:start w:val="1"/>
      <w:numFmt w:val="bullet"/>
      <w:lvlText w:val=""/>
      <w:lvlJc w:val="left"/>
      <w:pPr>
        <w:ind w:left="1757" w:hanging="420"/>
      </w:pPr>
      <w:rPr>
        <w:rFonts w:hint="default" w:ascii="Wingdings" w:hAnsi="Wingdings"/>
      </w:rPr>
    </w:lvl>
    <w:lvl w:ilvl="3" w:tentative="0">
      <w:start w:val="1"/>
      <w:numFmt w:val="bullet"/>
      <w:lvlText w:val=""/>
      <w:lvlJc w:val="left"/>
      <w:pPr>
        <w:ind w:left="2177" w:hanging="420"/>
      </w:pPr>
      <w:rPr>
        <w:rFonts w:hint="default" w:ascii="Wingdings" w:hAnsi="Wingdings"/>
      </w:rPr>
    </w:lvl>
    <w:lvl w:ilvl="4" w:tentative="0">
      <w:start w:val="1"/>
      <w:numFmt w:val="bullet"/>
      <w:lvlText w:val=""/>
      <w:lvlJc w:val="left"/>
      <w:pPr>
        <w:ind w:left="2597" w:hanging="420"/>
      </w:pPr>
      <w:rPr>
        <w:rFonts w:hint="default" w:ascii="Wingdings" w:hAnsi="Wingdings"/>
      </w:rPr>
    </w:lvl>
    <w:lvl w:ilvl="5" w:tentative="0">
      <w:start w:val="1"/>
      <w:numFmt w:val="bullet"/>
      <w:lvlText w:val=""/>
      <w:lvlJc w:val="left"/>
      <w:pPr>
        <w:ind w:left="3017" w:hanging="420"/>
      </w:pPr>
      <w:rPr>
        <w:rFonts w:hint="default" w:ascii="Wingdings" w:hAnsi="Wingdings"/>
      </w:rPr>
    </w:lvl>
    <w:lvl w:ilvl="6" w:tentative="0">
      <w:start w:val="1"/>
      <w:numFmt w:val="bullet"/>
      <w:lvlText w:val=""/>
      <w:lvlJc w:val="left"/>
      <w:pPr>
        <w:ind w:left="3437" w:hanging="420"/>
      </w:pPr>
      <w:rPr>
        <w:rFonts w:hint="default" w:ascii="Wingdings" w:hAnsi="Wingdings"/>
      </w:rPr>
    </w:lvl>
    <w:lvl w:ilvl="7" w:tentative="0">
      <w:start w:val="1"/>
      <w:numFmt w:val="bullet"/>
      <w:lvlText w:val=""/>
      <w:lvlJc w:val="left"/>
      <w:pPr>
        <w:ind w:left="3857" w:hanging="420"/>
      </w:pPr>
      <w:rPr>
        <w:rFonts w:hint="default" w:ascii="Wingdings" w:hAnsi="Wingdings"/>
      </w:rPr>
    </w:lvl>
    <w:lvl w:ilvl="8" w:tentative="0">
      <w:start w:val="1"/>
      <w:numFmt w:val="bullet"/>
      <w:lvlText w:val=""/>
      <w:lvlJc w:val="left"/>
      <w:pPr>
        <w:ind w:left="4277" w:hanging="420"/>
      </w:pPr>
      <w:rPr>
        <w:rFonts w:hint="default" w:ascii="Wingdings" w:hAnsi="Wingdings"/>
      </w:rPr>
    </w:lvl>
  </w:abstractNum>
  <w:abstractNum w:abstractNumId="20">
    <w:nsid w:val="724461DF"/>
    <w:multiLevelType w:val="multilevel"/>
    <w:tmpl w:val="724461DF"/>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num w:numId="1">
    <w:abstractNumId w:val="19"/>
  </w:num>
  <w:num w:numId="2">
    <w:abstractNumId w:val="12"/>
  </w:num>
  <w:num w:numId="3">
    <w:abstractNumId w:val="4"/>
  </w:num>
  <w:num w:numId="4">
    <w:abstractNumId w:val="10"/>
  </w:num>
  <w:num w:numId="5">
    <w:abstractNumId w:val="1"/>
  </w:num>
  <w:num w:numId="6">
    <w:abstractNumId w:val="6"/>
  </w:num>
  <w:num w:numId="7">
    <w:abstractNumId w:val="18"/>
  </w:num>
  <w:num w:numId="8">
    <w:abstractNumId w:val="0"/>
  </w:num>
  <w:num w:numId="9">
    <w:abstractNumId w:val="2"/>
  </w:num>
  <w:num w:numId="10">
    <w:abstractNumId w:val="16"/>
  </w:num>
  <w:num w:numId="11">
    <w:abstractNumId w:val="14"/>
  </w:num>
  <w:num w:numId="12">
    <w:abstractNumId w:val="8"/>
  </w:num>
  <w:num w:numId="13">
    <w:abstractNumId w:val="11"/>
  </w:num>
  <w:num w:numId="14">
    <w:abstractNumId w:val="9"/>
  </w:num>
  <w:num w:numId="15">
    <w:abstractNumId w:val="7"/>
  </w:num>
  <w:num w:numId="16">
    <w:abstractNumId w:val="5"/>
  </w:num>
  <w:num w:numId="17">
    <w:abstractNumId w:val="15"/>
  </w:num>
  <w:num w:numId="18">
    <w:abstractNumId w:val="17"/>
  </w:num>
  <w:num w:numId="19">
    <w:abstractNumId w:val="20"/>
  </w:num>
  <w:num w:numId="20">
    <w:abstractNumId w:val="3"/>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5C8"/>
    <w:rsid w:val="0000526D"/>
    <w:rsid w:val="00044DAB"/>
    <w:rsid w:val="000475F9"/>
    <w:rsid w:val="000506F9"/>
    <w:rsid w:val="00091A97"/>
    <w:rsid w:val="000A6AAB"/>
    <w:rsid w:val="0011177A"/>
    <w:rsid w:val="00156721"/>
    <w:rsid w:val="00171287"/>
    <w:rsid w:val="00227AB0"/>
    <w:rsid w:val="00267E6B"/>
    <w:rsid w:val="002902A2"/>
    <w:rsid w:val="0029206C"/>
    <w:rsid w:val="0029377E"/>
    <w:rsid w:val="00316979"/>
    <w:rsid w:val="0034682E"/>
    <w:rsid w:val="00360F97"/>
    <w:rsid w:val="003635D6"/>
    <w:rsid w:val="003836D0"/>
    <w:rsid w:val="003B0073"/>
    <w:rsid w:val="00441652"/>
    <w:rsid w:val="0045551E"/>
    <w:rsid w:val="0047039C"/>
    <w:rsid w:val="004A3435"/>
    <w:rsid w:val="005111EE"/>
    <w:rsid w:val="00550890"/>
    <w:rsid w:val="00560709"/>
    <w:rsid w:val="005713BA"/>
    <w:rsid w:val="0057173D"/>
    <w:rsid w:val="00581DBD"/>
    <w:rsid w:val="005C41B2"/>
    <w:rsid w:val="00654252"/>
    <w:rsid w:val="006604D7"/>
    <w:rsid w:val="0067424A"/>
    <w:rsid w:val="007076A1"/>
    <w:rsid w:val="00774E11"/>
    <w:rsid w:val="00781BA5"/>
    <w:rsid w:val="007C6467"/>
    <w:rsid w:val="007F5B21"/>
    <w:rsid w:val="008557BB"/>
    <w:rsid w:val="008755DF"/>
    <w:rsid w:val="008B4B65"/>
    <w:rsid w:val="008D6D2D"/>
    <w:rsid w:val="009034F6"/>
    <w:rsid w:val="00921579"/>
    <w:rsid w:val="009B5A79"/>
    <w:rsid w:val="00A450F4"/>
    <w:rsid w:val="00A55880"/>
    <w:rsid w:val="00AA39BD"/>
    <w:rsid w:val="00AD3C5A"/>
    <w:rsid w:val="00B0316B"/>
    <w:rsid w:val="00B046EB"/>
    <w:rsid w:val="00B22628"/>
    <w:rsid w:val="00B65B48"/>
    <w:rsid w:val="00BB1B3E"/>
    <w:rsid w:val="00BE0B71"/>
    <w:rsid w:val="00BF0069"/>
    <w:rsid w:val="00BF4CEF"/>
    <w:rsid w:val="00C47398"/>
    <w:rsid w:val="00C807DD"/>
    <w:rsid w:val="00CC5E9F"/>
    <w:rsid w:val="00CD25C8"/>
    <w:rsid w:val="00CE1757"/>
    <w:rsid w:val="00D32B89"/>
    <w:rsid w:val="00D41F99"/>
    <w:rsid w:val="00D76A7A"/>
    <w:rsid w:val="00DC7F9E"/>
    <w:rsid w:val="00DF5931"/>
    <w:rsid w:val="00E10959"/>
    <w:rsid w:val="00E159AE"/>
    <w:rsid w:val="00E16DC0"/>
    <w:rsid w:val="00E446D8"/>
    <w:rsid w:val="00E51D6E"/>
    <w:rsid w:val="00E60647"/>
    <w:rsid w:val="00E7218A"/>
    <w:rsid w:val="00E92FCA"/>
    <w:rsid w:val="00EC58E0"/>
    <w:rsid w:val="00F24F16"/>
    <w:rsid w:val="00F65729"/>
    <w:rsid w:val="00F710C3"/>
    <w:rsid w:val="00F711F8"/>
    <w:rsid w:val="00F93E91"/>
    <w:rsid w:val="00FE42C8"/>
    <w:rsid w:val="0C4775BF"/>
    <w:rsid w:val="12D86215"/>
    <w:rsid w:val="13D17A1D"/>
    <w:rsid w:val="24C14BA6"/>
    <w:rsid w:val="33846BC8"/>
    <w:rsid w:val="36E90957"/>
    <w:rsid w:val="41DE2573"/>
    <w:rsid w:val="48F25442"/>
    <w:rsid w:val="48FA2EF8"/>
    <w:rsid w:val="49515598"/>
    <w:rsid w:val="4CD12F93"/>
    <w:rsid w:val="66804FB0"/>
    <w:rsid w:val="70902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qFormat/>
    <w:uiPriority w:val="0"/>
    <w:pPr>
      <w:keepNext/>
      <w:keepLines/>
      <w:spacing w:before="260" w:after="260" w:line="416" w:lineRule="auto"/>
      <w:outlineLvl w:val="1"/>
    </w:pPr>
    <w:rPr>
      <w:rFonts w:ascii="Cambria" w:hAnsi="Cambria" w:eastAsia="宋体" w:cs="Times New Roman"/>
      <w:b/>
      <w:bCs/>
      <w:kern w:val="0"/>
      <w:sz w:val="32"/>
      <w:szCs w:val="32"/>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18"/>
    <w:qFormat/>
    <w:uiPriority w:val="99"/>
    <w:pPr>
      <w:widowControl/>
      <w:spacing w:line="360" w:lineRule="auto"/>
      <w:jc w:val="left"/>
    </w:pPr>
    <w:rPr>
      <w:rFonts w:ascii="Times New Roman" w:hAnsi="Times New Roman" w:eastAsia="宋体" w:cs="Times New Roman"/>
      <w:szCs w:val="24"/>
    </w:rPr>
  </w:style>
  <w:style w:type="paragraph" w:styleId="4">
    <w:name w:val="Body Text"/>
    <w:basedOn w:val="1"/>
    <w:link w:val="16"/>
    <w:qFormat/>
    <w:uiPriority w:val="1"/>
    <w:pPr>
      <w:widowControl/>
      <w:spacing w:after="120" w:line="360" w:lineRule="auto"/>
    </w:pPr>
    <w:rPr>
      <w:rFonts w:ascii="Times New Roman" w:hAnsi="Times New Roman" w:eastAsia="宋体" w:cs="Times New Roman"/>
      <w:kern w:val="0"/>
      <w:sz w:val="20"/>
      <w:szCs w:val="24"/>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7"/>
    <w:link w:val="6"/>
    <w:qFormat/>
    <w:uiPriority w:val="99"/>
    <w:rPr>
      <w:sz w:val="18"/>
      <w:szCs w:val="18"/>
    </w:rPr>
  </w:style>
  <w:style w:type="character" w:customStyle="1" w:styleId="10">
    <w:name w:val="页脚 字符"/>
    <w:basedOn w:val="7"/>
    <w:link w:val="5"/>
    <w:qFormat/>
    <w:uiPriority w:val="99"/>
    <w:rPr>
      <w:sz w:val="18"/>
      <w:szCs w:val="18"/>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styleId="13">
    <w:name w:val="List Paragraph"/>
    <w:basedOn w:val="1"/>
    <w:link w:val="14"/>
    <w:qFormat/>
    <w:uiPriority w:val="1"/>
    <w:pPr>
      <w:widowControl/>
      <w:spacing w:line="360" w:lineRule="auto"/>
      <w:ind w:firstLine="420" w:firstLineChars="200"/>
    </w:pPr>
    <w:rPr>
      <w:rFonts w:ascii="Times New Roman" w:hAnsi="Times New Roman" w:eastAsia="宋体" w:cs="Times New Roman"/>
      <w:szCs w:val="24"/>
    </w:rPr>
  </w:style>
  <w:style w:type="character" w:customStyle="1" w:styleId="14">
    <w:name w:val="列出段落 字符"/>
    <w:link w:val="13"/>
    <w:qFormat/>
    <w:locked/>
    <w:uiPriority w:val="1"/>
    <w:rPr>
      <w:rFonts w:ascii="Times New Roman" w:hAnsi="Times New Roman" w:eastAsia="宋体" w:cs="Times New Roman"/>
      <w:szCs w:val="24"/>
    </w:rPr>
  </w:style>
  <w:style w:type="character" w:customStyle="1" w:styleId="15">
    <w:name w:val="标题 2 字符"/>
    <w:basedOn w:val="7"/>
    <w:link w:val="2"/>
    <w:qFormat/>
    <w:uiPriority w:val="0"/>
    <w:rPr>
      <w:rFonts w:ascii="Cambria" w:hAnsi="Cambria" w:eastAsia="宋体" w:cs="Times New Roman"/>
      <w:b/>
      <w:bCs/>
      <w:kern w:val="0"/>
      <w:sz w:val="32"/>
      <w:szCs w:val="32"/>
    </w:rPr>
  </w:style>
  <w:style w:type="character" w:customStyle="1" w:styleId="16">
    <w:name w:val="正文文本 字符"/>
    <w:basedOn w:val="7"/>
    <w:link w:val="4"/>
    <w:qFormat/>
    <w:uiPriority w:val="1"/>
    <w:rPr>
      <w:rFonts w:ascii="Times New Roman" w:hAnsi="Times New Roman" w:eastAsia="宋体" w:cs="Times New Roman"/>
      <w:kern w:val="0"/>
      <w:sz w:val="20"/>
      <w:szCs w:val="24"/>
    </w:rPr>
  </w:style>
  <w:style w:type="paragraph" w:customStyle="1" w:styleId="17">
    <w:name w:val="formattext"/>
    <w:basedOn w:val="1"/>
    <w:qFormat/>
    <w:uiPriority w:val="0"/>
    <w:pPr>
      <w:widowControl/>
      <w:spacing w:before="100" w:beforeAutospacing="1" w:after="100" w:afterAutospacing="1"/>
      <w:jc w:val="left"/>
    </w:pPr>
    <w:rPr>
      <w:rFonts w:ascii="Times New Roman" w:hAnsi="Times New Roman" w:eastAsia="Times New Roman" w:cs="Times New Roman"/>
      <w:kern w:val="0"/>
      <w:sz w:val="24"/>
      <w:szCs w:val="24"/>
      <w:lang w:val="ru-RU" w:eastAsia="ru-RU"/>
    </w:rPr>
  </w:style>
  <w:style w:type="character" w:customStyle="1" w:styleId="18">
    <w:name w:val="批注文字 字符"/>
    <w:basedOn w:val="7"/>
    <w:link w:val="3"/>
    <w:qFormat/>
    <w:uiPriority w:val="99"/>
    <w:rPr>
      <w:rFonts w:ascii="Times New Roman" w:hAnsi="Times New Roman" w:eastAsia="宋体" w:cs="Times New Roman"/>
      <w:szCs w:val="24"/>
    </w:rPr>
  </w:style>
  <w:style w:type="character" w:customStyle="1" w:styleId="19">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F67500-8F67-46B0-86E8-797C3F5E2A1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47</Pages>
  <Words>3044</Words>
  <Characters>17355</Characters>
  <Lines>144</Lines>
  <Paragraphs>40</Paragraphs>
  <TotalTime>1</TotalTime>
  <ScaleCrop>false</ScaleCrop>
  <LinksUpToDate>false</LinksUpToDate>
  <CharactersWithSpaces>20359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2021-10-09T10:21:00Z</dcterms:created>
  <dc:creator>张 慧俐</dc:creator>
  <cp:lastModifiedBy>刘东洋</cp:lastModifiedBy>
  <dcterms:modified xsi:type="dcterms:W3CDTF">2021-10-26T07:36:30Z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