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2023年河南省高等职业教育技能大赛</w:t>
      </w:r>
    </w:p>
    <w:p>
      <w:pPr>
        <w:widowControl/>
        <w:spacing w:line="58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康复治疗技术赛项竞赛方案</w:t>
      </w:r>
    </w:p>
    <w:p>
      <w:pPr>
        <w:pStyle w:val="32"/>
        <w:keepNext w:val="0"/>
        <w:keepLines w:val="0"/>
        <w:widowControl w:val="0"/>
        <w:spacing w:before="0" w:after="0"/>
        <w:rPr>
          <w:rFonts w:ascii="黑体" w:hAnsi="黑体" w:eastAsia="黑体" w:cs="黑体"/>
          <w:b w:val="0"/>
          <w:color w:val="000000"/>
          <w:kern w:val="2"/>
          <w:sz w:val="36"/>
          <w:szCs w:val="36"/>
        </w:rPr>
      </w:pPr>
    </w:p>
    <w:p>
      <w:pPr>
        <w:pStyle w:val="32"/>
        <w:keepNext w:val="0"/>
        <w:keepLines w:val="0"/>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一、赛项名称</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赛项名称：</w:t>
      </w:r>
      <w:bookmarkStart w:id="0" w:name="_Hlk150784117"/>
      <w:r>
        <w:rPr>
          <w:rFonts w:hint="eastAsia" w:ascii="仿宋" w:hAnsi="仿宋" w:eastAsia="仿宋" w:cs="仿宋"/>
          <w:color w:val="000000"/>
          <w:sz w:val="30"/>
          <w:szCs w:val="30"/>
        </w:rPr>
        <w:t>康复治疗技术</w:t>
      </w:r>
      <w:bookmarkEnd w:id="0"/>
      <w:r>
        <w:rPr>
          <w:rFonts w:hint="eastAsia" w:ascii="仿宋" w:hAnsi="仿宋" w:eastAsia="仿宋" w:cs="仿宋"/>
          <w:color w:val="000000"/>
          <w:sz w:val="30"/>
          <w:szCs w:val="30"/>
        </w:rPr>
        <w:t>（G</w:t>
      </w:r>
      <w:r>
        <w:rPr>
          <w:rFonts w:ascii="仿宋" w:hAnsi="仿宋" w:eastAsia="仿宋" w:cs="仿宋"/>
          <w:color w:val="000000"/>
          <w:sz w:val="30"/>
          <w:szCs w:val="30"/>
        </w:rPr>
        <w:t>Z042</w:t>
      </w:r>
      <w:r>
        <w:rPr>
          <w:rFonts w:hint="eastAsia" w:ascii="仿宋" w:hAnsi="仿宋" w:eastAsia="仿宋" w:cs="仿宋"/>
          <w:color w:val="000000"/>
          <w:sz w:val="30"/>
          <w:szCs w:val="30"/>
        </w:rPr>
        <w:t>）</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赛项组别：高等职业教育</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专业大类：医药卫生大类</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主办单位：河南省教育厅</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承办单位：河南医学高等专科学校</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比赛时间：2</w:t>
      </w:r>
      <w:r>
        <w:rPr>
          <w:rFonts w:ascii="仿宋" w:hAnsi="仿宋" w:eastAsia="仿宋" w:cs="仿宋"/>
          <w:color w:val="000000"/>
          <w:sz w:val="30"/>
          <w:szCs w:val="30"/>
        </w:rPr>
        <w:t>023.12.01</w:t>
      </w:r>
      <w:r>
        <w:rPr>
          <w:rFonts w:hint="eastAsia" w:ascii="仿宋" w:hAnsi="仿宋" w:eastAsia="仿宋" w:cs="仿宋"/>
          <w:color w:val="000000"/>
          <w:sz w:val="30"/>
          <w:szCs w:val="30"/>
        </w:rPr>
        <w:t>——</w:t>
      </w:r>
      <w:r>
        <w:rPr>
          <w:rFonts w:ascii="仿宋" w:hAnsi="仿宋" w:eastAsia="仿宋" w:cs="仿宋"/>
          <w:color w:val="000000"/>
          <w:sz w:val="30"/>
          <w:szCs w:val="30"/>
        </w:rPr>
        <w:t>2023.12.03</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 xml:space="preserve">报到及住宿地点：新郑市龙湖镇双湖大道8号 </w:t>
      </w:r>
      <w:r>
        <w:rPr>
          <w:rFonts w:ascii="仿宋" w:hAnsi="仿宋" w:eastAsia="仿宋" w:cs="仿宋"/>
          <w:color w:val="000000"/>
          <w:sz w:val="30"/>
          <w:szCs w:val="30"/>
        </w:rPr>
        <w:t xml:space="preserve"> </w:t>
      </w:r>
      <w:r>
        <w:rPr>
          <w:rFonts w:hint="eastAsia" w:ascii="仿宋" w:hAnsi="仿宋" w:eastAsia="仿宋" w:cs="仿宋"/>
          <w:color w:val="000000"/>
          <w:sz w:val="30"/>
          <w:szCs w:val="30"/>
        </w:rPr>
        <w:t>河南省卫生人员培训中心</w:t>
      </w:r>
    </w:p>
    <w:p>
      <w:pPr>
        <w:pStyle w:val="32"/>
        <w:keepNext w:val="0"/>
        <w:keepLines w:val="0"/>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二、竞赛目的</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（一）引领职业院校专业建设与教学改革</w:t>
      </w:r>
    </w:p>
    <w:p>
      <w:pPr>
        <w:keepNext w:val="0"/>
        <w:keepLines w:val="0"/>
        <w:pageBreakBefore w:val="0"/>
        <w:widowControl/>
        <w:kinsoku/>
        <w:wordWrap/>
        <w:overflowPunct/>
        <w:topLinePunct w:val="0"/>
        <w:autoSpaceDE/>
        <w:autoSpaceDN/>
        <w:bidi w:val="0"/>
        <w:adjustRightInd/>
        <w:snapToGrid/>
        <w:spacing w:line="560" w:lineRule="exact"/>
        <w:ind w:firstLine="601"/>
        <w:textAlignment w:val="auto"/>
        <w:outlineLvl w:val="0"/>
        <w:rPr>
          <w:rFonts w:ascii="仿宋_GB2312" w:hAnsi="仿宋_GB2312" w:eastAsia="仿宋_GB2312" w:cs="仿宋_GB2312"/>
          <w:kern w:val="0"/>
          <w:sz w:val="30"/>
          <w:szCs w:val="30"/>
        </w:rPr>
      </w:pPr>
      <w:r>
        <w:rPr>
          <w:rFonts w:hint="eastAsia" w:ascii="仿宋_GB2312" w:hAnsi="仿宋_GB2312" w:eastAsia="仿宋_GB2312" w:cs="仿宋_GB2312"/>
          <w:sz w:val="30"/>
          <w:szCs w:val="30"/>
        </w:rPr>
        <w:t>赛项</w:t>
      </w:r>
      <w:r>
        <w:rPr>
          <w:rFonts w:hint="eastAsia" w:ascii="仿宋_GB2312" w:hAnsi="仿宋_GB2312" w:eastAsia="仿宋_GB2312" w:cs="仿宋_GB2312"/>
          <w:kern w:val="0"/>
          <w:sz w:val="30"/>
          <w:szCs w:val="30"/>
          <w:lang w:bidi="ar"/>
        </w:rPr>
        <w:t>基于教学、</w:t>
      </w:r>
      <w:r>
        <w:rPr>
          <w:rFonts w:hint="eastAsia" w:ascii="仿宋_GB2312" w:hAnsi="仿宋_GB2312" w:eastAsia="仿宋_GB2312" w:cs="仿宋_GB2312"/>
          <w:sz w:val="30"/>
          <w:szCs w:val="30"/>
        </w:rPr>
        <w:t>引领教学，发挥“以赛促教、以赛促学、以赛促改、以赛促建”作用。</w:t>
      </w:r>
      <w:r>
        <w:rPr>
          <w:rFonts w:hint="eastAsia" w:ascii="仿宋_GB2312" w:hAnsi="仿宋_GB2312" w:eastAsia="仿宋_GB2312" w:cs="仿宋_GB2312"/>
          <w:kern w:val="0"/>
          <w:sz w:val="30"/>
          <w:szCs w:val="30"/>
        </w:rPr>
        <w:t>通过真实案例导向和综合能力考核，检验学生的职业素养、</w:t>
      </w:r>
      <w:r>
        <w:rPr>
          <w:rFonts w:hint="eastAsia" w:ascii="仿宋_GB2312" w:hAnsi="仿宋_GB2312" w:eastAsia="仿宋_GB2312" w:cs="仿宋_GB2312"/>
          <w:kern w:val="0"/>
          <w:sz w:val="30"/>
          <w:szCs w:val="30"/>
          <w:lang w:bidi="ar"/>
        </w:rPr>
        <w:t>临床思维、操作技能、</w:t>
      </w:r>
      <w:r>
        <w:rPr>
          <w:rFonts w:hint="eastAsia" w:ascii="仿宋_GB2312" w:hAnsi="仿宋_GB2312" w:eastAsia="仿宋_GB2312" w:cs="仿宋_GB2312"/>
          <w:kern w:val="0"/>
          <w:sz w:val="30"/>
          <w:szCs w:val="30"/>
        </w:rPr>
        <w:t>沟通技巧、安全意识等专业综合能力，强化实践教学，引领职业院校康复治疗类专业建设、人才培养模式的改革与创新，培养适应行业需求的高素质技术技能型人才。</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（二）促进产教融合、校企（院）合作及健康产业发展</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ascii="仿宋_GB2312" w:hAnsi="仿宋" w:eastAsia="仿宋_GB2312" w:cs="仿宋"/>
          <w:kern w:val="0"/>
          <w:sz w:val="30"/>
          <w:szCs w:val="30"/>
        </w:rPr>
      </w:pPr>
      <w:r>
        <w:rPr>
          <w:rFonts w:hint="eastAsia" w:ascii="仿宋_GB2312" w:hAnsi="仿宋" w:eastAsia="仿宋_GB2312" w:cs="仿宋"/>
          <w:kern w:val="0"/>
          <w:sz w:val="30"/>
          <w:szCs w:val="30"/>
        </w:rPr>
        <w:t>赛项响应“健康中国”战略，服务健康产业人才培养需求，推动产教融合、校企（院）合作，提高职业院校康复治疗人才培养质量。本赛项对接康复医疗行业标准和先进技术，把真实的康复治疗工作过程、任务和要求融入竞赛环节，立足于解决临床实际问题，强调德技双修，突出团队协作康复服务模式，加强学生综合能力培养，推进岗课赛证融合，促进产教融合，引领职业院校人才培养适应健康产业发展。</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（三）展示康复治疗专业教学改革成果</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赛项贯彻落实职业教育新发展理念，助推“三教改革”。通过赛项交流平台，展示参赛院校师生风采、教学水平；助力学生增强自信，开拓视野；提升</w:t>
      </w:r>
      <w:r>
        <w:rPr>
          <w:rFonts w:hint="eastAsia" w:ascii="仿宋_GB2312" w:hAnsi="仿宋" w:eastAsia="仿宋_GB2312" w:cs="仿宋"/>
          <w:kern w:val="0"/>
          <w:sz w:val="30"/>
          <w:szCs w:val="30"/>
          <w:lang w:bidi="ar"/>
        </w:rPr>
        <w:t>全社会对康复医疗的关注和</w:t>
      </w:r>
      <w:r>
        <w:rPr>
          <w:rFonts w:hint="eastAsia" w:ascii="仿宋_GB2312" w:hAnsi="仿宋" w:eastAsia="仿宋_GB2312" w:cs="仿宋"/>
          <w:sz w:val="30"/>
          <w:szCs w:val="30"/>
        </w:rPr>
        <w:t>重视，吸纳更多优秀专业人才、社会力量积极参与康复医疗领域的创新与发展。</w:t>
      </w:r>
    </w:p>
    <w:p>
      <w:pPr>
        <w:pStyle w:val="32"/>
        <w:keepNext w:val="0"/>
        <w:keepLines w:val="0"/>
        <w:pageBreakBefore w:val="0"/>
        <w:widowControl w:val="0"/>
        <w:kinsoku/>
        <w:wordWrap/>
        <w:overflowPunct/>
        <w:topLinePunct w:val="0"/>
        <w:autoSpaceDE/>
        <w:autoSpaceDN/>
        <w:bidi w:val="0"/>
        <w:adjustRightInd/>
        <w:snapToGrid/>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三、竞赛内容</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一）本赛项以现代职业教育理念为指引，以真实康复场景或工作情境为基础，以常见神经疾病和肌骨疾病标准化病人为对象，设置理论考试、问诊、评定、治疗等竞赛内容，全面考查参赛选手理论知识、临床思维和决策能力、综合分析判断能力及常用康复治疗操作执行能力，树立安全意识，培养医患沟通及人文关怀能力。</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（二）本赛项内容包括理论知识竞赛和技能操作竞赛两部分。</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1</w:t>
      </w:r>
      <w:r>
        <w:rPr>
          <w:rFonts w:ascii="仿宋_GB2312" w:hAnsi="仿宋" w:eastAsia="仿宋_GB2312" w:cs="仿宋"/>
          <w:sz w:val="30"/>
          <w:szCs w:val="30"/>
        </w:rPr>
        <w:t>.</w:t>
      </w:r>
      <w:r>
        <w:rPr>
          <w:rFonts w:hint="eastAsia" w:ascii="仿宋_GB2312" w:hAnsi="仿宋" w:eastAsia="仿宋_GB2312" w:cs="仿宋"/>
          <w:sz w:val="30"/>
          <w:szCs w:val="30"/>
        </w:rPr>
        <w:t>理论知识竞赛</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理论知识竞赛占团体总成绩的15%。</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理论知识竞赛形式采取计算机考试，考试内容参照《全国卫生专业技术资格考试康复医学治疗技术（士、师、中级）考试大纲》，题型为单项选择题，题量50题/套（2分/题），共100分，考试时长为40分钟。主要考核参赛选手的专业知识应用能力、临床思维能力、分析问题和解决问题的能力。</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2</w:t>
      </w:r>
      <w:r>
        <w:rPr>
          <w:rFonts w:ascii="仿宋_GB2312" w:hAnsi="仿宋" w:eastAsia="仿宋_GB2312" w:cs="仿宋"/>
          <w:sz w:val="30"/>
          <w:szCs w:val="30"/>
        </w:rPr>
        <w:t>.</w:t>
      </w:r>
      <w:r>
        <w:rPr>
          <w:rFonts w:hint="eastAsia" w:ascii="仿宋_GB2312" w:hAnsi="仿宋" w:eastAsia="仿宋_GB2312" w:cs="仿宋"/>
          <w:sz w:val="30"/>
          <w:szCs w:val="30"/>
        </w:rPr>
        <w:t>技能操作竞赛</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技能操作占团体总成绩的85%。</w:t>
      </w:r>
    </w:p>
    <w:p>
      <w:pPr>
        <w:keepNext w:val="0"/>
        <w:keepLines w:val="0"/>
        <w:pageBreakBefore w:val="0"/>
        <w:kinsoku/>
        <w:wordWrap/>
        <w:overflowPunct/>
        <w:topLinePunct w:val="0"/>
        <w:autoSpaceDE/>
        <w:autoSpaceDN/>
        <w:bidi w:val="0"/>
        <w:adjustRightInd/>
        <w:snapToGrid/>
        <w:spacing w:line="560" w:lineRule="exact"/>
        <w:ind w:right="210" w:rightChars="100"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技能操作竞赛以真实案例为导向，基于康复治疗工作过程，按照临床康复治疗工作的逻辑关系，科学设置竞赛内容。技能操作标准参照原卫生部颁发的《常用康复治疗技术操作规范（2012版）》要求，时长20分钟（含现场问答）。主要考核学生职业素养和沟通能力、康复评估准确与规范、康复治疗技术应用和操作规范。考核环节包括操作前准备、操作过程、操作后处理等。竞赛内容：常见神经系统疾病、肌肉骨骼系统疾病，包括脑卒中、脊髓损伤、颈椎病、腰椎间盘突出症、肩周炎等康复评定与治疗操作技能。竞赛程序：①备赛（时间20分钟）：参赛队由候考室进入备赛室，随机抽取一份临床案例；3名参赛选手通过随机抽签进行分工，1名选手负责询问病史和主观性评估，1名选手负责康复评定操作，1名选手负责康复治疗技术操作；②竞赛（时间20分钟）：参赛队由备赛室进入赛场，按照临床康复治疗工作过程，3名选手依据分工分别进行问诊、评定、治疗3个技能竞赛模块的操作及回答提问，各模块时长分配由团队选手自行决定，不限定答问选手。总分100分（问诊20%，评定35%，治疗35%、回答问题10%），问答分数计入团队总分。</w:t>
      </w:r>
    </w:p>
    <w:tbl>
      <w:tblPr>
        <w:tblStyle w:val="34"/>
        <w:tblW w:w="96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467"/>
        <w:gridCol w:w="408"/>
        <w:gridCol w:w="5513"/>
        <w:gridCol w:w="684"/>
        <w:gridCol w:w="1030"/>
        <w:gridCol w:w="8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2" w:type="dxa"/>
            <w:vAlign w:val="center"/>
          </w:tcPr>
          <w:p>
            <w:pPr>
              <w:adjustRightInd w:val="0"/>
              <w:snapToGrid w:val="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模块</w:t>
            </w:r>
          </w:p>
        </w:tc>
        <w:tc>
          <w:tcPr>
            <w:tcW w:w="875" w:type="dxa"/>
            <w:gridSpan w:val="2"/>
            <w:vAlign w:val="center"/>
          </w:tcPr>
          <w:p>
            <w:pPr>
              <w:adjustRightInd w:val="0"/>
              <w:snapToGrid w:val="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类别</w:t>
            </w:r>
          </w:p>
        </w:tc>
        <w:tc>
          <w:tcPr>
            <w:tcW w:w="5513" w:type="dxa"/>
            <w:vAlign w:val="center"/>
          </w:tcPr>
          <w:p>
            <w:pPr>
              <w:adjustRightInd w:val="0"/>
              <w:snapToGrid w:val="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主要内容</w:t>
            </w:r>
          </w:p>
        </w:tc>
        <w:tc>
          <w:tcPr>
            <w:tcW w:w="684" w:type="dxa"/>
            <w:vAlign w:val="bottom"/>
          </w:tcPr>
          <w:p>
            <w:pPr>
              <w:adjustRightInd w:val="0"/>
              <w:snapToGrid w:val="0"/>
              <w:jc w:val="both"/>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比赛时长</w:t>
            </w:r>
          </w:p>
        </w:tc>
        <w:tc>
          <w:tcPr>
            <w:tcW w:w="1893" w:type="dxa"/>
            <w:gridSpan w:val="2"/>
            <w:vAlign w:val="center"/>
          </w:tcPr>
          <w:p>
            <w:pPr>
              <w:adjustRightInd w:val="0"/>
              <w:snapToGrid w:val="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2" w:type="dxa"/>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模块一</w:t>
            </w:r>
          </w:p>
        </w:tc>
        <w:tc>
          <w:tcPr>
            <w:tcW w:w="875" w:type="dxa"/>
            <w:gridSpan w:val="2"/>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理论</w:t>
            </w:r>
          </w:p>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考试</w:t>
            </w:r>
          </w:p>
        </w:tc>
        <w:tc>
          <w:tcPr>
            <w:tcW w:w="5513" w:type="dxa"/>
            <w:vAlign w:val="center"/>
          </w:tcPr>
          <w:p>
            <w:pPr>
              <w:snapToGrid w:val="0"/>
              <w:jc w:val="left"/>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出题范围为康复医学治疗技术资格考试内容，其中基础知识15%，相关专业知识15%，专业知识40%，专业实践能力30%</w:t>
            </w:r>
          </w:p>
        </w:tc>
        <w:tc>
          <w:tcPr>
            <w:tcW w:w="68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40分钟</w:t>
            </w:r>
          </w:p>
        </w:tc>
        <w:tc>
          <w:tcPr>
            <w:tcW w:w="1893" w:type="dxa"/>
            <w:gridSpan w:val="2"/>
            <w:vAlign w:val="center"/>
          </w:tcPr>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（占总成绩15%）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2" w:type="dxa"/>
            <w:vMerge w:val="restart"/>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模块二</w:t>
            </w:r>
          </w:p>
          <w:p>
            <w:pPr>
              <w:adjustRightInd w:val="0"/>
              <w:snapToGrid w:val="0"/>
              <w:jc w:val="center"/>
              <w:rPr>
                <w:rFonts w:hint="eastAsia" w:ascii="方正仿宋_GB2312" w:hAnsi="方正仿宋_GB2312" w:eastAsia="方正仿宋_GB2312" w:cs="方正仿宋_GB2312"/>
                <w:b w:val="0"/>
                <w:bCs w:val="0"/>
                <w:sz w:val="21"/>
                <w:szCs w:val="21"/>
              </w:rPr>
            </w:pPr>
          </w:p>
        </w:tc>
        <w:tc>
          <w:tcPr>
            <w:tcW w:w="467" w:type="dxa"/>
            <w:vMerge w:val="restart"/>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w:t>
            </w:r>
          </w:p>
        </w:tc>
        <w:tc>
          <w:tcPr>
            <w:tcW w:w="408" w:type="dxa"/>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问诊</w:t>
            </w:r>
          </w:p>
        </w:tc>
        <w:tc>
          <w:tcPr>
            <w:tcW w:w="5513" w:type="dxa"/>
            <w:vAlign w:val="center"/>
          </w:tcPr>
          <w:p>
            <w:pPr>
              <w:snapToGrid w:val="0"/>
              <w:jc w:val="left"/>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任务：查阅病历、询问病史、与患者交流，了解病情</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1.仪表大方，举止端庄，修饰着装整洁</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2.了解患者病情病史、功能障碍情况、情绪、合作程度、有无治疗禁忌证等</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3.问诊全面准确，重点突出</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4.与患者沟通语言规范，态度和蔼，关心患者</w:t>
            </w:r>
          </w:p>
        </w:tc>
        <w:tc>
          <w:tcPr>
            <w:tcW w:w="684" w:type="dxa"/>
            <w:vMerge w:val="restart"/>
            <w:vAlign w:val="center"/>
          </w:tcPr>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20分钟</w:t>
            </w:r>
          </w:p>
          <w:p>
            <w:pPr>
              <w:adjustRightInd w:val="0"/>
              <w:snapToGrid w:val="0"/>
              <w:jc w:val="center"/>
              <w:rPr>
                <w:rFonts w:hint="eastAsia" w:ascii="方正仿宋_GB2312" w:hAnsi="方正仿宋_GB2312" w:eastAsia="方正仿宋_GB2312" w:cs="方正仿宋_GB2312"/>
                <w:sz w:val="21"/>
                <w:szCs w:val="21"/>
              </w:rPr>
            </w:pPr>
          </w:p>
        </w:tc>
        <w:tc>
          <w:tcPr>
            <w:tcW w:w="1030" w:type="dxa"/>
            <w:vAlign w:val="center"/>
          </w:tcPr>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（占技能操作20%）</w:t>
            </w:r>
          </w:p>
        </w:tc>
        <w:tc>
          <w:tcPr>
            <w:tcW w:w="863" w:type="dxa"/>
            <w:vMerge w:val="restart"/>
            <w:vAlign w:val="center"/>
          </w:tcPr>
          <w:p>
            <w:pPr>
              <w:adjustRightInd w:val="0"/>
              <w:snapToGrid w:val="0"/>
              <w:jc w:val="center"/>
              <w:rPr>
                <w:rFonts w:ascii="仿宋_GB2312" w:hAnsi="仿宋" w:eastAsia="仿宋_GB2312" w:cs="仿宋"/>
                <w:sz w:val="21"/>
                <w:szCs w:val="21"/>
              </w:rPr>
            </w:pPr>
            <w:r>
              <w:rPr>
                <w:rFonts w:hint="eastAsia" w:ascii="仿宋_GB2312" w:hAnsi="仿宋" w:eastAsia="仿宋_GB2312" w:cs="仿宋"/>
                <w:sz w:val="21"/>
                <w:szCs w:val="21"/>
              </w:rPr>
              <w:t>100分</w:t>
            </w:r>
          </w:p>
          <w:p>
            <w:pPr>
              <w:spacing w:after="120"/>
              <w:rPr>
                <w:rFonts w:ascii="仿宋_GB2312" w:hAnsi="仿宋" w:eastAsia="仿宋_GB2312" w:cs="仿宋"/>
                <w:sz w:val="24"/>
              </w:rPr>
            </w:pPr>
            <w:r>
              <w:rPr>
                <w:rFonts w:hint="eastAsia" w:ascii="仿宋_GB2312" w:hAnsi="仿宋" w:eastAsia="仿宋_GB2312" w:cs="仿宋"/>
                <w:sz w:val="21"/>
                <w:szCs w:val="21"/>
              </w:rPr>
              <w:t>占总成绩85%）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2" w:type="dxa"/>
            <w:vMerge w:val="continue"/>
            <w:vAlign w:val="center"/>
          </w:tcPr>
          <w:p>
            <w:pPr>
              <w:adjustRightInd w:val="0"/>
              <w:snapToGrid w:val="0"/>
              <w:jc w:val="center"/>
              <w:rPr>
                <w:rFonts w:hint="eastAsia" w:ascii="方正仿宋_GB2312" w:hAnsi="方正仿宋_GB2312" w:eastAsia="方正仿宋_GB2312" w:cs="方正仿宋_GB2312"/>
                <w:b w:val="0"/>
                <w:bCs w:val="0"/>
                <w:sz w:val="21"/>
                <w:szCs w:val="21"/>
              </w:rPr>
            </w:pPr>
          </w:p>
        </w:tc>
        <w:tc>
          <w:tcPr>
            <w:tcW w:w="467" w:type="dxa"/>
            <w:vMerge w:val="continue"/>
            <w:vAlign w:val="center"/>
          </w:tcPr>
          <w:p>
            <w:pPr>
              <w:adjustRightInd w:val="0"/>
              <w:snapToGrid w:val="0"/>
              <w:jc w:val="center"/>
              <w:rPr>
                <w:rFonts w:hint="eastAsia" w:ascii="方正仿宋_GB2312" w:hAnsi="方正仿宋_GB2312" w:eastAsia="方正仿宋_GB2312" w:cs="方正仿宋_GB2312"/>
                <w:b w:val="0"/>
                <w:bCs w:val="0"/>
                <w:sz w:val="21"/>
                <w:szCs w:val="21"/>
              </w:rPr>
            </w:pPr>
          </w:p>
        </w:tc>
        <w:tc>
          <w:tcPr>
            <w:tcW w:w="408" w:type="dxa"/>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评定</w:t>
            </w:r>
          </w:p>
        </w:tc>
        <w:tc>
          <w:tcPr>
            <w:tcW w:w="5513" w:type="dxa"/>
            <w:vAlign w:val="center"/>
          </w:tcPr>
          <w:p>
            <w:pPr>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任务一：评估前准备（仪表、沟通、物品准备）</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1.仪表：仪表大方，举止端庄，修饰着装整洁</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2.沟通：向患者讲明康复评定的意义、将要采取的评估方法和注意事项等</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3.物品准备：正确选择、摆放评定工具或量表</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任务二：规范进行评估操作（患者体位、治疗师体位、操作方法、反应观察）</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1.患者体位：正确、安全、舒适、便于配合操作</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2.治疗师体位：舒适、安全、省力、便于操作</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3.操作方法：动作标准、规范、娴熟、准确、稳重、有序</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4.口令交流：明确、简洁、规范、高效</w:t>
            </w:r>
          </w:p>
          <w:p>
            <w:pPr>
              <w:snapToGrid w:val="0"/>
              <w:jc w:val="left"/>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5.反应观察：随时观察、询问操作反应，及时调整或停止操作</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任务三：评估后准备做出评定结论</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1.能根据检查评估的情况对患者作出正确的功能评定结论</w:t>
            </w:r>
          </w:p>
          <w:p>
            <w:pPr>
              <w:tabs>
                <w:tab w:val="left" w:pos="420"/>
              </w:tabs>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2.评定结束后整理用物</w:t>
            </w:r>
          </w:p>
        </w:tc>
        <w:tc>
          <w:tcPr>
            <w:tcW w:w="684" w:type="dxa"/>
            <w:vMerge w:val="continue"/>
            <w:vAlign w:val="center"/>
          </w:tcPr>
          <w:p>
            <w:pPr>
              <w:adjustRightInd w:val="0"/>
              <w:snapToGrid w:val="0"/>
              <w:jc w:val="left"/>
              <w:rPr>
                <w:rFonts w:hint="eastAsia" w:ascii="方正仿宋_GB2312" w:hAnsi="方正仿宋_GB2312" w:eastAsia="方正仿宋_GB2312" w:cs="方正仿宋_GB2312"/>
                <w:sz w:val="21"/>
                <w:szCs w:val="21"/>
              </w:rPr>
            </w:pPr>
          </w:p>
        </w:tc>
        <w:tc>
          <w:tcPr>
            <w:tcW w:w="1030" w:type="dxa"/>
            <w:vAlign w:val="center"/>
          </w:tcPr>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（占技能操作35%）</w:t>
            </w:r>
          </w:p>
        </w:tc>
        <w:tc>
          <w:tcPr>
            <w:tcW w:w="863" w:type="dxa"/>
            <w:vMerge w:val="continue"/>
            <w:vAlign w:val="center"/>
          </w:tcPr>
          <w:p>
            <w:pPr>
              <w:adjustRightInd w:val="0"/>
              <w:snapToGrid w:val="0"/>
              <w:jc w:val="center"/>
              <w:rPr>
                <w:rFonts w:ascii="仿宋_GB2312" w:hAnsi="仿宋" w:eastAsia="仿宋_GB2312"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2" w:type="dxa"/>
            <w:vMerge w:val="continue"/>
            <w:vAlign w:val="center"/>
          </w:tcPr>
          <w:p>
            <w:pPr>
              <w:adjustRightInd w:val="0"/>
              <w:snapToGrid w:val="0"/>
              <w:jc w:val="center"/>
              <w:rPr>
                <w:rFonts w:hint="eastAsia" w:ascii="方正仿宋_GB2312" w:hAnsi="方正仿宋_GB2312" w:eastAsia="方正仿宋_GB2312" w:cs="方正仿宋_GB2312"/>
                <w:b w:val="0"/>
                <w:bCs w:val="0"/>
                <w:sz w:val="21"/>
                <w:szCs w:val="21"/>
              </w:rPr>
            </w:pPr>
          </w:p>
        </w:tc>
        <w:tc>
          <w:tcPr>
            <w:tcW w:w="467" w:type="dxa"/>
            <w:vMerge w:val="continue"/>
            <w:vAlign w:val="center"/>
          </w:tcPr>
          <w:p>
            <w:pPr>
              <w:adjustRightInd w:val="0"/>
              <w:snapToGrid w:val="0"/>
              <w:jc w:val="center"/>
              <w:rPr>
                <w:rFonts w:hint="eastAsia" w:ascii="方正仿宋_GB2312" w:hAnsi="方正仿宋_GB2312" w:eastAsia="方正仿宋_GB2312" w:cs="方正仿宋_GB2312"/>
                <w:b w:val="0"/>
                <w:bCs w:val="0"/>
                <w:sz w:val="21"/>
                <w:szCs w:val="21"/>
              </w:rPr>
            </w:pPr>
          </w:p>
        </w:tc>
        <w:tc>
          <w:tcPr>
            <w:tcW w:w="408" w:type="dxa"/>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治疗</w:t>
            </w:r>
          </w:p>
        </w:tc>
        <w:tc>
          <w:tcPr>
            <w:tcW w:w="5513" w:type="dxa"/>
            <w:vAlign w:val="center"/>
          </w:tcPr>
          <w:p>
            <w:pPr>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任务一：治疗操作前准备（仪表、沟通、物品准备）</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1.仪表：仪表大方，举止端庄，修饰着装整洁；</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2.沟通：向患者讲明康复治疗的意义、将要采取的康复治疗措施和作用、注意事项等</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3.物品准备：正确选择、摆放治疗设备和工具。</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任务二：规范进行治疗操作（患者体位、治疗师体位、操作方法、口令交流、反应观察）</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1.患者体位：正确、安全、舒适、便于配合操作；</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2.治疗师体位：舒适、安全、省力、便于操作；</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3.操作方法：操作手法正确、规范、有效，角度、力度适宜，过程熟练；</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4.口令交流：明确、简洁、规范、高效；</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5.反应观察：随时观察、询问操作反应，及时调整或停止操作。</w:t>
            </w:r>
          </w:p>
          <w:p>
            <w:pP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任务三：治疗操作后进行治疗评价，健康宣教，整理用物。</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技能操作要求：</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1.治疗评价：评价患者感受、治疗反应及治疗目标达到的程度；</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2.健康宣教：根据训练内容，布置课后训练项目或叮嘱注意事项；</w:t>
            </w:r>
          </w:p>
          <w:p>
            <w:pPr>
              <w:tabs>
                <w:tab w:val="left" w:pos="420"/>
              </w:tabs>
              <w:adjustRightInd w:val="0"/>
              <w:snapToGrid w:val="0"/>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3.整理用物：整理床单位，整理设备和物品</w:t>
            </w:r>
          </w:p>
        </w:tc>
        <w:tc>
          <w:tcPr>
            <w:tcW w:w="684" w:type="dxa"/>
            <w:vMerge w:val="continue"/>
            <w:vAlign w:val="center"/>
          </w:tcPr>
          <w:p>
            <w:pPr>
              <w:adjustRightInd w:val="0"/>
              <w:snapToGrid w:val="0"/>
              <w:jc w:val="left"/>
              <w:rPr>
                <w:rFonts w:hint="eastAsia" w:ascii="方正仿宋_GB2312" w:hAnsi="方正仿宋_GB2312" w:eastAsia="方正仿宋_GB2312" w:cs="方正仿宋_GB2312"/>
                <w:sz w:val="21"/>
                <w:szCs w:val="21"/>
              </w:rPr>
            </w:pPr>
          </w:p>
        </w:tc>
        <w:tc>
          <w:tcPr>
            <w:tcW w:w="1030" w:type="dxa"/>
            <w:vAlign w:val="center"/>
          </w:tcPr>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（占技能操作35%）</w:t>
            </w:r>
          </w:p>
        </w:tc>
        <w:tc>
          <w:tcPr>
            <w:tcW w:w="863" w:type="dxa"/>
            <w:vMerge w:val="continue"/>
            <w:vAlign w:val="center"/>
          </w:tcPr>
          <w:p>
            <w:pPr>
              <w:adjustRightInd w:val="0"/>
              <w:snapToGrid w:val="0"/>
              <w:jc w:val="center"/>
              <w:rPr>
                <w:rFonts w:ascii="仿宋_GB2312" w:hAnsi="仿宋" w:eastAsia="仿宋_GB2312"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2" w:type="dxa"/>
            <w:vMerge w:val="continue"/>
            <w:vAlign w:val="center"/>
          </w:tcPr>
          <w:p>
            <w:pPr>
              <w:adjustRightInd w:val="0"/>
              <w:snapToGrid w:val="0"/>
              <w:jc w:val="center"/>
              <w:rPr>
                <w:rFonts w:hint="eastAsia" w:ascii="方正仿宋_GBK" w:hAnsi="方正仿宋_GBK" w:eastAsia="方正仿宋_GBK" w:cs="方正仿宋_GBK"/>
                <w:b w:val="0"/>
                <w:bCs w:val="0"/>
                <w:sz w:val="21"/>
                <w:szCs w:val="21"/>
              </w:rPr>
            </w:pPr>
          </w:p>
        </w:tc>
        <w:tc>
          <w:tcPr>
            <w:tcW w:w="467" w:type="dxa"/>
            <w:vMerge w:val="continue"/>
            <w:vAlign w:val="center"/>
          </w:tcPr>
          <w:p>
            <w:pPr>
              <w:adjustRightInd w:val="0"/>
              <w:snapToGrid w:val="0"/>
              <w:jc w:val="center"/>
              <w:rPr>
                <w:rFonts w:hint="eastAsia" w:ascii="方正仿宋_GBK" w:hAnsi="方正仿宋_GBK" w:eastAsia="方正仿宋_GBK" w:cs="方正仿宋_GBK"/>
                <w:b w:val="0"/>
                <w:bCs w:val="0"/>
                <w:sz w:val="21"/>
                <w:szCs w:val="21"/>
              </w:rPr>
            </w:pPr>
          </w:p>
        </w:tc>
        <w:tc>
          <w:tcPr>
            <w:tcW w:w="408" w:type="dxa"/>
            <w:vAlign w:val="center"/>
          </w:tcPr>
          <w:p>
            <w:pPr>
              <w:adjustRightInd w:val="0"/>
              <w:snapToGrid w:val="0"/>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答问</w:t>
            </w:r>
          </w:p>
        </w:tc>
        <w:tc>
          <w:tcPr>
            <w:tcW w:w="5513" w:type="dxa"/>
            <w:vAlign w:val="center"/>
          </w:tcPr>
          <w:p>
            <w:pPr>
              <w:adjustRightInd w:val="0"/>
              <w:snapToGrid w:val="0"/>
              <w:jc w:val="left"/>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回答问题：语言表达流利，思路清晰，回答全面、专业知识技术应用正确熟练</w:t>
            </w:r>
          </w:p>
          <w:p>
            <w:pPr>
              <w:tabs>
                <w:tab w:val="left" w:pos="420"/>
              </w:tabs>
              <w:adjustRightInd w:val="0"/>
              <w:snapToGrid w:val="0"/>
              <w:rPr>
                <w:rFonts w:hint="eastAsia" w:ascii="方正仿宋_GB2312" w:hAnsi="方正仿宋_GB2312" w:eastAsia="方正仿宋_GB2312" w:cs="方正仿宋_GB2312"/>
                <w:b w:val="0"/>
                <w:bCs w:val="0"/>
                <w:sz w:val="21"/>
                <w:szCs w:val="21"/>
              </w:rPr>
            </w:pPr>
          </w:p>
        </w:tc>
        <w:tc>
          <w:tcPr>
            <w:tcW w:w="684" w:type="dxa"/>
            <w:vMerge w:val="continue"/>
            <w:vAlign w:val="center"/>
          </w:tcPr>
          <w:p>
            <w:pPr>
              <w:adjustRightInd w:val="0"/>
              <w:snapToGrid w:val="0"/>
              <w:jc w:val="left"/>
              <w:rPr>
                <w:rFonts w:hint="eastAsia" w:ascii="方正仿宋_GB2312" w:hAnsi="方正仿宋_GB2312" w:eastAsia="方正仿宋_GB2312" w:cs="方正仿宋_GB2312"/>
                <w:sz w:val="21"/>
                <w:szCs w:val="21"/>
              </w:rPr>
            </w:pPr>
          </w:p>
        </w:tc>
        <w:tc>
          <w:tcPr>
            <w:tcW w:w="1030" w:type="dxa"/>
            <w:vAlign w:val="center"/>
          </w:tcPr>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p>
            <w:pPr>
              <w:adjustRightInd w:val="0"/>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（占技能操作10%）</w:t>
            </w:r>
          </w:p>
        </w:tc>
        <w:tc>
          <w:tcPr>
            <w:tcW w:w="863" w:type="dxa"/>
            <w:vMerge w:val="continue"/>
            <w:vAlign w:val="center"/>
          </w:tcPr>
          <w:p>
            <w:pPr>
              <w:adjustRightInd w:val="0"/>
              <w:snapToGrid w:val="0"/>
              <w:jc w:val="center"/>
              <w:rPr>
                <w:rFonts w:ascii="仿宋_GB2312" w:hAnsi="仿宋" w:eastAsia="仿宋_GB2312" w:cs="仿宋"/>
                <w:sz w:val="24"/>
              </w:rPr>
            </w:pPr>
          </w:p>
        </w:tc>
      </w:tr>
    </w:tbl>
    <w:p>
      <w:pPr>
        <w:pStyle w:val="32"/>
        <w:keepNext w:val="0"/>
        <w:keepLines w:val="0"/>
        <w:pageBreakBefore w:val="0"/>
        <w:widowControl w:val="0"/>
        <w:kinsoku/>
        <w:wordWrap/>
        <w:overflowPunct/>
        <w:topLinePunct w:val="0"/>
        <w:autoSpaceDE/>
        <w:autoSpaceDN/>
        <w:bidi w:val="0"/>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四、竞赛方式</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（一）竞赛形式</w:t>
      </w:r>
    </w:p>
    <w:p>
      <w:pPr>
        <w:keepNext w:val="0"/>
        <w:keepLines w:val="0"/>
        <w:pageBreakBefore w:val="0"/>
        <w:widowControl/>
        <w:kinsoku/>
        <w:wordWrap/>
        <w:overflowPunct/>
        <w:topLinePunct w:val="0"/>
        <w:autoSpaceDE/>
        <w:autoSpaceDN/>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本赛项为线下比赛。</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（二）组队方式</w:t>
      </w:r>
    </w:p>
    <w:p>
      <w:pPr>
        <w:keepNext w:val="0"/>
        <w:keepLines w:val="0"/>
        <w:pageBreakBefore w:val="0"/>
        <w:widowControl/>
        <w:kinsoku/>
        <w:wordWrap/>
        <w:overflowPunct/>
        <w:topLinePunct w:val="0"/>
        <w:autoSpaceDE/>
        <w:autoSpaceDN/>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1.本赛项为团体赛，以团队方式报名参赛。</w:t>
      </w:r>
    </w:p>
    <w:p>
      <w:pPr>
        <w:keepNext w:val="0"/>
        <w:keepLines w:val="0"/>
        <w:pageBreakBefore w:val="0"/>
        <w:widowControl/>
        <w:kinsoku/>
        <w:wordWrap/>
        <w:overflowPunct/>
        <w:topLinePunct w:val="0"/>
        <w:autoSpaceDE/>
        <w:autoSpaceDN/>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2.河南省内开设有康复治疗技术、中医康复技术专业的高等职业院校均可报名参赛，参赛队伍数以正式比赛报名通知为准，各参赛代表队须来自同一学校，不得跨校组队。每所院校确定领队1名，每个团队由1名校领队、1-2个参赛队（3或6名选手）和2-</w:t>
      </w:r>
      <w:r>
        <w:rPr>
          <w:rFonts w:ascii="仿宋_GB2312" w:hAnsi="仿宋" w:eastAsia="仿宋_GB2312" w:cs="仿宋"/>
          <w:sz w:val="30"/>
          <w:szCs w:val="30"/>
        </w:rPr>
        <w:t>4</w:t>
      </w:r>
      <w:r>
        <w:rPr>
          <w:rFonts w:hint="eastAsia" w:ascii="仿宋_GB2312" w:hAnsi="仿宋" w:eastAsia="仿宋_GB2312" w:cs="仿宋"/>
          <w:sz w:val="30"/>
          <w:szCs w:val="30"/>
        </w:rPr>
        <w:t>名指导教师（1个参赛队限1-</w:t>
      </w:r>
      <w:r>
        <w:rPr>
          <w:rFonts w:ascii="仿宋_GB2312" w:hAnsi="仿宋" w:eastAsia="仿宋_GB2312" w:cs="仿宋"/>
          <w:sz w:val="30"/>
          <w:szCs w:val="30"/>
        </w:rPr>
        <w:t>2</w:t>
      </w:r>
      <w:r>
        <w:rPr>
          <w:rFonts w:hint="eastAsia" w:ascii="仿宋_GB2312" w:hAnsi="仿宋" w:eastAsia="仿宋_GB2312" w:cs="仿宋"/>
          <w:sz w:val="30"/>
          <w:szCs w:val="30"/>
        </w:rPr>
        <w:t>名指导教师）组成。参赛选手须为高等职业院校全日制在籍学生、本科院校高职类全日制在籍学生；五年制高职四、五年级学生可报名参加本赛项比赛。</w:t>
      </w:r>
    </w:p>
    <w:p>
      <w:pPr>
        <w:keepNext w:val="0"/>
        <w:keepLines w:val="0"/>
        <w:pageBreakBefore w:val="0"/>
        <w:widowControl/>
        <w:kinsoku/>
        <w:wordWrap/>
        <w:overflowPunct/>
        <w:topLinePunct w:val="0"/>
        <w:autoSpaceDE/>
        <w:autoSpaceDN/>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3.参赛选手和指导教师报名获得确认后不得随意更换。如比赛前参赛选手和指导教师确因特殊原因无法参赛需要更换人员，须由高等职业院校教育行政部门于本赛项开赛</w:t>
      </w:r>
      <w:r>
        <w:rPr>
          <w:rFonts w:ascii="仿宋_GB2312" w:hAnsi="仿宋" w:eastAsia="仿宋_GB2312" w:cs="仿宋"/>
          <w:sz w:val="30"/>
          <w:szCs w:val="30"/>
        </w:rPr>
        <w:t>5</w:t>
      </w:r>
      <w:r>
        <w:rPr>
          <w:rFonts w:hint="eastAsia" w:ascii="仿宋_GB2312" w:hAnsi="仿宋" w:eastAsia="仿宋_GB2312" w:cs="仿宋"/>
          <w:sz w:val="30"/>
          <w:szCs w:val="30"/>
        </w:rPr>
        <w:t>个工作日之前出具书面说明，经大赛执委会办公室核实后予以更换。如未经报备批准，发现实际参赛选手与报名信息不符的情况，均不得入场比赛。</w:t>
      </w:r>
    </w:p>
    <w:p>
      <w:pPr>
        <w:pStyle w:val="32"/>
        <w:keepNext w:val="0"/>
        <w:keepLines w:val="0"/>
        <w:pageBreakBefore w:val="0"/>
        <w:widowControl w:val="0"/>
        <w:kinsoku/>
        <w:wordWrap/>
        <w:overflowPunct/>
        <w:topLinePunct w:val="0"/>
        <w:autoSpaceDE/>
        <w:autoSpaceDN/>
        <w:bidi w:val="0"/>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五、参赛报名</w:t>
      </w:r>
    </w:p>
    <w:p>
      <w:pPr>
        <w:keepNext w:val="0"/>
        <w:keepLines w:val="0"/>
        <w:pageBreakBefore w:val="0"/>
        <w:kinsoku/>
        <w:wordWrap/>
        <w:overflowPunct/>
        <w:topLinePunct w:val="0"/>
        <w:autoSpaceDE/>
        <w:autoSpaceDN/>
        <w:bidi w:val="0"/>
        <w:spacing w:line="560" w:lineRule="exact"/>
        <w:ind w:firstLine="600" w:firstLineChars="200"/>
        <w:textAlignment w:val="auto"/>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（一）参赛院校须于</w:t>
      </w:r>
      <w:r>
        <w:rPr>
          <w:rFonts w:ascii="仿宋" w:hAnsi="仿宋" w:eastAsia="仿宋" w:cs="仿宋"/>
          <w:color w:val="000000" w:themeColor="text1"/>
          <w:sz w:val="30"/>
          <w:szCs w:val="30"/>
          <w14:textFill>
            <w14:solidFill>
              <w14:schemeClr w14:val="tx1"/>
            </w14:solidFill>
          </w14:textFill>
        </w:rPr>
        <w:t>11</w:t>
      </w:r>
      <w:r>
        <w:rPr>
          <w:rFonts w:hint="eastAsia" w:ascii="仿宋" w:hAnsi="仿宋" w:eastAsia="仿宋" w:cs="仿宋"/>
          <w:color w:val="000000" w:themeColor="text1"/>
          <w:sz w:val="30"/>
          <w:szCs w:val="30"/>
          <w14:textFill>
            <w14:solidFill>
              <w14:schemeClr w14:val="tx1"/>
            </w14:solidFill>
          </w14:textFill>
        </w:rPr>
        <w:t>月</w:t>
      </w:r>
      <w:r>
        <w:rPr>
          <w:rFonts w:hint="eastAsia" w:ascii="仿宋" w:hAnsi="仿宋" w:eastAsia="仿宋" w:cs="仿宋"/>
          <w:color w:val="000000" w:themeColor="text1"/>
          <w:sz w:val="30"/>
          <w:szCs w:val="30"/>
          <w:lang w:val="en-US" w:eastAsia="zh-CN"/>
          <w14:textFill>
            <w14:solidFill>
              <w14:schemeClr w14:val="tx1"/>
            </w14:solidFill>
          </w14:textFill>
        </w:rPr>
        <w:t>26</w:t>
      </w:r>
      <w:r>
        <w:rPr>
          <w:rFonts w:hint="eastAsia" w:ascii="仿宋" w:hAnsi="仿宋" w:eastAsia="仿宋" w:cs="仿宋"/>
          <w:color w:val="000000" w:themeColor="text1"/>
          <w:sz w:val="30"/>
          <w:szCs w:val="30"/>
          <w14:textFill>
            <w14:solidFill>
              <w14:schemeClr w14:val="tx1"/>
            </w14:solidFill>
          </w14:textFill>
        </w:rPr>
        <w:t>日前登录河南省高职院校技能大赛报名系统（http://39.105.49.188</w:t>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"http://39.105.49.188/"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fldChar w:fldCharType="end"/>
      </w:r>
      <w:r>
        <w:rPr>
          <w:rFonts w:hint="eastAsia" w:ascii="仿宋" w:hAnsi="仿宋" w:eastAsia="仿宋" w:cs="仿宋"/>
          <w:color w:val="000000" w:themeColor="text1"/>
          <w:sz w:val="30"/>
          <w:szCs w:val="30"/>
          <w14:textFill>
            <w14:solidFill>
              <w14:schemeClr w14:val="tx1"/>
            </w14:solidFill>
          </w14:textFill>
        </w:rPr>
        <w:t>），按要求填报并提交参赛信息。</w:t>
      </w:r>
    </w:p>
    <w:p>
      <w:pPr>
        <w:keepNext w:val="0"/>
        <w:keepLines w:val="0"/>
        <w:pageBreakBefore w:val="0"/>
        <w:kinsoku/>
        <w:wordWrap/>
        <w:overflowPunct/>
        <w:topLinePunct w:val="0"/>
        <w:autoSpaceDE/>
        <w:autoSpaceDN/>
        <w:bidi w:val="0"/>
        <w:spacing w:line="560" w:lineRule="exact"/>
        <w:ind w:firstLine="600" w:firstLineChars="200"/>
        <w:textAlignment w:val="auto"/>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（二）各参赛校以学校为单位注册报名平台，专人负责报名工作。（技术支持：张玺，电话：19837739696）。</w:t>
      </w:r>
    </w:p>
    <w:p>
      <w:pPr>
        <w:keepNext w:val="0"/>
        <w:keepLines w:val="0"/>
        <w:pageBreakBefore w:val="0"/>
        <w:kinsoku/>
        <w:wordWrap/>
        <w:overflowPunct/>
        <w:topLinePunct w:val="0"/>
        <w:autoSpaceDE/>
        <w:autoSpaceDN/>
        <w:bidi w:val="0"/>
        <w:spacing w:line="560" w:lineRule="exact"/>
        <w:ind w:firstLine="600" w:firstLineChars="200"/>
        <w:textAlignment w:val="auto"/>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三）提交报名信息后，参赛院校从系统导出报名表、赛项汇总表，连同参赛选手身份证复印件、学信网“教育部学籍在线验证报告”或省招办录取名册复印件各1份并加盖学校公章报送或邮寄至承办学校（河南医学高等专科学校）。纸质报名材料接收截止时间为</w:t>
      </w:r>
      <w:r>
        <w:rPr>
          <w:rFonts w:ascii="仿宋" w:hAnsi="仿宋" w:eastAsia="仿宋" w:cs="仿宋"/>
          <w:color w:val="000000" w:themeColor="text1"/>
          <w:sz w:val="30"/>
          <w:szCs w:val="30"/>
          <w14:textFill>
            <w14:solidFill>
              <w14:schemeClr w14:val="tx1"/>
            </w14:solidFill>
          </w14:textFill>
        </w:rPr>
        <w:t>11</w:t>
      </w:r>
      <w:r>
        <w:rPr>
          <w:rFonts w:hint="eastAsia" w:ascii="仿宋" w:hAnsi="仿宋" w:eastAsia="仿宋" w:cs="仿宋"/>
          <w:color w:val="000000" w:themeColor="text1"/>
          <w:sz w:val="30"/>
          <w:szCs w:val="30"/>
          <w14:textFill>
            <w14:solidFill>
              <w14:schemeClr w14:val="tx1"/>
            </w14:solidFill>
          </w14:textFill>
        </w:rPr>
        <w:t>月</w:t>
      </w:r>
      <w:r>
        <w:rPr>
          <w:rFonts w:ascii="仿宋" w:hAnsi="仿宋" w:eastAsia="仿宋" w:cs="仿宋"/>
          <w:color w:val="000000" w:themeColor="text1"/>
          <w:sz w:val="30"/>
          <w:szCs w:val="30"/>
          <w14:textFill>
            <w14:solidFill>
              <w14:schemeClr w14:val="tx1"/>
            </w14:solidFill>
          </w14:textFill>
        </w:rPr>
        <w:t>2</w:t>
      </w:r>
      <w:r>
        <w:rPr>
          <w:rFonts w:hint="eastAsia" w:ascii="仿宋" w:hAnsi="仿宋" w:eastAsia="仿宋" w:cs="仿宋"/>
          <w:color w:val="000000" w:themeColor="text1"/>
          <w:sz w:val="30"/>
          <w:szCs w:val="30"/>
          <w:lang w:val="en-US" w:eastAsia="zh-CN"/>
          <w14:textFill>
            <w14:solidFill>
              <w14:schemeClr w14:val="tx1"/>
            </w14:solidFill>
          </w14:textFill>
        </w:rPr>
        <w:t>7</w:t>
      </w:r>
      <w:r>
        <w:rPr>
          <w:rFonts w:hint="eastAsia" w:ascii="仿宋" w:hAnsi="仿宋" w:eastAsia="仿宋" w:cs="仿宋"/>
          <w:color w:val="000000" w:themeColor="text1"/>
          <w:sz w:val="30"/>
          <w:szCs w:val="30"/>
          <w14:textFill>
            <w14:solidFill>
              <w14:schemeClr w14:val="tx1"/>
            </w14:solidFill>
          </w14:textFill>
        </w:rPr>
        <w:t>日，以邮戳时间为准。邮寄地址：河南省新郑市双湖大道</w:t>
      </w:r>
      <w:r>
        <w:rPr>
          <w:rFonts w:ascii="仿宋" w:hAnsi="仿宋" w:eastAsia="仿宋" w:cs="仿宋"/>
          <w:color w:val="000000" w:themeColor="text1"/>
          <w:sz w:val="30"/>
          <w:szCs w:val="30"/>
          <w14:textFill>
            <w14:solidFill>
              <w14:schemeClr w14:val="tx1"/>
            </w14:solidFill>
          </w14:textFill>
        </w:rPr>
        <w:t>8</w:t>
      </w:r>
      <w:r>
        <w:rPr>
          <w:rFonts w:hint="eastAsia" w:ascii="仿宋" w:hAnsi="仿宋" w:eastAsia="仿宋" w:cs="仿宋"/>
          <w:color w:val="000000" w:themeColor="text1"/>
          <w:sz w:val="30"/>
          <w:szCs w:val="30"/>
          <w14:textFill>
            <w14:solidFill>
              <w14:schemeClr w14:val="tx1"/>
            </w14:solidFill>
          </w14:textFill>
        </w:rPr>
        <w:t xml:space="preserve">号河南医学高等专科学校 </w:t>
      </w:r>
      <w:r>
        <w:rPr>
          <w:rFonts w:ascii="仿宋" w:hAnsi="仿宋" w:eastAsia="仿宋" w:cs="仿宋"/>
          <w:color w:val="000000" w:themeColor="text1"/>
          <w:sz w:val="30"/>
          <w:szCs w:val="30"/>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临床医学院，邮编：</w:t>
      </w:r>
      <w:r>
        <w:rPr>
          <w:rFonts w:ascii="仿宋" w:hAnsi="仿宋" w:eastAsia="仿宋" w:cs="仿宋"/>
          <w:color w:val="000000" w:themeColor="text1"/>
          <w:sz w:val="30"/>
          <w:szCs w:val="30"/>
          <w14:textFill>
            <w14:solidFill>
              <w14:schemeClr w14:val="tx1"/>
            </w14:solidFill>
          </w14:textFill>
        </w:rPr>
        <w:t>451191</w:t>
      </w:r>
      <w:r>
        <w:rPr>
          <w:rFonts w:hint="eastAsia" w:ascii="仿宋" w:hAnsi="仿宋" w:eastAsia="仿宋" w:cs="仿宋"/>
          <w:color w:val="000000" w:themeColor="text1"/>
          <w:sz w:val="30"/>
          <w:szCs w:val="30"/>
          <w14:textFill>
            <w14:solidFill>
              <w14:schemeClr w14:val="tx1"/>
            </w14:solidFill>
          </w14:textFill>
        </w:rPr>
        <w:t>；联系人：马莉娜；联系电话：</w:t>
      </w:r>
      <w:r>
        <w:rPr>
          <w:rFonts w:ascii="仿宋" w:hAnsi="仿宋" w:eastAsia="仿宋" w:cs="仿宋"/>
          <w:color w:val="000000" w:themeColor="text1"/>
          <w:sz w:val="30"/>
          <w:szCs w:val="30"/>
          <w14:textFill>
            <w14:solidFill>
              <w14:schemeClr w14:val="tx1"/>
            </w14:solidFill>
          </w14:textFill>
        </w:rPr>
        <w:t>13523597223</w:t>
      </w:r>
      <w:r>
        <w:rPr>
          <w:rFonts w:hint="eastAsia" w:ascii="仿宋" w:hAnsi="仿宋" w:eastAsia="仿宋" w:cs="仿宋"/>
          <w:color w:val="000000" w:themeColor="text1"/>
          <w:sz w:val="30"/>
          <w:szCs w:val="30"/>
          <w14:textFill>
            <w14:solidFill>
              <w14:schemeClr w14:val="tx1"/>
            </w14:solidFill>
          </w14:textFill>
        </w:rPr>
        <w:t>。</w:t>
      </w:r>
    </w:p>
    <w:p>
      <w:pPr>
        <w:keepNext w:val="0"/>
        <w:keepLines w:val="0"/>
        <w:pageBreakBefore w:val="0"/>
        <w:kinsoku/>
        <w:wordWrap/>
        <w:overflowPunct/>
        <w:topLinePunct w:val="0"/>
        <w:autoSpaceDE/>
        <w:autoSpaceDN/>
        <w:bidi w:val="0"/>
        <w:spacing w:line="560" w:lineRule="exact"/>
        <w:ind w:firstLine="600" w:firstLineChars="200"/>
        <w:textAlignment w:val="auto"/>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4.承办学校收到纸质报名材料，按省赛的要求认真审核参赛选手和指导教师资格，审核通过报名成功。</w:t>
      </w:r>
    </w:p>
    <w:p>
      <w:pPr>
        <w:pStyle w:val="32"/>
        <w:keepNext w:val="0"/>
        <w:keepLines w:val="0"/>
        <w:pageBreakBefore w:val="0"/>
        <w:widowControl w:val="0"/>
        <w:kinsoku/>
        <w:wordWrap/>
        <w:overflowPunct/>
        <w:topLinePunct w:val="0"/>
        <w:autoSpaceDE/>
        <w:autoSpaceDN/>
        <w:bidi w:val="0"/>
        <w:spacing w:before="0" w:after="0" w:line="560" w:lineRule="exact"/>
        <w:ind w:firstLine="600" w:firstLineChars="200"/>
        <w:textAlignment w:val="auto"/>
        <w:rPr>
          <w:rFonts w:ascii="黑体" w:hAnsi="黑体" w:eastAsia="黑体" w:cs="黑体"/>
          <w:b w:val="0"/>
          <w:color w:val="000000" w:themeColor="text1"/>
          <w:kern w:val="2"/>
          <w:sz w:val="30"/>
          <w:szCs w:val="30"/>
          <w14:textFill>
            <w14:solidFill>
              <w14:schemeClr w14:val="tx1"/>
            </w14:solidFill>
          </w14:textFill>
        </w:rPr>
      </w:pPr>
      <w:r>
        <w:rPr>
          <w:rFonts w:hint="eastAsia" w:ascii="黑体" w:hAnsi="黑体" w:eastAsia="黑体" w:cs="黑体"/>
          <w:b w:val="0"/>
          <w:color w:val="000000" w:themeColor="text1"/>
          <w:kern w:val="2"/>
          <w:sz w:val="30"/>
          <w:szCs w:val="30"/>
          <w14:textFill>
            <w14:solidFill>
              <w14:schemeClr w14:val="tx1"/>
            </w14:solidFill>
          </w14:textFill>
        </w:rPr>
        <w:t>六</w:t>
      </w:r>
      <w:r>
        <w:rPr>
          <w:rFonts w:ascii="黑体" w:hAnsi="黑体" w:eastAsia="黑体" w:cs="黑体"/>
          <w:b w:val="0"/>
          <w:color w:val="000000" w:themeColor="text1"/>
          <w:kern w:val="2"/>
          <w:sz w:val="30"/>
          <w:szCs w:val="30"/>
          <w14:textFill>
            <w14:solidFill>
              <w14:schemeClr w14:val="tx1"/>
            </w14:solidFill>
          </w14:textFill>
        </w:rPr>
        <w:t>、竞赛</w:t>
      </w:r>
      <w:r>
        <w:rPr>
          <w:rFonts w:hint="eastAsia" w:ascii="黑体" w:hAnsi="黑体" w:eastAsia="黑体" w:cs="黑体"/>
          <w:b w:val="0"/>
          <w:color w:val="000000" w:themeColor="text1"/>
          <w:kern w:val="2"/>
          <w:sz w:val="30"/>
          <w:szCs w:val="30"/>
          <w14:textFill>
            <w14:solidFill>
              <w14:schemeClr w14:val="tx1"/>
            </w14:solidFill>
          </w14:textFill>
        </w:rPr>
        <w:t>流程</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（一）竞赛时间安排</w:t>
      </w:r>
    </w:p>
    <w:p>
      <w:pPr>
        <w:keepNext w:val="0"/>
        <w:keepLines w:val="0"/>
        <w:pageBreakBefore w:val="0"/>
        <w:widowControl/>
        <w:kinsoku/>
        <w:wordWrap/>
        <w:overflowPunct/>
        <w:topLinePunct w:val="0"/>
        <w:autoSpaceDE/>
        <w:autoSpaceDN/>
        <w:bidi w:val="0"/>
        <w:spacing w:line="560" w:lineRule="exact"/>
        <w:ind w:firstLine="600" w:firstLineChars="200"/>
        <w:jc w:val="left"/>
        <w:textAlignment w:val="auto"/>
        <w:rPr>
          <w:rFonts w:ascii="仿宋_GB2312" w:hAnsi="仿宋" w:eastAsia="仿宋_GB2312" w:cs="仿宋"/>
          <w:bCs/>
          <w:kern w:val="0"/>
          <w:sz w:val="30"/>
          <w:szCs w:val="30"/>
          <w:lang w:bidi="ar"/>
        </w:rPr>
      </w:pPr>
      <w:r>
        <w:rPr>
          <w:rFonts w:hint="eastAsia" w:ascii="仿宋_GB2312" w:hAnsi="仿宋" w:eastAsia="仿宋_GB2312" w:cs="仿宋"/>
          <w:bCs/>
          <w:kern w:val="0"/>
          <w:sz w:val="30"/>
          <w:szCs w:val="30"/>
          <w:lang w:bidi="ar"/>
        </w:rPr>
        <w:t>本赛项竞赛拟安排在</w:t>
      </w:r>
      <w:r>
        <w:rPr>
          <w:rFonts w:ascii="仿宋_GB2312" w:hAnsi="仿宋" w:eastAsia="仿宋_GB2312" w:cs="仿宋"/>
          <w:bCs/>
          <w:kern w:val="0"/>
          <w:sz w:val="30"/>
          <w:szCs w:val="30"/>
          <w:lang w:bidi="ar"/>
        </w:rPr>
        <w:t>2023</w:t>
      </w:r>
      <w:r>
        <w:rPr>
          <w:rFonts w:hint="eastAsia" w:ascii="仿宋_GB2312" w:hAnsi="仿宋" w:eastAsia="仿宋_GB2312" w:cs="仿宋"/>
          <w:bCs/>
          <w:kern w:val="0"/>
          <w:sz w:val="30"/>
          <w:szCs w:val="30"/>
          <w:lang w:bidi="ar"/>
        </w:rPr>
        <w:t>年1</w:t>
      </w:r>
      <w:r>
        <w:rPr>
          <w:rFonts w:ascii="仿宋_GB2312" w:hAnsi="仿宋" w:eastAsia="仿宋_GB2312" w:cs="仿宋"/>
          <w:bCs/>
          <w:kern w:val="0"/>
          <w:sz w:val="30"/>
          <w:szCs w:val="30"/>
          <w:lang w:bidi="ar"/>
        </w:rPr>
        <w:t>2</w:t>
      </w:r>
      <w:r>
        <w:rPr>
          <w:rFonts w:hint="eastAsia" w:ascii="仿宋_GB2312" w:hAnsi="仿宋" w:eastAsia="仿宋_GB2312" w:cs="仿宋"/>
          <w:bCs/>
          <w:kern w:val="0"/>
          <w:sz w:val="30"/>
          <w:szCs w:val="30"/>
          <w:lang w:bidi="ar"/>
        </w:rPr>
        <w:t>月1日—2</w:t>
      </w:r>
      <w:r>
        <w:rPr>
          <w:rFonts w:ascii="仿宋_GB2312" w:hAnsi="仿宋" w:eastAsia="仿宋_GB2312" w:cs="仿宋"/>
          <w:bCs/>
          <w:kern w:val="0"/>
          <w:sz w:val="30"/>
          <w:szCs w:val="30"/>
          <w:lang w:bidi="ar"/>
        </w:rPr>
        <w:t>023</w:t>
      </w:r>
      <w:r>
        <w:rPr>
          <w:rFonts w:hint="eastAsia" w:ascii="仿宋_GB2312" w:hAnsi="仿宋" w:eastAsia="仿宋_GB2312" w:cs="仿宋"/>
          <w:bCs/>
          <w:kern w:val="0"/>
          <w:sz w:val="30"/>
          <w:szCs w:val="30"/>
          <w:lang w:bidi="ar"/>
        </w:rPr>
        <w:t>年1</w:t>
      </w:r>
      <w:r>
        <w:rPr>
          <w:rFonts w:ascii="仿宋_GB2312" w:hAnsi="仿宋" w:eastAsia="仿宋_GB2312" w:cs="仿宋"/>
          <w:bCs/>
          <w:kern w:val="0"/>
          <w:sz w:val="30"/>
          <w:szCs w:val="30"/>
          <w:lang w:bidi="ar"/>
        </w:rPr>
        <w:t>2</w:t>
      </w:r>
      <w:r>
        <w:rPr>
          <w:rFonts w:hint="eastAsia" w:ascii="仿宋_GB2312" w:hAnsi="仿宋" w:eastAsia="仿宋_GB2312" w:cs="仿宋"/>
          <w:bCs/>
          <w:kern w:val="0"/>
          <w:sz w:val="30"/>
          <w:szCs w:val="30"/>
          <w:lang w:bidi="ar"/>
        </w:rPr>
        <w:t>月3日进行。2</w:t>
      </w:r>
      <w:r>
        <w:rPr>
          <w:rFonts w:ascii="仿宋_GB2312" w:hAnsi="仿宋" w:eastAsia="仿宋_GB2312" w:cs="仿宋"/>
          <w:bCs/>
          <w:kern w:val="0"/>
          <w:sz w:val="30"/>
          <w:szCs w:val="30"/>
          <w:lang w:bidi="ar"/>
        </w:rPr>
        <w:t>023</w:t>
      </w:r>
      <w:r>
        <w:rPr>
          <w:rFonts w:hint="eastAsia" w:ascii="仿宋_GB2312" w:hAnsi="仿宋" w:eastAsia="仿宋_GB2312" w:cs="仿宋"/>
          <w:bCs/>
          <w:kern w:val="0"/>
          <w:sz w:val="30"/>
          <w:szCs w:val="30"/>
          <w:lang w:bidi="ar"/>
        </w:rPr>
        <w:t>年</w:t>
      </w:r>
      <w:r>
        <w:rPr>
          <w:rFonts w:ascii="仿宋_GB2312" w:hAnsi="仿宋" w:eastAsia="仿宋_GB2312" w:cs="仿宋"/>
          <w:bCs/>
          <w:kern w:val="0"/>
          <w:sz w:val="30"/>
          <w:szCs w:val="30"/>
          <w:lang w:bidi="ar"/>
        </w:rPr>
        <w:t>12</w:t>
      </w:r>
      <w:r>
        <w:rPr>
          <w:rFonts w:hint="eastAsia" w:ascii="仿宋_GB2312" w:hAnsi="仿宋" w:eastAsia="仿宋_GB2312" w:cs="仿宋"/>
          <w:bCs/>
          <w:kern w:val="0"/>
          <w:sz w:val="30"/>
          <w:szCs w:val="30"/>
          <w:lang w:bidi="ar"/>
        </w:rPr>
        <w:t>月1日下午1</w:t>
      </w:r>
      <w:r>
        <w:rPr>
          <w:rFonts w:ascii="仿宋_GB2312" w:hAnsi="仿宋" w:eastAsia="仿宋_GB2312" w:cs="仿宋"/>
          <w:bCs/>
          <w:kern w:val="0"/>
          <w:sz w:val="30"/>
          <w:szCs w:val="30"/>
          <w:lang w:bidi="ar"/>
        </w:rPr>
        <w:t>4</w:t>
      </w:r>
      <w:r>
        <w:rPr>
          <w:rFonts w:hint="eastAsia" w:ascii="仿宋_GB2312" w:hAnsi="仿宋" w:eastAsia="仿宋_GB2312" w:cs="仿宋"/>
          <w:bCs/>
          <w:kern w:val="0"/>
          <w:sz w:val="30"/>
          <w:szCs w:val="30"/>
          <w:lang w:bidi="ar"/>
        </w:rPr>
        <w:t>:00时前报到，2</w:t>
      </w:r>
      <w:r>
        <w:rPr>
          <w:rFonts w:ascii="仿宋_GB2312" w:hAnsi="仿宋" w:eastAsia="仿宋_GB2312" w:cs="仿宋"/>
          <w:bCs/>
          <w:kern w:val="0"/>
          <w:sz w:val="30"/>
          <w:szCs w:val="30"/>
          <w:lang w:bidi="ar"/>
        </w:rPr>
        <w:t>023</w:t>
      </w:r>
      <w:r>
        <w:rPr>
          <w:rFonts w:hint="eastAsia" w:ascii="仿宋_GB2312" w:hAnsi="仿宋" w:eastAsia="仿宋_GB2312" w:cs="仿宋"/>
          <w:bCs/>
          <w:kern w:val="0"/>
          <w:sz w:val="30"/>
          <w:szCs w:val="30"/>
          <w:lang w:bidi="ar"/>
        </w:rPr>
        <w:t>年1</w:t>
      </w:r>
      <w:r>
        <w:rPr>
          <w:rFonts w:ascii="仿宋_GB2312" w:hAnsi="仿宋" w:eastAsia="仿宋_GB2312" w:cs="仿宋"/>
          <w:bCs/>
          <w:kern w:val="0"/>
          <w:sz w:val="30"/>
          <w:szCs w:val="30"/>
          <w:lang w:bidi="ar"/>
        </w:rPr>
        <w:t>2</w:t>
      </w:r>
      <w:r>
        <w:rPr>
          <w:rFonts w:hint="eastAsia" w:ascii="仿宋_GB2312" w:hAnsi="仿宋" w:eastAsia="仿宋_GB2312" w:cs="仿宋"/>
          <w:bCs/>
          <w:kern w:val="0"/>
          <w:sz w:val="30"/>
          <w:szCs w:val="30"/>
          <w:lang w:bidi="ar"/>
        </w:rPr>
        <w:t>月1日晚上1</w:t>
      </w:r>
      <w:r>
        <w:rPr>
          <w:rFonts w:ascii="仿宋_GB2312" w:hAnsi="仿宋" w:eastAsia="仿宋_GB2312" w:cs="仿宋"/>
          <w:bCs/>
          <w:kern w:val="0"/>
          <w:sz w:val="30"/>
          <w:szCs w:val="30"/>
          <w:lang w:bidi="ar"/>
        </w:rPr>
        <w:t>8</w:t>
      </w:r>
      <w:r>
        <w:rPr>
          <w:rFonts w:hint="eastAsia" w:ascii="仿宋_GB2312" w:hAnsi="仿宋" w:eastAsia="仿宋_GB2312" w:cs="仿宋"/>
          <w:bCs/>
          <w:kern w:val="0"/>
          <w:sz w:val="30"/>
          <w:szCs w:val="30"/>
          <w:lang w:bidi="ar"/>
        </w:rPr>
        <w:t>:3</w:t>
      </w:r>
      <w:r>
        <w:rPr>
          <w:rFonts w:ascii="仿宋_GB2312" w:hAnsi="仿宋" w:eastAsia="仿宋_GB2312" w:cs="仿宋"/>
          <w:bCs/>
          <w:kern w:val="0"/>
          <w:sz w:val="30"/>
          <w:szCs w:val="30"/>
          <w:lang w:bidi="ar"/>
        </w:rPr>
        <w:t>0</w:t>
      </w:r>
      <w:r>
        <w:rPr>
          <w:rFonts w:hint="eastAsia" w:ascii="仿宋_GB2312" w:hAnsi="仿宋" w:eastAsia="仿宋_GB2312" w:cs="仿宋"/>
          <w:bCs/>
          <w:kern w:val="0"/>
          <w:sz w:val="30"/>
          <w:szCs w:val="30"/>
          <w:lang w:bidi="ar"/>
        </w:rPr>
        <w:t>时理论考试，2</w:t>
      </w:r>
      <w:r>
        <w:rPr>
          <w:rFonts w:ascii="仿宋_GB2312" w:hAnsi="仿宋" w:eastAsia="仿宋_GB2312" w:cs="仿宋"/>
          <w:bCs/>
          <w:kern w:val="0"/>
          <w:sz w:val="30"/>
          <w:szCs w:val="30"/>
          <w:lang w:bidi="ar"/>
        </w:rPr>
        <w:t>023</w:t>
      </w:r>
      <w:r>
        <w:rPr>
          <w:rFonts w:hint="eastAsia" w:ascii="仿宋_GB2312" w:hAnsi="仿宋" w:eastAsia="仿宋_GB2312" w:cs="仿宋"/>
          <w:bCs/>
          <w:kern w:val="0"/>
          <w:sz w:val="30"/>
          <w:szCs w:val="30"/>
          <w:lang w:bidi="ar"/>
        </w:rPr>
        <w:t>年1</w:t>
      </w:r>
      <w:r>
        <w:rPr>
          <w:rFonts w:ascii="仿宋_GB2312" w:hAnsi="仿宋" w:eastAsia="仿宋_GB2312" w:cs="仿宋"/>
          <w:bCs/>
          <w:kern w:val="0"/>
          <w:sz w:val="30"/>
          <w:szCs w:val="30"/>
          <w:lang w:bidi="ar"/>
        </w:rPr>
        <w:t>2</w:t>
      </w:r>
      <w:r>
        <w:rPr>
          <w:rFonts w:hint="eastAsia" w:ascii="仿宋_GB2312" w:hAnsi="仿宋" w:eastAsia="仿宋_GB2312" w:cs="仿宋"/>
          <w:bCs/>
          <w:kern w:val="0"/>
          <w:sz w:val="30"/>
          <w:szCs w:val="30"/>
          <w:lang w:bidi="ar"/>
        </w:rPr>
        <w:t>月2日技能操作竞赛，2</w:t>
      </w:r>
      <w:r>
        <w:rPr>
          <w:rFonts w:ascii="仿宋_GB2312" w:hAnsi="仿宋" w:eastAsia="仿宋_GB2312" w:cs="仿宋"/>
          <w:bCs/>
          <w:kern w:val="0"/>
          <w:sz w:val="30"/>
          <w:szCs w:val="30"/>
          <w:lang w:bidi="ar"/>
        </w:rPr>
        <w:t>023</w:t>
      </w:r>
      <w:r>
        <w:rPr>
          <w:rFonts w:hint="eastAsia" w:ascii="仿宋_GB2312" w:hAnsi="仿宋" w:eastAsia="仿宋_GB2312" w:cs="仿宋"/>
          <w:bCs/>
          <w:kern w:val="0"/>
          <w:sz w:val="30"/>
          <w:szCs w:val="30"/>
          <w:lang w:bidi="ar"/>
        </w:rPr>
        <w:t>年</w:t>
      </w:r>
      <w:r>
        <w:rPr>
          <w:rFonts w:ascii="仿宋_GB2312" w:hAnsi="仿宋" w:eastAsia="仿宋_GB2312" w:cs="仿宋"/>
          <w:bCs/>
          <w:kern w:val="0"/>
          <w:sz w:val="30"/>
          <w:szCs w:val="30"/>
          <w:lang w:bidi="ar"/>
        </w:rPr>
        <w:t>12</w:t>
      </w:r>
      <w:r>
        <w:rPr>
          <w:rFonts w:hint="eastAsia" w:ascii="仿宋_GB2312" w:hAnsi="仿宋" w:eastAsia="仿宋_GB2312" w:cs="仿宋"/>
          <w:bCs/>
          <w:kern w:val="0"/>
          <w:sz w:val="30"/>
          <w:szCs w:val="30"/>
          <w:lang w:bidi="ar"/>
        </w:rPr>
        <w:t>月3日上午</w:t>
      </w:r>
      <w:r>
        <w:rPr>
          <w:rFonts w:ascii="仿宋_GB2312" w:hAnsi="仿宋" w:eastAsia="仿宋_GB2312" w:cs="仿宋"/>
          <w:bCs/>
          <w:kern w:val="0"/>
          <w:sz w:val="30"/>
          <w:szCs w:val="30"/>
          <w:lang w:bidi="ar"/>
        </w:rPr>
        <w:t>9</w:t>
      </w:r>
      <w:r>
        <w:rPr>
          <w:rFonts w:hint="eastAsia" w:ascii="仿宋_GB2312" w:hAnsi="仿宋" w:eastAsia="仿宋_GB2312" w:cs="仿宋"/>
          <w:bCs/>
          <w:kern w:val="0"/>
          <w:sz w:val="30"/>
          <w:szCs w:val="30"/>
          <w:lang w:bidi="ar"/>
        </w:rPr>
        <w:t>:0</w:t>
      </w:r>
      <w:r>
        <w:rPr>
          <w:rFonts w:ascii="仿宋_GB2312" w:hAnsi="仿宋" w:eastAsia="仿宋_GB2312" w:cs="仿宋"/>
          <w:bCs/>
          <w:kern w:val="0"/>
          <w:sz w:val="30"/>
          <w:szCs w:val="30"/>
          <w:lang w:bidi="ar"/>
        </w:rPr>
        <w:t>0</w:t>
      </w:r>
      <w:r>
        <w:rPr>
          <w:rFonts w:hint="eastAsia" w:ascii="仿宋_GB2312" w:hAnsi="仿宋" w:eastAsia="仿宋_GB2312" w:cs="仿宋"/>
          <w:bCs/>
          <w:kern w:val="0"/>
          <w:sz w:val="30"/>
          <w:szCs w:val="30"/>
          <w:lang w:bidi="ar"/>
        </w:rPr>
        <w:t>时颁奖及闭幕式。2</w:t>
      </w:r>
      <w:r>
        <w:rPr>
          <w:rFonts w:ascii="仿宋_GB2312" w:hAnsi="仿宋" w:eastAsia="仿宋_GB2312" w:cs="仿宋"/>
          <w:bCs/>
          <w:kern w:val="0"/>
          <w:sz w:val="30"/>
          <w:szCs w:val="30"/>
          <w:lang w:bidi="ar"/>
        </w:rPr>
        <w:t>023</w:t>
      </w:r>
      <w:r>
        <w:rPr>
          <w:rFonts w:hint="eastAsia" w:ascii="仿宋_GB2312" w:hAnsi="仿宋" w:eastAsia="仿宋_GB2312" w:cs="仿宋"/>
          <w:bCs/>
          <w:kern w:val="0"/>
          <w:sz w:val="30"/>
          <w:szCs w:val="30"/>
          <w:lang w:bidi="ar"/>
        </w:rPr>
        <w:t>年1</w:t>
      </w:r>
      <w:r>
        <w:rPr>
          <w:rFonts w:ascii="仿宋_GB2312" w:hAnsi="仿宋" w:eastAsia="仿宋_GB2312" w:cs="仿宋"/>
          <w:bCs/>
          <w:kern w:val="0"/>
          <w:sz w:val="30"/>
          <w:szCs w:val="30"/>
          <w:lang w:bidi="ar"/>
        </w:rPr>
        <w:t>2</w:t>
      </w:r>
      <w:r>
        <w:rPr>
          <w:rFonts w:hint="eastAsia" w:ascii="仿宋_GB2312" w:hAnsi="仿宋" w:eastAsia="仿宋_GB2312" w:cs="仿宋"/>
          <w:bCs/>
          <w:kern w:val="0"/>
          <w:sz w:val="30"/>
          <w:szCs w:val="30"/>
          <w:lang w:bidi="ar"/>
        </w:rPr>
        <w:t>月3日1</w:t>
      </w:r>
      <w:r>
        <w:rPr>
          <w:rFonts w:ascii="仿宋_GB2312" w:hAnsi="仿宋" w:eastAsia="仿宋_GB2312" w:cs="仿宋"/>
          <w:bCs/>
          <w:kern w:val="0"/>
          <w:sz w:val="30"/>
          <w:szCs w:val="30"/>
          <w:lang w:bidi="ar"/>
        </w:rPr>
        <w:t>2</w:t>
      </w:r>
      <w:r>
        <w:rPr>
          <w:rFonts w:hint="eastAsia" w:ascii="仿宋_GB2312" w:hAnsi="仿宋" w:eastAsia="仿宋_GB2312" w:cs="仿宋"/>
          <w:bCs/>
          <w:kern w:val="0"/>
          <w:sz w:val="30"/>
          <w:szCs w:val="30"/>
          <w:lang w:bidi="ar"/>
        </w:rPr>
        <w:t>:00时，各代表队有序返程。</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（二）竞赛日程</w:t>
      </w:r>
    </w:p>
    <w:p>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outlineLvl w:val="1"/>
        <w:rPr>
          <w:rFonts w:ascii="楷体" w:hAnsi="楷体" w:eastAsia="楷体" w:cs="楷体"/>
          <w:bCs/>
          <w:sz w:val="30"/>
          <w:szCs w:val="30"/>
        </w:rPr>
      </w:pPr>
      <w:r>
        <w:rPr>
          <w:rFonts w:hint="eastAsia" w:ascii="仿宋_GB2312" w:hAnsi="仿宋" w:eastAsia="仿宋_GB2312" w:cs="仿宋"/>
          <w:kern w:val="0"/>
          <w:sz w:val="30"/>
          <w:szCs w:val="30"/>
          <w:lang w:bidi="ar"/>
        </w:rPr>
        <w:t>本赛项赛程三天。技能竞赛分为A、B两组同时进行，每组竞赛内容与流程一致。具体日程安排如下：</w:t>
      </w:r>
    </w:p>
    <w:tbl>
      <w:tblPr>
        <w:tblStyle w:val="13"/>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042"/>
        <w:gridCol w:w="2187"/>
        <w:gridCol w:w="2754"/>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Align w:val="center"/>
          </w:tcPr>
          <w:p>
            <w:pPr>
              <w:snapToGrid w:val="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日期</w:t>
            </w:r>
          </w:p>
        </w:tc>
        <w:tc>
          <w:tcPr>
            <w:tcW w:w="2042" w:type="dxa"/>
            <w:vAlign w:val="center"/>
          </w:tcPr>
          <w:p>
            <w:pPr>
              <w:snapToGrid w:val="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时间</w:t>
            </w:r>
          </w:p>
        </w:tc>
        <w:tc>
          <w:tcPr>
            <w:tcW w:w="2187" w:type="dxa"/>
            <w:vAlign w:val="center"/>
          </w:tcPr>
          <w:p>
            <w:pPr>
              <w:snapToGrid w:val="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项目</w:t>
            </w:r>
          </w:p>
        </w:tc>
        <w:tc>
          <w:tcPr>
            <w:tcW w:w="2754" w:type="dxa"/>
            <w:vAlign w:val="center"/>
          </w:tcPr>
          <w:p>
            <w:pPr>
              <w:snapToGrid w:val="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参加人员</w:t>
            </w:r>
          </w:p>
        </w:tc>
        <w:tc>
          <w:tcPr>
            <w:tcW w:w="1787" w:type="dxa"/>
            <w:vAlign w:val="center"/>
          </w:tcPr>
          <w:p>
            <w:pPr>
              <w:snapToGrid w:val="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restart"/>
            <w:vAlign w:val="center"/>
          </w:tcPr>
          <w:p>
            <w:pPr>
              <w:snapToGrid w:val="0"/>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第一天</w:t>
            </w: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8:00-14:00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报到</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专家、裁判员、参赛代表队</w:t>
            </w:r>
          </w:p>
        </w:tc>
        <w:tc>
          <w:tcPr>
            <w:tcW w:w="17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14:00-17:30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裁判员培训</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专家、全体裁判员</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技能竞赛考场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14:00-21:00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标准化病人培训</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专家、SP</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14:30-16:00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赛前说明会</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专家、参赛代表队领队</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承办院校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17:30-次日启赛</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封闭赛场</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技能竞赛考场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18:30-19:10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理论考试</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专家、裁判、参赛选手</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理论考场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restart"/>
            <w:vAlign w:val="center"/>
          </w:tcPr>
          <w:p>
            <w:pPr>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第二天</w:t>
            </w: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7:00-7:30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领队会议（抽签分组）</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各参赛队领队</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抽签室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7:00-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候考</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参赛选手</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候考室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8:00-12:00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操作竞赛</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参赛选手、裁判员</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技能竞赛考场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12:00-13:00</w:t>
            </w:r>
          </w:p>
        </w:tc>
        <w:tc>
          <w:tcPr>
            <w:tcW w:w="6728" w:type="dxa"/>
            <w:gridSpan w:val="3"/>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午餐、休息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13:00-19:30</w:t>
            </w:r>
          </w:p>
        </w:tc>
        <w:tc>
          <w:tcPr>
            <w:tcW w:w="2187"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操作竞赛</w:t>
            </w:r>
          </w:p>
        </w:tc>
        <w:tc>
          <w:tcPr>
            <w:tcW w:w="2754" w:type="dxa"/>
            <w:vAlign w:val="center"/>
          </w:tcPr>
          <w:p>
            <w:pPr>
              <w:snapToGrid w:val="0"/>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参赛选手、裁判员</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技能竞赛考场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vAlign w:val="center"/>
          </w:tcPr>
          <w:p>
            <w:pPr>
              <w:snapToGrid w:val="0"/>
              <w:jc w:val="center"/>
              <w:rPr>
                <w:rFonts w:hint="eastAsia" w:ascii="方正仿宋_GB2312" w:hAnsi="方正仿宋_GB2312" w:eastAsia="方正仿宋_GB2312" w:cs="方正仿宋_GB2312"/>
                <w:sz w:val="21"/>
                <w:szCs w:val="21"/>
              </w:rPr>
            </w:pP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8:00-19:30</w:t>
            </w:r>
          </w:p>
        </w:tc>
        <w:tc>
          <w:tcPr>
            <w:tcW w:w="21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组织现场观摩和直播</w:t>
            </w:r>
          </w:p>
        </w:tc>
        <w:tc>
          <w:tcPr>
            <w:tcW w:w="2754" w:type="dxa"/>
            <w:vAlign w:val="center"/>
          </w:tcPr>
          <w:p>
            <w:pP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各院校观摩人员</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直播室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Align w:val="center"/>
          </w:tcPr>
          <w:p>
            <w:pPr>
              <w:snapToGrid w:val="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第三天</w:t>
            </w:r>
          </w:p>
        </w:tc>
        <w:tc>
          <w:tcPr>
            <w:tcW w:w="2042" w:type="dxa"/>
            <w:vAlign w:val="center"/>
          </w:tcPr>
          <w:p>
            <w:pPr>
              <w:snapToGrid w:val="0"/>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9:00-12:00</w:t>
            </w:r>
          </w:p>
        </w:tc>
        <w:tc>
          <w:tcPr>
            <w:tcW w:w="21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闭幕式</w:t>
            </w:r>
          </w:p>
        </w:tc>
        <w:tc>
          <w:tcPr>
            <w:tcW w:w="2754" w:type="dxa"/>
            <w:vAlign w:val="center"/>
          </w:tcPr>
          <w:p>
            <w:pP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专家、裁判、参赛代表队</w:t>
            </w:r>
          </w:p>
        </w:tc>
        <w:tc>
          <w:tcPr>
            <w:tcW w:w="1787" w:type="dxa"/>
            <w:vAlign w:val="center"/>
          </w:tcPr>
          <w:p>
            <w:pPr>
              <w:jc w:val="lef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承办院校</w:t>
            </w:r>
          </w:p>
        </w:tc>
      </w:tr>
    </w:tbl>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（三）抽签流程</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1.由赛项执委会按照竞赛流程召开领队会议，组织各校领队参加公开抽签，确定各队组别及参赛次序。参赛队按照抽签确定的参赛次序进入比赛场地参赛。</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2.各参赛队按次序在比赛前30分钟到赛项指定地点接受检录。备考开始前由工作人员将参赛选手带至备考室抽取角色分工及试题。</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（四）竞赛流程</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ascii="仿宋_GB2312" w:hAnsi="仿宋" w:eastAsia="仿宋_GB2312" w:cs="仿宋"/>
          <w:b/>
          <w:kern w:val="0"/>
          <w:sz w:val="30"/>
          <w:szCs w:val="30"/>
          <w:lang w:bidi="ar"/>
        </w:rPr>
      </w:pPr>
      <w:r>
        <w:rPr>
          <w:rFonts w:hint="eastAsia" w:ascii="仿宋_GB2312" w:hAnsi="仿宋" w:eastAsia="仿宋_GB2312" w:cs="仿宋"/>
          <w:b/>
          <w:kern w:val="0"/>
          <w:sz w:val="30"/>
          <w:szCs w:val="30"/>
          <w:lang w:bidi="ar"/>
        </w:rPr>
        <w:t>1.理论知识竞赛</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所有选手必须参加。场地按照标准计算机机考考场设置，配备监考员</w:t>
      </w:r>
      <w:r>
        <w:rPr>
          <w:rFonts w:ascii="仿宋_GB2312" w:hAnsi="仿宋" w:eastAsia="仿宋_GB2312" w:cs="仿宋"/>
          <w:kern w:val="0"/>
          <w:sz w:val="30"/>
          <w:szCs w:val="30"/>
          <w:lang w:bidi="ar"/>
        </w:rPr>
        <w:t>4</w:t>
      </w:r>
      <w:r>
        <w:rPr>
          <w:rFonts w:hint="eastAsia" w:ascii="仿宋_GB2312" w:hAnsi="仿宋" w:eastAsia="仿宋_GB2312" w:cs="仿宋"/>
          <w:kern w:val="0"/>
          <w:sz w:val="30"/>
          <w:szCs w:val="30"/>
          <w:lang w:bidi="ar"/>
        </w:rPr>
        <w:t>位,核查证件→发卷→收卷→电脑自动阅卷→统分→公布成绩。</w:t>
      </w:r>
    </w:p>
    <w:p>
      <w:pPr>
        <w:keepNext w:val="0"/>
        <w:keepLines w:val="0"/>
        <w:pageBreakBefore w:val="0"/>
        <w:widowControl/>
        <w:kinsoku/>
        <w:wordWrap/>
        <w:overflowPunct/>
        <w:topLinePunct w:val="0"/>
        <w:bidi w:val="0"/>
        <w:spacing w:line="560" w:lineRule="exact"/>
        <w:ind w:firstLine="602" w:firstLineChars="200"/>
        <w:jc w:val="left"/>
        <w:textAlignment w:val="auto"/>
        <w:rPr>
          <w:rFonts w:ascii="仿宋_GB2312" w:hAnsi="仿宋" w:eastAsia="仿宋_GB2312" w:cs="仿宋"/>
          <w:b/>
          <w:kern w:val="0"/>
          <w:sz w:val="30"/>
          <w:szCs w:val="30"/>
          <w:lang w:bidi="ar"/>
        </w:rPr>
      </w:pPr>
      <w:r>
        <w:rPr>
          <w:rFonts w:hint="eastAsia" w:ascii="仿宋_GB2312" w:hAnsi="仿宋" w:eastAsia="仿宋_GB2312" w:cs="仿宋"/>
          <w:b/>
          <w:kern w:val="0"/>
          <w:sz w:val="30"/>
          <w:szCs w:val="30"/>
          <w:lang w:bidi="ar"/>
        </w:rPr>
        <w:t>2.操作竞赛</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选手进入候考区→待考→检录→抽题、抽角色分工→备考→进入赛场→试题交给监考员→向评委报告题号→开始操作→操作结束→评委提问→宣布“考试时间到”→选手退出操作区→评委打分→监考员监督，记分员计分→引导员归还试题→选手离场→进入指定休息室→比赛结束统一离场。</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小组所有选手操作结束，统分、记分员、监督员、评委、评委组长签字→交给统分负责人员。</w:t>
      </w:r>
    </w:p>
    <w:p>
      <w:pPr>
        <w:pStyle w:val="32"/>
        <w:keepNext w:val="0"/>
        <w:keepLines w:val="0"/>
        <w:pageBreakBefore w:val="0"/>
        <w:widowControl w:val="0"/>
        <w:kinsoku/>
        <w:wordWrap/>
        <w:overflowPunct/>
        <w:topLinePunct w:val="0"/>
        <w:bidi w:val="0"/>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七、竞赛规则</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（一）参赛选手报名 </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kern w:val="0"/>
          <w:sz w:val="30"/>
          <w:szCs w:val="30"/>
          <w:lang w:bidi="ar"/>
        </w:rPr>
        <w:t xml:space="preserve">1.省内各高等职业院校按照大赛执委会确定的报名时间和名额，通过河南省职业院校技能大赛网络报名系统组织完成本校的参赛报名工作。 </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kern w:val="0"/>
          <w:sz w:val="30"/>
          <w:szCs w:val="30"/>
          <w:lang w:bidi="ar"/>
        </w:rPr>
        <w:t xml:space="preserve">2.各高等职业院校参赛师生资格审查工作由河南省教育厅行政部门负责。大赛执委会办公室行使对参赛人员资格进行抽查的权利。 </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（二）召开赛前说明会</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sz w:val="30"/>
          <w:szCs w:val="30"/>
        </w:rPr>
      </w:pPr>
      <w:r>
        <w:rPr>
          <w:rFonts w:ascii="仿宋_GB2312" w:hAnsi="仿宋" w:eastAsia="仿宋_GB2312" w:cs="仿宋"/>
          <w:kern w:val="0"/>
          <w:sz w:val="30"/>
          <w:szCs w:val="30"/>
          <w:lang w:bidi="ar"/>
        </w:rPr>
        <w:t>2023</w:t>
      </w:r>
      <w:r>
        <w:rPr>
          <w:rFonts w:hint="eastAsia" w:ascii="仿宋_GB2312" w:hAnsi="仿宋" w:eastAsia="仿宋_GB2312" w:cs="仿宋"/>
          <w:kern w:val="0"/>
          <w:sz w:val="30"/>
          <w:szCs w:val="30"/>
          <w:lang w:bidi="ar"/>
        </w:rPr>
        <w:t>年1</w:t>
      </w:r>
      <w:r>
        <w:rPr>
          <w:rFonts w:ascii="仿宋_GB2312" w:hAnsi="仿宋" w:eastAsia="仿宋_GB2312" w:cs="仿宋"/>
          <w:kern w:val="0"/>
          <w:sz w:val="30"/>
          <w:szCs w:val="30"/>
          <w:lang w:bidi="ar"/>
        </w:rPr>
        <w:t>2</w:t>
      </w:r>
      <w:r>
        <w:rPr>
          <w:rFonts w:hint="eastAsia" w:ascii="仿宋_GB2312" w:hAnsi="仿宋" w:eastAsia="仿宋_GB2312" w:cs="仿宋"/>
          <w:kern w:val="0"/>
          <w:sz w:val="30"/>
          <w:szCs w:val="30"/>
          <w:lang w:bidi="ar"/>
        </w:rPr>
        <w:t>月1日下午，召开赛前说明会，宣布竞赛纪律和有关事宜。</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（三）正式比赛赛场规则 </w:t>
      </w:r>
    </w:p>
    <w:p>
      <w:pPr>
        <w:pStyle w:val="6"/>
        <w:keepNext w:val="0"/>
        <w:keepLines w:val="0"/>
        <w:pageBreakBefore w:val="0"/>
        <w:kinsoku/>
        <w:wordWrap/>
        <w:overflowPunct/>
        <w:topLinePunct w:val="0"/>
        <w:bidi w:val="0"/>
        <w:adjustRightInd w:val="0"/>
        <w:snapToGrid w:val="0"/>
        <w:spacing w:line="560" w:lineRule="exact"/>
        <w:ind w:firstLine="600" w:firstLineChars="200"/>
        <w:textAlignment w:val="auto"/>
        <w:rPr>
          <w:rFonts w:ascii="仿宋_GB2312" w:hAnsi="仿宋" w:eastAsia="仿宋_GB2312" w:cs="仿宋"/>
          <w:sz w:val="30"/>
          <w:szCs w:val="30"/>
          <w:lang w:bidi="ar"/>
        </w:rPr>
      </w:pPr>
      <w:r>
        <w:rPr>
          <w:rFonts w:hint="eastAsia" w:ascii="仿宋_GB2312" w:hAnsi="仿宋" w:eastAsia="仿宋_GB2312" w:cs="仿宋"/>
          <w:sz w:val="30"/>
          <w:szCs w:val="30"/>
          <w:lang w:bidi="ar"/>
        </w:rPr>
        <w:t>1.参赛院校有2个代表队的，默认序号为1的队伍在A组，序号为2的队伍在B组。参赛队校领队抽取出场顺序，并对抽签结果签字确认。参赛院校只有一个代表队的，参赛队校领队抽取参赛分组和出场顺序，并对抽签结果签字确认。</w:t>
      </w:r>
    </w:p>
    <w:p>
      <w:pPr>
        <w:keepNext w:val="0"/>
        <w:keepLines w:val="0"/>
        <w:pageBreakBefore w:val="0"/>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2.参赛选手在比赛前30分钟到赛项指定地点接受检录，逾时15分钟未到视为自动放弃。参赛选手凭身份证和赛项执委会统一签发的参赛证在引导员指引下提前进入指定的地点进行赛前准备。</w:t>
      </w:r>
    </w:p>
    <w:p>
      <w:pPr>
        <w:keepNext w:val="0"/>
        <w:keepLines w:val="0"/>
        <w:pageBreakBefore w:val="0"/>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3.参赛选手应认真阅读竞赛须知，自觉遵守竞赛规则和赛场纪律，不得携带任何通讯设备、袋包、纸质材料等物品进入候考区域和竞赛场地。比赛期间不得以任何方式公开参赛队及个人信息，违规者取消本次竞赛资格。</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kern w:val="0"/>
          <w:sz w:val="30"/>
          <w:szCs w:val="30"/>
          <w:lang w:bidi="ar"/>
        </w:rPr>
        <w:t xml:space="preserve">4.参赛选手比赛期间必须严格遵守安全操作规程，确保人身安全。 </w:t>
      </w:r>
    </w:p>
    <w:p>
      <w:pPr>
        <w:keepNext w:val="0"/>
        <w:keepLines w:val="0"/>
        <w:pageBreakBefore w:val="0"/>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5.评委佩戴评委证，通讯工具统一管理，严格按照评分标准客观公正进行独立评分。</w:t>
      </w:r>
    </w:p>
    <w:p>
      <w:pPr>
        <w:keepNext w:val="0"/>
        <w:keepLines w:val="0"/>
        <w:pageBreakBefore w:val="0"/>
        <w:widowControl/>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 xml:space="preserve">6.赛场各类工作人员必须统一佩戴由赛项执委会印制的相应证件，着装整齐，进入工作岗位，遵守赛事规定，认真做好所负责的工作。 </w:t>
      </w:r>
    </w:p>
    <w:p>
      <w:pPr>
        <w:keepNext w:val="0"/>
        <w:keepLines w:val="0"/>
        <w:pageBreakBefore w:val="0"/>
        <w:widowControl/>
        <w:kinsoku/>
        <w:wordWrap/>
        <w:overflowPunct/>
        <w:topLinePunct w:val="0"/>
        <w:bidi w:val="0"/>
        <w:adjustRightInd w:val="0"/>
        <w:snapToGrid w:val="0"/>
        <w:spacing w:line="560" w:lineRule="exact"/>
        <w:ind w:firstLine="600" w:firstLineChars="200"/>
        <w:jc w:val="left"/>
        <w:textAlignment w:val="auto"/>
        <w:rPr>
          <w:rFonts w:ascii="仿宋_GB2312" w:hAnsi="Calibri" w:eastAsia="仿宋_GB2312" w:cs="Times New Roman"/>
          <w:sz w:val="30"/>
          <w:szCs w:val="30"/>
        </w:rPr>
      </w:pPr>
      <w:r>
        <w:rPr>
          <w:rFonts w:hint="eastAsia" w:ascii="仿宋_GB2312" w:hAnsi="仿宋" w:eastAsia="仿宋_GB2312" w:cs="仿宋"/>
          <w:kern w:val="0"/>
          <w:sz w:val="30"/>
          <w:szCs w:val="30"/>
          <w:lang w:bidi="ar"/>
        </w:rPr>
        <w:t>7.各赛场除大赛组委会成员、赛项执委会成员、现场裁判、赛场配备的工作人员外，其他人员未经赛项执委会允许不得进入赛场。新闻媒体等进入赛场必须经过赛项执委会允许，并且听从现场工作人员的安排和指挥，不得影响竞赛正常进行。</w:t>
      </w:r>
    </w:p>
    <w:p>
      <w:pPr>
        <w:keepNext w:val="0"/>
        <w:keepLines w:val="0"/>
        <w:pageBreakBefore w:val="0"/>
        <w:widowControl/>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kern w:val="0"/>
          <w:sz w:val="30"/>
          <w:szCs w:val="30"/>
          <w:lang w:bidi="ar"/>
        </w:rPr>
        <w:t xml:space="preserve">8.参赛选手竞赛开始、终止时间由计时裁判记录在案；比赛结束前2分钟给予不干扰提醒。比赛时间到，参赛选手停止比赛，按照要求有序地离开竞赛区域。参赛选手提前结束竞赛并示意后，不得再进行任何操作。 </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 xml:space="preserve">9.裁判组和裁判员要严格按照竞赛规范和流程有序开展竞赛，客观公正准确评分，保证竞赛顺利按时完成。各裁判组长负责本赛评判工作和进程。裁判长负责竞赛总体评判工作和进程，做好巡视工作，严格把握评判质量和规范。 </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（四）成绩评定与结果公布 </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 xml:space="preserve">1.在赛项执委会领导下，裁判组负责各赛道的成绩评定，总裁判长负责赛项成绩的审核确认和公布。 </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 xml:space="preserve">2.理论考试结束1小时后公布考试成绩，技能竞赛成绩现场公布。 </w:t>
      </w:r>
    </w:p>
    <w:p>
      <w:pPr>
        <w:keepNext w:val="0"/>
        <w:keepLines w:val="0"/>
        <w:pageBreakBefore w:val="0"/>
        <w:kinsoku/>
        <w:wordWrap/>
        <w:overflowPunct/>
        <w:topLinePunct w:val="0"/>
        <w:bidi w:val="0"/>
        <w:spacing w:line="560" w:lineRule="exact"/>
        <w:ind w:firstLine="600" w:firstLineChars="200"/>
        <w:textAlignment w:val="auto"/>
        <w:rPr>
          <w:rFonts w:ascii="黑体" w:hAnsi="黑体" w:eastAsia="黑体" w:cs="黑体"/>
          <w:b w:val="0"/>
          <w:color w:val="000000"/>
          <w:kern w:val="2"/>
          <w:sz w:val="30"/>
          <w:szCs w:val="30"/>
        </w:rPr>
      </w:pPr>
      <w:r>
        <w:rPr>
          <w:rFonts w:hint="eastAsia" w:ascii="仿宋_GB2312" w:hAnsi="仿宋" w:eastAsia="仿宋_GB2312" w:cs="仿宋"/>
          <w:kern w:val="0"/>
          <w:sz w:val="30"/>
          <w:szCs w:val="30"/>
          <w:lang w:bidi="ar"/>
        </w:rPr>
        <w:t>3.闭幕式上宣布竞赛结果、获奖单位和人员名单。</w:t>
      </w:r>
    </w:p>
    <w:p>
      <w:pPr>
        <w:pStyle w:val="32"/>
        <w:keepNext w:val="0"/>
        <w:keepLines w:val="0"/>
        <w:pageBreakBefore w:val="0"/>
        <w:widowControl w:val="0"/>
        <w:kinsoku/>
        <w:wordWrap/>
        <w:overflowPunct/>
        <w:topLinePunct w:val="0"/>
        <w:bidi w:val="0"/>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八、技术规范</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本赛项遵循的技术规范可参考如下：</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（一）专业教学标准要求</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赛项根据教育部颁布的《高等职业学校康复治疗技术专业教学标准（2019年）》和《职业教育专业简介（康复治疗类，2022年修订）》的素质、知识、能力和职业态度要求，符合专业核心课程《康复评定技术》《运动治疗技术》《物理因子治疗技术》《作业治疗技术》《常见疾病康复》等课程目标和教学内容的要求。</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（二）行业、职业技术标准</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《常用康复治疗技术操作规范（2012版）》（卫生部）；</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《2023年全国卫生专业技术资格考试康复医学治疗技术（士、师、中级）考试大纲》。</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（三）设备技术标准</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赛场配备康复评定与康复治疗的基本设备包括握力测定仪、捏力测定仪、通用量角器、多体位治疗床、可升降治疗床、PT凳、弹力带、沙袋、体操棒、八件套、抗阻肌力训练器、神经肌肉电刺激仪（含电极片）、经皮神经电刺激仪、中频电治疗仪（含电极若干）、超短波、红外线、作业治疗综合训练台、滚筒、插件类、手工类、日常生活活动类器具、作业类辅助器具、认知训练仪、吞咽治疗仪、言语治疗图卡等。设备均符合国家卫健委《康复医疗中心基本标准（试行）》要求。</w:t>
      </w:r>
    </w:p>
    <w:p>
      <w:pPr>
        <w:keepNext w:val="0"/>
        <w:keepLines w:val="0"/>
        <w:pageBreakBefore w:val="0"/>
        <w:kinsoku/>
        <w:wordWrap/>
        <w:overflowPunct/>
        <w:topLinePunct w:val="0"/>
        <w:bidi w:val="0"/>
        <w:spacing w:line="560" w:lineRule="exact"/>
        <w:ind w:firstLine="600" w:firstLineChars="200"/>
        <w:textAlignment w:val="auto"/>
        <w:rPr>
          <w:rFonts w:ascii="黑体" w:hAnsi="黑体" w:eastAsia="黑体" w:cs="黑体"/>
          <w:sz w:val="30"/>
          <w:szCs w:val="30"/>
        </w:rPr>
      </w:pPr>
      <w:r>
        <w:rPr>
          <w:rFonts w:hint="eastAsia" w:ascii="黑体" w:hAnsi="黑体" w:eastAsia="黑体" w:cs="黑体"/>
          <w:bCs/>
          <w:sz w:val="30"/>
          <w:szCs w:val="30"/>
        </w:rPr>
        <w:t>九、技术环境</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（一）竞赛环境</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竞赛场地通风、宽敞明亮，配备双线路供电系统和漏电保护装置，配备实况监控视频转播系统。在规定赛场内，设置：</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1.理论考试竞赛区：标准计算机机考考场。</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2.技能操作竞赛区：分候赛区、备赛区、技能竞赛区、观摩区和休息区，每区面积60-</w:t>
      </w:r>
      <w:r>
        <w:rPr>
          <w:rFonts w:ascii="仿宋_GB2312" w:hAnsi="仿宋" w:eastAsia="仿宋_GB2312" w:cs="仿宋"/>
          <w:kern w:val="0"/>
          <w:sz w:val="30"/>
          <w:szCs w:val="30"/>
          <w:lang w:bidi="ar"/>
        </w:rPr>
        <w:t>15</w:t>
      </w:r>
      <w:r>
        <w:rPr>
          <w:rFonts w:hint="eastAsia" w:ascii="仿宋_GB2312" w:hAnsi="仿宋" w:eastAsia="仿宋_GB2312" w:cs="仿宋"/>
          <w:kern w:val="0"/>
          <w:sz w:val="30"/>
          <w:szCs w:val="30"/>
          <w:lang w:bidi="ar"/>
        </w:rPr>
        <w:t>0平方米。</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（二）技术平台</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赛项的器材、物品由承办院校具体负责，比赛摄像及同步直播平台和网络平台也由承办院校提供。标准化病人（Standard Patient，SP）由专家组抽取，培训后上岗。</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本赛项使用标准化病人（Standard Patient，SP）配合案例展现。按照案例病种数和赛道数进行配比。SP的条件：具备良好的表演能力、理解能力、记忆力、沟通能力，同时有良好的体力和耐力，有足够时间参加培训及比赛。针对这一比赛，SP赛前接受统一标准化培训，掌握相关疾病的主要症状、功能障碍和特点，心理和社会问题的相关特征，能表现出案例要求的相应身体、情绪感受和体验，按照竞赛脚本要求配合完成选手的技术操作任务；要保证在同一案例中表演和配合一致性，为每一名选手提供公平一致的配合。SP培训前要签署保密责任书，服从大赛安排。</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（三）比赛器材和物品</w:t>
      </w:r>
    </w:p>
    <w:p>
      <w:pPr>
        <w:keepNext w:val="0"/>
        <w:keepLines w:val="0"/>
        <w:pageBreakBefore w:val="0"/>
        <w:widowControl/>
        <w:kinsoku/>
        <w:wordWrap/>
        <w:overflowPunct/>
        <w:topLinePunct w:val="0"/>
        <w:bidi w:val="0"/>
        <w:spacing w:line="560" w:lineRule="exact"/>
        <w:ind w:firstLine="600"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kern w:val="0"/>
          <w:sz w:val="30"/>
          <w:szCs w:val="30"/>
          <w:lang w:bidi="ar"/>
        </w:rPr>
        <w:t>赛场配备康复评定与康复治疗的基本设备。</w:t>
      </w:r>
    </w:p>
    <w:p>
      <w:pPr>
        <w:keepNext w:val="0"/>
        <w:keepLines w:val="0"/>
        <w:pageBreakBefore w:val="0"/>
        <w:widowControl/>
        <w:kinsoku/>
        <w:wordWrap/>
        <w:overflowPunct/>
        <w:topLinePunct w:val="0"/>
        <w:bidi w:val="0"/>
        <w:spacing w:line="560" w:lineRule="exact"/>
        <w:ind w:firstLine="602"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b/>
          <w:kern w:val="0"/>
          <w:sz w:val="30"/>
          <w:szCs w:val="30"/>
          <w:lang w:bidi="ar"/>
        </w:rPr>
        <w:t>1.康复评定</w:t>
      </w:r>
      <w:r>
        <w:rPr>
          <w:rFonts w:hint="eastAsia" w:ascii="仿宋_GB2312" w:hAnsi="仿宋" w:eastAsia="仿宋_GB2312" w:cs="仿宋"/>
          <w:kern w:val="0"/>
          <w:sz w:val="30"/>
          <w:szCs w:val="30"/>
          <w:lang w:bidi="ar"/>
        </w:rPr>
        <w:t xml:space="preserve">  采用“标准化病人”进行操作。配备肌力、肌张力、关节活动度、平衡功能、认知、语言、吞咽和日常活动能力等评定量表和握力测定仪、捏力测定仪、通用量角器等相关器材。</w:t>
      </w:r>
    </w:p>
    <w:p>
      <w:pPr>
        <w:keepNext w:val="0"/>
        <w:keepLines w:val="0"/>
        <w:pageBreakBefore w:val="0"/>
        <w:widowControl/>
        <w:kinsoku/>
        <w:wordWrap/>
        <w:overflowPunct/>
        <w:topLinePunct w:val="0"/>
        <w:bidi w:val="0"/>
        <w:spacing w:line="560" w:lineRule="exact"/>
        <w:ind w:firstLine="602"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b/>
          <w:kern w:val="0"/>
          <w:sz w:val="30"/>
          <w:szCs w:val="30"/>
          <w:lang w:bidi="ar"/>
        </w:rPr>
        <w:t>2.运动治疗</w:t>
      </w:r>
      <w:r>
        <w:rPr>
          <w:rFonts w:hint="eastAsia" w:ascii="仿宋_GB2312" w:hAnsi="仿宋" w:eastAsia="仿宋_GB2312" w:cs="仿宋"/>
          <w:kern w:val="0"/>
          <w:sz w:val="30"/>
          <w:szCs w:val="30"/>
          <w:lang w:bidi="ar"/>
        </w:rPr>
        <w:t xml:space="preserve">  采用“标准化病人”进行操作。提供多体位治疗床、可升降治疗床、PT凳、弹力带、沙袋、体操棒、八件套、抗阻肌力训练器等相关器材。</w:t>
      </w:r>
    </w:p>
    <w:p>
      <w:pPr>
        <w:keepNext w:val="0"/>
        <w:keepLines w:val="0"/>
        <w:pageBreakBefore w:val="0"/>
        <w:widowControl/>
        <w:kinsoku/>
        <w:wordWrap/>
        <w:overflowPunct/>
        <w:topLinePunct w:val="0"/>
        <w:bidi w:val="0"/>
        <w:spacing w:line="560" w:lineRule="exact"/>
        <w:ind w:firstLine="602" w:firstLineChars="200"/>
        <w:jc w:val="left"/>
        <w:textAlignment w:val="auto"/>
        <w:rPr>
          <w:rFonts w:ascii="仿宋_GB2312" w:hAnsi="仿宋" w:eastAsia="仿宋_GB2312" w:cs="仿宋"/>
          <w:kern w:val="0"/>
          <w:sz w:val="30"/>
          <w:szCs w:val="30"/>
          <w:lang w:bidi="ar"/>
        </w:rPr>
      </w:pPr>
      <w:r>
        <w:rPr>
          <w:rFonts w:hint="eastAsia" w:ascii="仿宋_GB2312" w:hAnsi="仿宋" w:eastAsia="仿宋_GB2312" w:cs="仿宋"/>
          <w:b/>
          <w:kern w:val="0"/>
          <w:sz w:val="30"/>
          <w:szCs w:val="30"/>
          <w:lang w:bidi="ar"/>
        </w:rPr>
        <w:t>3.物理因子治疗</w:t>
      </w:r>
      <w:r>
        <w:rPr>
          <w:rFonts w:hint="eastAsia" w:ascii="仿宋_GB2312" w:hAnsi="仿宋" w:eastAsia="仿宋_GB2312" w:cs="仿宋"/>
          <w:kern w:val="0"/>
          <w:sz w:val="30"/>
          <w:szCs w:val="30"/>
          <w:lang w:bidi="ar"/>
        </w:rPr>
        <w:t xml:space="preserve">  采用“标准化病人”进行操作。提供神经肌肉电刺激仪（含电极片）、经皮神经电刺激仪、中频电治疗仪（含电极若干）、超短波、红外线等仪器。</w:t>
      </w:r>
    </w:p>
    <w:p>
      <w:pPr>
        <w:keepNext w:val="0"/>
        <w:keepLines w:val="0"/>
        <w:pageBreakBefore w:val="0"/>
        <w:widowControl/>
        <w:kinsoku/>
        <w:wordWrap/>
        <w:overflowPunct/>
        <w:topLinePunct w:val="0"/>
        <w:bidi w:val="0"/>
        <w:spacing w:line="560" w:lineRule="exact"/>
        <w:ind w:firstLine="602" w:firstLineChars="200"/>
        <w:jc w:val="left"/>
        <w:textAlignment w:val="auto"/>
        <w:rPr>
          <w:rFonts w:ascii="仿宋_GB2312" w:hAnsi="仿宋" w:eastAsia="仿宋_GB2312" w:cs="仿宋"/>
          <w:b/>
          <w:kern w:val="0"/>
          <w:sz w:val="30"/>
          <w:szCs w:val="30"/>
          <w:lang w:bidi="ar"/>
        </w:rPr>
      </w:pPr>
      <w:r>
        <w:rPr>
          <w:rFonts w:hint="eastAsia" w:ascii="仿宋_GB2312" w:hAnsi="仿宋" w:eastAsia="仿宋_GB2312" w:cs="仿宋"/>
          <w:b/>
          <w:kern w:val="0"/>
          <w:sz w:val="30"/>
          <w:szCs w:val="30"/>
          <w:lang w:bidi="ar"/>
        </w:rPr>
        <w:t xml:space="preserve">4.作业治疗  </w:t>
      </w:r>
      <w:r>
        <w:rPr>
          <w:rFonts w:hint="eastAsia" w:ascii="仿宋_GB2312" w:hAnsi="仿宋" w:eastAsia="仿宋_GB2312" w:cs="仿宋"/>
          <w:kern w:val="0"/>
          <w:sz w:val="30"/>
          <w:szCs w:val="30"/>
          <w:lang w:bidi="ar"/>
        </w:rPr>
        <w:t>采用“标准化病人”进行操作。提供作业治疗综合训练台、滚筒、插件类、手工类、日常生活活动类器具、作业类辅助器具、认知训练仪等设备。</w:t>
      </w:r>
    </w:p>
    <w:p>
      <w:pPr>
        <w:keepNext w:val="0"/>
        <w:keepLines w:val="0"/>
        <w:pageBreakBefore w:val="0"/>
        <w:widowControl/>
        <w:kinsoku/>
        <w:wordWrap/>
        <w:overflowPunct/>
        <w:topLinePunct w:val="0"/>
        <w:bidi w:val="0"/>
        <w:spacing w:line="560" w:lineRule="exact"/>
        <w:ind w:firstLine="602" w:firstLineChars="200"/>
        <w:jc w:val="left"/>
        <w:textAlignment w:val="auto"/>
        <w:rPr>
          <w:rFonts w:ascii="仿宋_GB2312" w:hAnsi="仿宋" w:eastAsia="仿宋_GB2312" w:cs="仿宋"/>
          <w:b/>
          <w:kern w:val="0"/>
          <w:sz w:val="30"/>
          <w:szCs w:val="30"/>
          <w:lang w:bidi="ar"/>
        </w:rPr>
      </w:pPr>
      <w:r>
        <w:rPr>
          <w:rFonts w:hint="eastAsia" w:ascii="仿宋_GB2312" w:hAnsi="仿宋" w:eastAsia="仿宋_GB2312" w:cs="仿宋"/>
          <w:b/>
          <w:kern w:val="0"/>
          <w:sz w:val="30"/>
          <w:szCs w:val="30"/>
          <w:lang w:bidi="ar"/>
        </w:rPr>
        <w:t xml:space="preserve">5.言语吞咽治疗  </w:t>
      </w:r>
      <w:r>
        <w:rPr>
          <w:rFonts w:hint="eastAsia" w:ascii="仿宋_GB2312" w:hAnsi="仿宋" w:eastAsia="仿宋_GB2312" w:cs="仿宋"/>
          <w:kern w:val="0"/>
          <w:sz w:val="30"/>
          <w:szCs w:val="30"/>
          <w:lang w:bidi="ar"/>
        </w:rPr>
        <w:t>采用“标准化病人”进行操作。提供冰棉签、吞咽治疗仪、言语治疗图卡等。</w:t>
      </w:r>
    </w:p>
    <w:p>
      <w:pPr>
        <w:keepNext w:val="0"/>
        <w:keepLines w:val="0"/>
        <w:pageBreakBefore w:val="0"/>
        <w:kinsoku/>
        <w:wordWrap/>
        <w:overflowPunct/>
        <w:topLinePunct w:val="0"/>
        <w:bidi w:val="0"/>
        <w:spacing w:line="560" w:lineRule="exact"/>
        <w:ind w:firstLine="600" w:firstLineChars="200"/>
        <w:textAlignment w:val="auto"/>
        <w:rPr>
          <w:rFonts w:ascii="黑体" w:hAnsi="黑体" w:eastAsia="黑体" w:cs="黑体"/>
          <w:bCs/>
          <w:sz w:val="30"/>
          <w:szCs w:val="30"/>
        </w:rPr>
      </w:pPr>
      <w:r>
        <w:rPr>
          <w:rFonts w:hint="eastAsia" w:ascii="黑体" w:hAnsi="黑体" w:eastAsia="黑体" w:cs="黑体"/>
          <w:bCs/>
          <w:sz w:val="30"/>
          <w:szCs w:val="30"/>
        </w:rPr>
        <w:t>十、竞赛样题</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根据大赛赛题管理办法规定，建立理论考试题库和技能操作案例题库,由大赛组委会参考《全国卫生专业技术资格考试康复医学治疗技术(士、师、中级)考试大纲》组织出题，题库中70%在大赛网络信息平台公开，30%保密封存。赛前一日，由裁判长指定一名裁判在监督组的监督下随机组10套试卷。赛前10分钟，由理论知识竞赛1号座位选手从1～10号套题中抽取考试试题套号。选手在规定时间内完成答题，理论考试结束2小时内公布成绩。</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样题如下：</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【理论知识竞赛样题】</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单选题（以下每一道考题下面有A、B、C、D、E五个备选答案。请从中选择一个最佳答案）</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1.脑卒中偏瘫患者下肢出现伸肌的协同运动，最不可能出现的是（   ）</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 xml:space="preserve">A.髋关节伸展       B.膝关节屈曲        C.踝关节内翻   </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D.踝关节跖屈       E.趾背屈</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【技能操作案例样题】</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案例描述：</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某男性患者，48岁，出租车司机。因颈肩部疼痛伴右上肢放射性痛1周入院。患者1周前开始出现颈肩部疼痛，之后有反复发作，1周前出现症状加重，伴右上肢放射性痛，同时伴有右上肢麻木，活动时疼痛加重，卧床休息后稍有缓解。无潮热、盗汗，无心慌、胸闷，无恶心、呕吐等不适。</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查体：神志清楚，发育正常，营养中等，步态正常，检查合作。生理反射存在，病理反射未引出。颈4～7棘突及右侧压痛，右臂丛牵拉试验(+)，Hoffmann征（-）。双侧上肢肌力、肌张力、腱反射均未见明显异常。X线示：C</w:t>
      </w:r>
      <w:r>
        <w:rPr>
          <w:rFonts w:hint="eastAsia" w:ascii="仿宋_GB2312" w:hAnsi="仿宋" w:eastAsia="仿宋_GB2312" w:cs="仿宋"/>
          <w:sz w:val="30"/>
          <w:szCs w:val="30"/>
          <w:vertAlign w:val="subscript"/>
        </w:rPr>
        <w:t>4</w:t>
      </w:r>
      <w:r>
        <w:rPr>
          <w:rFonts w:hint="eastAsia" w:ascii="仿宋_GB2312" w:hAnsi="仿宋" w:eastAsia="仿宋_GB2312" w:cs="仿宋"/>
          <w:sz w:val="30"/>
          <w:szCs w:val="30"/>
        </w:rPr>
        <w:t>～C</w:t>
      </w:r>
      <w:r>
        <w:rPr>
          <w:rFonts w:hint="eastAsia" w:ascii="仿宋_GB2312" w:hAnsi="仿宋" w:eastAsia="仿宋_GB2312" w:cs="仿宋"/>
          <w:sz w:val="30"/>
          <w:szCs w:val="30"/>
          <w:vertAlign w:val="subscript"/>
        </w:rPr>
        <w:t>7</w:t>
      </w:r>
      <w:r>
        <w:rPr>
          <w:rFonts w:hint="eastAsia" w:ascii="仿宋_GB2312" w:hAnsi="仿宋" w:eastAsia="仿宋_GB2312" w:cs="仿宋"/>
          <w:sz w:val="30"/>
          <w:szCs w:val="30"/>
        </w:rPr>
        <w:t>轻度骨质增生，生理弯曲变直。</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参赛选手任务：（1、2、3题为操作演示题，4为口述题）</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1.请从康复治疗师的角度对这个患者进行问诊并总结问诊结果。</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2.针对本病例，请陈述康复评定的内容应包括哪些？并演示2个典型的评定方法。</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3.请为此患者设计一套康复治疗方案，并演示一种手法处理方法和一套治疗性运动。</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4.请陈述什么原因引致患者的这些症状和体征？患者有哪些功能受限？治疗的短期目标、长期目标、康复计划以及预后分别如何？</w:t>
      </w:r>
    </w:p>
    <w:p>
      <w:pPr>
        <w:keepNext w:val="0"/>
        <w:keepLines w:val="0"/>
        <w:pageBreakBefore w:val="0"/>
        <w:kinsoku/>
        <w:wordWrap/>
        <w:overflowPunct/>
        <w:topLinePunct w:val="0"/>
        <w:bidi w:val="0"/>
        <w:snapToGrid w:val="0"/>
        <w:spacing w:line="560" w:lineRule="exact"/>
        <w:ind w:firstLine="600" w:firstLineChars="200"/>
        <w:textAlignment w:val="auto"/>
        <w:rPr>
          <w:rFonts w:ascii="黑体" w:hAnsi="黑体" w:eastAsia="黑体" w:cs="黑体"/>
          <w:sz w:val="30"/>
          <w:szCs w:val="30"/>
        </w:rPr>
      </w:pPr>
      <w:r>
        <w:rPr>
          <w:rFonts w:hint="eastAsia" w:ascii="黑体" w:hAnsi="黑体" w:eastAsia="黑体" w:cs="黑体"/>
          <w:sz w:val="30"/>
          <w:szCs w:val="30"/>
        </w:rPr>
        <w:t>十一、赛项安全</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（一）赛项安全管理</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竞赛所涉器材、设备均符合国家有关安全规定。赛项执委会将在赛前对本赛项全体裁判员、工作人员进行安全培训，并制定专门方案保证比赛命题、赛题保管、发放、回收和评判过程的安全。</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（二）比赛环境安全管理</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1.赛项执委会须在赛前组织专人对比赛现场、住宿场所和交通保障进行考察，并对安全工作提出明确要求。承办院校赛前、赛中、赛后按照赛项执委会要求进行安全巡查，排除安全隐患。</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2.赛场周围要设立警戒线，防止无关人员进入，避免发生意外事件。比赛现场内应参照相关职业岗位的要求为选手提供必要的劳动保护。</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3.竞赛期间，参赛选手应严格按照赛场指示的线路进行作业，并服从竞赛裁判员及工作人员的指挥。</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4.参赛选手、赛项裁判、工作人员严禁携带通讯、摄录设备和未经许可的记录用具进入比赛区域；如确有需要，由赛项承办单位统一配置，统一管理。赛项可根据需要配置安检设备，对进入赛场重要区域的人员进行安检，可在赛场相关区域安放无线屏蔽设备。</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（三）医疗服务保障</w:t>
      </w:r>
    </w:p>
    <w:p>
      <w:pPr>
        <w:keepNext w:val="0"/>
        <w:keepLines w:val="0"/>
        <w:pageBreakBefore w:val="0"/>
        <w:kinsoku/>
        <w:wordWrap/>
        <w:overflowPunct/>
        <w:topLinePunct w:val="0"/>
        <w:bidi w:val="0"/>
        <w:snapToGrid w:val="0"/>
        <w:spacing w:line="560" w:lineRule="exact"/>
        <w:ind w:firstLine="600" w:firstLineChars="200"/>
        <w:textAlignment w:val="auto"/>
        <w:rPr>
          <w:rFonts w:ascii="楷体" w:hAnsi="楷体" w:eastAsia="楷体" w:cs="楷体"/>
          <w:bCs/>
          <w:sz w:val="30"/>
          <w:szCs w:val="30"/>
        </w:rPr>
      </w:pPr>
      <w:r>
        <w:rPr>
          <w:rFonts w:hint="eastAsia" w:ascii="仿宋_GB2312" w:hAnsi="仿宋" w:eastAsia="仿宋_GB2312" w:cs="仿宋"/>
          <w:sz w:val="30"/>
          <w:szCs w:val="30"/>
        </w:rPr>
        <w:t>承办校在赛场设置医疗工作站，备齐急救物品和相应药品。配备医生、护士等医疗救护专业人员，能够对选手、裁判、专家及工作人员等突发的紧急健康问题开展有效救护工作。</w:t>
      </w:r>
    </w:p>
    <w:p>
      <w:pPr>
        <w:keepNext w:val="0"/>
        <w:keepLines w:val="0"/>
        <w:pageBreakBefore w:val="0"/>
        <w:kinsoku/>
        <w:wordWrap/>
        <w:overflowPunct/>
        <w:topLinePunct w:val="0"/>
        <w:bidi w:val="0"/>
        <w:snapToGrid w:val="0"/>
        <w:spacing w:line="560" w:lineRule="exact"/>
        <w:ind w:firstLine="600" w:firstLineChars="200"/>
        <w:textAlignment w:val="auto"/>
        <w:rPr>
          <w:rFonts w:ascii="黑体" w:hAnsi="黑体" w:eastAsia="黑体" w:cs="黑体"/>
          <w:sz w:val="30"/>
          <w:szCs w:val="30"/>
        </w:rPr>
      </w:pPr>
      <w:r>
        <w:rPr>
          <w:rFonts w:hint="eastAsia" w:ascii="黑体" w:hAnsi="黑体" w:eastAsia="黑体" w:cs="黑体"/>
          <w:sz w:val="30"/>
          <w:szCs w:val="30"/>
        </w:rPr>
        <w:t>十二、成绩评定</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（一）评分标准制定原则</w:t>
      </w:r>
    </w:p>
    <w:p>
      <w:pPr>
        <w:keepNext w:val="0"/>
        <w:keepLines w:val="0"/>
        <w:pageBreakBefore w:val="0"/>
        <w:kinsoku/>
        <w:wordWrap/>
        <w:overflowPunct/>
        <w:topLinePunct w:val="0"/>
        <w:bidi w:val="0"/>
        <w:adjustRightInd w:val="0"/>
        <w:snapToGrid w:val="0"/>
        <w:spacing w:line="560" w:lineRule="exact"/>
        <w:ind w:right="210" w:rightChars="100" w:firstLine="600" w:firstLineChars="200"/>
        <w:jc w:val="left"/>
        <w:textAlignment w:val="auto"/>
        <w:rPr>
          <w:rFonts w:ascii="仿宋_GB2312" w:hAnsi="仿宋" w:eastAsia="仿宋_GB2312" w:cs="仿宋"/>
          <w:bCs/>
          <w:sz w:val="30"/>
          <w:szCs w:val="30"/>
        </w:rPr>
      </w:pPr>
      <w:r>
        <w:rPr>
          <w:rFonts w:hint="eastAsia" w:ascii="仿宋_GB2312" w:hAnsi="仿宋" w:eastAsia="仿宋_GB2312" w:cs="仿宋"/>
          <w:bCs/>
          <w:sz w:val="30"/>
          <w:szCs w:val="30"/>
        </w:rPr>
        <w:t>按照《全国职业院校技能大赛成绩管理办法》的相关要求，评分标准由河南省职业院校技能大赛执委会专家组制定。评分标准包括对学生的职业素养（包括专业态度、仪表、沟通能力等）、专业知识和技术的掌握运用、操作前的准备、操作过程的规范性、准确性及熟练程度的评价，全面考量学生分析问题和解决问题的实际应用能力，以及团队协作沟通及组织与管理能力，同时兼顾团队协作精神、价值观与态度、职业道德素养进行综合评价。</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（二）评分方法</w:t>
      </w:r>
    </w:p>
    <w:p>
      <w:pPr>
        <w:keepNext w:val="0"/>
        <w:keepLines w:val="0"/>
        <w:pageBreakBefore w:val="0"/>
        <w:kinsoku/>
        <w:wordWrap/>
        <w:overflowPunct/>
        <w:topLinePunct w:val="0"/>
        <w:bidi w:val="0"/>
        <w:adjustRightInd w:val="0"/>
        <w:snapToGrid w:val="0"/>
        <w:spacing w:line="560" w:lineRule="exact"/>
        <w:ind w:right="210" w:rightChars="100" w:firstLine="602" w:firstLineChars="200"/>
        <w:jc w:val="left"/>
        <w:textAlignment w:val="auto"/>
        <w:rPr>
          <w:rFonts w:ascii="仿宋_GB2312" w:hAnsi="仿宋" w:eastAsia="仿宋_GB2312" w:cs="仿宋"/>
          <w:b/>
          <w:bCs/>
          <w:sz w:val="30"/>
          <w:szCs w:val="30"/>
        </w:rPr>
      </w:pPr>
      <w:r>
        <w:rPr>
          <w:rFonts w:hint="eastAsia" w:ascii="仿宋_GB2312" w:hAnsi="仿宋" w:eastAsia="仿宋_GB2312" w:cs="仿宋"/>
          <w:b/>
          <w:bCs/>
          <w:sz w:val="30"/>
          <w:szCs w:val="30"/>
        </w:rPr>
        <w:t>1.成绩评定</w:t>
      </w:r>
    </w:p>
    <w:p>
      <w:pPr>
        <w:keepNext w:val="0"/>
        <w:keepLines w:val="0"/>
        <w:pageBreakBefore w:val="0"/>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bCs/>
          <w:sz w:val="30"/>
          <w:szCs w:val="30"/>
        </w:rPr>
      </w:pPr>
      <w:r>
        <w:rPr>
          <w:rFonts w:hint="eastAsia" w:ascii="仿宋_GB2312" w:hAnsi="仿宋" w:eastAsia="仿宋_GB2312" w:cs="仿宋"/>
          <w:bCs/>
          <w:sz w:val="30"/>
          <w:szCs w:val="30"/>
        </w:rPr>
        <w:t>（1）团体竞赛成绩采用百分制计分：其中理论考试占15%，技能操作占85%。理论考试100分（单项选择50题，每题2分），取3名选手的平均分*15%计入团队总分（精确到小数点后两位，四舍五入）；技能操作100分（问诊20%，评定35%，治疗35%、回答问题10%），技能操作得分*85%计入团队总分（精确到小数点后两位，四舍五入）。</w:t>
      </w:r>
    </w:p>
    <w:p>
      <w:pPr>
        <w:keepNext w:val="0"/>
        <w:keepLines w:val="0"/>
        <w:pageBreakBefore w:val="0"/>
        <w:kinsoku/>
        <w:wordWrap/>
        <w:overflowPunct/>
        <w:topLinePunct w:val="0"/>
        <w:bidi w:val="0"/>
        <w:adjustRightInd w:val="0"/>
        <w:snapToGrid w:val="0"/>
        <w:spacing w:line="560" w:lineRule="exact"/>
        <w:ind w:firstLine="600" w:firstLineChars="200"/>
        <w:jc w:val="left"/>
        <w:textAlignment w:val="auto"/>
        <w:rPr>
          <w:rFonts w:ascii="仿宋_GB2312" w:hAnsi="仿宋" w:eastAsia="仿宋_GB2312" w:cs="仿宋"/>
          <w:bCs/>
          <w:sz w:val="30"/>
          <w:szCs w:val="30"/>
        </w:rPr>
      </w:pPr>
      <w:r>
        <w:rPr>
          <w:rFonts w:hint="eastAsia" w:ascii="仿宋_GB2312" w:hAnsi="仿宋" w:eastAsia="仿宋_GB2312" w:cs="仿宋"/>
          <w:bCs/>
          <w:sz w:val="30"/>
          <w:szCs w:val="30"/>
        </w:rPr>
        <w:t>（2）理论考试按照评分标准评分；技能操作每组裁判不少于5人，依据评分标准评分，取裁判给分之和的算术平均值为参赛选手技能操作得分（精确到小数点后两位，四舍五入）。</w:t>
      </w:r>
    </w:p>
    <w:p>
      <w:pPr>
        <w:keepNext w:val="0"/>
        <w:keepLines w:val="0"/>
        <w:pageBreakBefore w:val="0"/>
        <w:kinsoku/>
        <w:wordWrap/>
        <w:overflowPunct/>
        <w:topLinePunct w:val="0"/>
        <w:bidi w:val="0"/>
        <w:adjustRightInd w:val="0"/>
        <w:snapToGrid w:val="0"/>
        <w:spacing w:line="560" w:lineRule="exact"/>
        <w:ind w:right="210" w:rightChars="100" w:firstLine="602" w:firstLineChars="200"/>
        <w:jc w:val="left"/>
        <w:textAlignment w:val="auto"/>
        <w:rPr>
          <w:rFonts w:ascii="仿宋_GB2312" w:hAnsi="仿宋" w:eastAsia="仿宋_GB2312" w:cs="仿宋"/>
          <w:b/>
          <w:bCs/>
          <w:sz w:val="30"/>
          <w:szCs w:val="30"/>
        </w:rPr>
      </w:pPr>
      <w:r>
        <w:rPr>
          <w:rFonts w:hint="eastAsia" w:ascii="仿宋_GB2312" w:hAnsi="仿宋" w:eastAsia="仿宋_GB2312" w:cs="仿宋"/>
          <w:b/>
          <w:bCs/>
          <w:sz w:val="30"/>
          <w:szCs w:val="30"/>
        </w:rPr>
        <w:t>2.成绩审核及公布方法</w:t>
      </w:r>
    </w:p>
    <w:p>
      <w:pPr>
        <w:keepNext w:val="0"/>
        <w:keepLines w:val="0"/>
        <w:pageBreakBefore w:val="0"/>
        <w:kinsoku/>
        <w:wordWrap/>
        <w:overflowPunct/>
        <w:topLinePunct w:val="0"/>
        <w:bidi w:val="0"/>
        <w:adjustRightInd w:val="0"/>
        <w:snapToGrid w:val="0"/>
        <w:spacing w:line="560" w:lineRule="exact"/>
        <w:ind w:right="210" w:rightChars="100" w:firstLine="600" w:firstLineChars="200"/>
        <w:jc w:val="left"/>
        <w:textAlignment w:val="auto"/>
        <w:rPr>
          <w:rFonts w:ascii="仿宋_GB2312" w:hAnsi="仿宋" w:eastAsia="仿宋_GB2312" w:cs="仿宋"/>
          <w:bCs/>
          <w:sz w:val="30"/>
          <w:szCs w:val="30"/>
        </w:rPr>
      </w:pPr>
      <w:r>
        <w:rPr>
          <w:rFonts w:hint="eastAsia" w:ascii="仿宋_GB2312" w:hAnsi="仿宋" w:eastAsia="仿宋_GB2312" w:cs="仿宋"/>
          <w:bCs/>
          <w:sz w:val="30"/>
          <w:szCs w:val="30"/>
        </w:rPr>
        <w:t>（1）成绩审核方法：为保障成绩评判的准确性，监督组对赛项所有参赛选手的成绩进行复核。参赛选手的成绩经复核无误，由裁判长、监督人员和仲裁人员签字确认。</w:t>
      </w:r>
    </w:p>
    <w:p>
      <w:pPr>
        <w:keepNext w:val="0"/>
        <w:keepLines w:val="0"/>
        <w:pageBreakBefore w:val="0"/>
        <w:kinsoku/>
        <w:wordWrap/>
        <w:overflowPunct/>
        <w:topLinePunct w:val="0"/>
        <w:bidi w:val="0"/>
        <w:adjustRightInd w:val="0"/>
        <w:snapToGrid w:val="0"/>
        <w:spacing w:line="560" w:lineRule="exact"/>
        <w:ind w:right="210" w:rightChars="100" w:firstLine="600" w:firstLineChars="200"/>
        <w:jc w:val="left"/>
        <w:textAlignment w:val="auto"/>
        <w:rPr>
          <w:rFonts w:ascii="仿宋_GB2312" w:hAnsi="仿宋" w:eastAsia="仿宋_GB2312" w:cs="仿宋"/>
          <w:bCs/>
          <w:sz w:val="30"/>
          <w:szCs w:val="30"/>
        </w:rPr>
      </w:pPr>
      <w:r>
        <w:rPr>
          <w:rFonts w:hint="eastAsia" w:ascii="仿宋_GB2312" w:hAnsi="仿宋" w:eastAsia="仿宋_GB2312" w:cs="仿宋"/>
          <w:bCs/>
          <w:sz w:val="30"/>
          <w:szCs w:val="30"/>
        </w:rPr>
        <w:t>②成绩公布方法：理论考试成绩在考试结束1小时后公布，技能操作成绩现场公布，赛项成绩在指定地点，以纸质或电子屏形式向全体参赛队进行公布。成绩无异议后，在闭幕式上宣布竞赛结果并颁发证书。</w:t>
      </w:r>
    </w:p>
    <w:p>
      <w:pPr>
        <w:keepNext w:val="0"/>
        <w:keepLines w:val="0"/>
        <w:pageBreakBefore w:val="0"/>
        <w:kinsoku/>
        <w:wordWrap/>
        <w:overflowPunct/>
        <w:topLinePunct w:val="0"/>
        <w:bidi w:val="0"/>
        <w:adjustRightInd w:val="0"/>
        <w:snapToGrid w:val="0"/>
        <w:spacing w:line="560" w:lineRule="exact"/>
        <w:ind w:right="210" w:rightChars="100" w:firstLine="600" w:firstLineChars="200"/>
        <w:jc w:val="left"/>
        <w:textAlignment w:val="auto"/>
        <w:rPr>
          <w:rFonts w:ascii="仿宋_GB2312" w:hAnsi="仿宋" w:eastAsia="仿宋_GB2312" w:cs="仿宋"/>
          <w:b/>
          <w:kern w:val="0"/>
          <w:sz w:val="30"/>
          <w:szCs w:val="30"/>
        </w:rPr>
      </w:pPr>
      <w:r>
        <w:rPr>
          <w:rFonts w:hint="eastAsia" w:ascii="仿宋_GB2312" w:hAnsi="仿宋" w:eastAsia="仿宋_GB2312" w:cs="仿宋"/>
          <w:bCs/>
          <w:sz w:val="30"/>
          <w:szCs w:val="30"/>
        </w:rPr>
        <w:t>③参赛选手的成绩排序：依据竞赛成绩由高到低排列名次，成绩相同参赛选手名次并列，后续选手名次依次递增。</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（三）评分标准及评分细则</w:t>
      </w:r>
    </w:p>
    <w:p>
      <w:pPr>
        <w:keepNext w:val="0"/>
        <w:keepLines w:val="0"/>
        <w:pageBreakBefore w:val="0"/>
        <w:kinsoku/>
        <w:wordWrap/>
        <w:overflowPunct/>
        <w:topLinePunct w:val="0"/>
        <w:bidi w:val="0"/>
        <w:adjustRightInd w:val="0"/>
        <w:snapToGrid w:val="0"/>
        <w:spacing w:line="560" w:lineRule="exact"/>
        <w:ind w:right="210" w:rightChars="100" w:firstLine="602" w:firstLineChars="200"/>
        <w:jc w:val="left"/>
        <w:textAlignment w:val="auto"/>
        <w:rPr>
          <w:rFonts w:ascii="仿宋_GB2312" w:hAnsi="仿宋" w:eastAsia="仿宋_GB2312" w:cs="仿宋"/>
          <w:b/>
          <w:bCs/>
          <w:sz w:val="30"/>
          <w:szCs w:val="30"/>
        </w:rPr>
      </w:pPr>
      <w:r>
        <w:rPr>
          <w:rFonts w:hint="eastAsia" w:ascii="仿宋_GB2312" w:hAnsi="仿宋" w:eastAsia="仿宋_GB2312" w:cs="仿宋"/>
          <w:b/>
          <w:bCs/>
          <w:sz w:val="30"/>
          <w:szCs w:val="30"/>
        </w:rPr>
        <w:t>1.问诊（100分）</w:t>
      </w:r>
    </w:p>
    <w:p>
      <w:pPr>
        <w:keepNext w:val="0"/>
        <w:keepLines w:val="0"/>
        <w:pageBreakBefore w:val="0"/>
        <w:kinsoku/>
        <w:wordWrap/>
        <w:overflowPunct/>
        <w:topLinePunct w:val="0"/>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bCs/>
          <w:sz w:val="30"/>
          <w:szCs w:val="30"/>
        </w:rPr>
        <w:t>标准：</w:t>
      </w:r>
      <w:r>
        <w:rPr>
          <w:rFonts w:hint="eastAsia" w:ascii="仿宋_GB2312" w:hAnsi="仿宋" w:eastAsia="仿宋_GB2312" w:cs="仿宋"/>
          <w:sz w:val="30"/>
          <w:szCs w:val="30"/>
        </w:rPr>
        <w:t>学生需要表现出有良好的职业素质和很好的交流沟通技巧，对于自身所进行的操作能够很好地把握，如自身操作时所处的姿势和患者在检测时的主观感受；意识到操作时患者的体位；询问病史:询问与患者病情相关的问题（举例如下但又不局限于此：可能包括呼吸短促的主诉，吸烟史，疼痛和其它有关的症状；家庭情况，生活方式或家庭支持情况，这些都会影响疾病患者的家庭环境、生活方式或家庭支持情况；相关的活动状态；有利于制定合理治疗计划的其他相关信息）。</w:t>
      </w:r>
    </w:p>
    <w:tbl>
      <w:tblPr>
        <w:tblStyle w:val="35"/>
        <w:tblW w:w="98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8"/>
        <w:gridCol w:w="1422"/>
        <w:gridCol w:w="3673"/>
        <w:gridCol w:w="621"/>
        <w:gridCol w:w="661"/>
        <w:gridCol w:w="620"/>
        <w:gridCol w:w="661"/>
        <w:gridCol w:w="675"/>
        <w:gridCol w:w="6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trPr>
        <w:tc>
          <w:tcPr>
            <w:tcW w:w="888"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项目</w:t>
            </w:r>
          </w:p>
        </w:tc>
        <w:tc>
          <w:tcPr>
            <w:tcW w:w="1422"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工作</w:t>
            </w:r>
          </w:p>
        </w:tc>
        <w:tc>
          <w:tcPr>
            <w:tcW w:w="3673"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技术操作要求</w:t>
            </w:r>
          </w:p>
        </w:tc>
        <w:tc>
          <w:tcPr>
            <w:tcW w:w="3238" w:type="dxa"/>
            <w:gridSpan w:val="5"/>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评分标准</w:t>
            </w:r>
          </w:p>
        </w:tc>
        <w:tc>
          <w:tcPr>
            <w:tcW w:w="657"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trPr>
        <w:tc>
          <w:tcPr>
            <w:tcW w:w="888" w:type="dxa"/>
            <w:vMerge w:val="continue"/>
            <w:vAlign w:val="center"/>
          </w:tcPr>
          <w:p>
            <w:pPr>
              <w:spacing w:line="360" w:lineRule="auto"/>
              <w:jc w:val="center"/>
              <w:rPr>
                <w:rFonts w:hint="eastAsia" w:ascii="方正仿宋_GBK" w:hAnsi="方正仿宋_GBK" w:eastAsia="方正仿宋_GBK" w:cs="方正仿宋_GBK"/>
                <w:sz w:val="21"/>
                <w:szCs w:val="21"/>
              </w:rPr>
            </w:pPr>
          </w:p>
        </w:tc>
        <w:tc>
          <w:tcPr>
            <w:tcW w:w="1422" w:type="dxa"/>
            <w:vMerge w:val="continue"/>
            <w:vAlign w:val="center"/>
          </w:tcPr>
          <w:p>
            <w:pPr>
              <w:spacing w:line="360" w:lineRule="auto"/>
              <w:jc w:val="center"/>
              <w:rPr>
                <w:rFonts w:hint="eastAsia" w:ascii="方正仿宋_GBK" w:hAnsi="方正仿宋_GBK" w:eastAsia="方正仿宋_GBK" w:cs="方正仿宋_GBK"/>
                <w:sz w:val="21"/>
                <w:szCs w:val="21"/>
              </w:rPr>
            </w:pPr>
          </w:p>
        </w:tc>
        <w:tc>
          <w:tcPr>
            <w:tcW w:w="3673" w:type="dxa"/>
            <w:vMerge w:val="continue"/>
          </w:tcPr>
          <w:p>
            <w:pPr>
              <w:spacing w:line="360" w:lineRule="auto"/>
              <w:rPr>
                <w:rFonts w:hint="eastAsia" w:ascii="方正仿宋_GBK" w:hAnsi="方正仿宋_GBK" w:eastAsia="方正仿宋_GBK" w:cs="方正仿宋_GBK"/>
                <w:sz w:val="21"/>
                <w:szCs w:val="21"/>
              </w:rPr>
            </w:pPr>
          </w:p>
        </w:tc>
        <w:tc>
          <w:tcPr>
            <w:tcW w:w="621" w:type="dxa"/>
            <w:vAlign w:val="center"/>
          </w:tcPr>
          <w:p>
            <w:pPr>
              <w:spacing w:line="360" w:lineRule="auto"/>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A</w:t>
            </w:r>
          </w:p>
        </w:tc>
        <w:tc>
          <w:tcPr>
            <w:tcW w:w="661" w:type="dxa"/>
            <w:vAlign w:val="center"/>
          </w:tcPr>
          <w:p>
            <w:pPr>
              <w:spacing w:line="360" w:lineRule="auto"/>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B</w:t>
            </w:r>
          </w:p>
        </w:tc>
        <w:tc>
          <w:tcPr>
            <w:tcW w:w="620" w:type="dxa"/>
            <w:vAlign w:val="center"/>
          </w:tcPr>
          <w:p>
            <w:pPr>
              <w:spacing w:line="360" w:lineRule="auto"/>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C</w:t>
            </w:r>
          </w:p>
        </w:tc>
        <w:tc>
          <w:tcPr>
            <w:tcW w:w="661" w:type="dxa"/>
            <w:vAlign w:val="center"/>
          </w:tcPr>
          <w:p>
            <w:pPr>
              <w:spacing w:line="360" w:lineRule="auto"/>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D</w:t>
            </w:r>
          </w:p>
        </w:tc>
        <w:tc>
          <w:tcPr>
            <w:tcW w:w="675" w:type="dxa"/>
            <w:vAlign w:val="center"/>
          </w:tcPr>
          <w:p>
            <w:pPr>
              <w:spacing w:line="360" w:lineRule="auto"/>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E</w:t>
            </w:r>
          </w:p>
        </w:tc>
        <w:tc>
          <w:tcPr>
            <w:tcW w:w="657" w:type="dxa"/>
            <w:vMerge w:val="continue"/>
          </w:tcPr>
          <w:p>
            <w:pPr>
              <w:spacing w:line="360" w:lineRule="auto"/>
              <w:jc w:val="center"/>
              <w:rPr>
                <w:rFonts w:hint="eastAsia" w:ascii="方正仿宋_GBK" w:hAnsi="方正仿宋_GBK" w:eastAsia="方正仿宋_GBK" w:cs="方正仿宋_GBK"/>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888" w:type="dxa"/>
            <w:vMerge w:val="restart"/>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项目1</w:t>
            </w:r>
          </w:p>
        </w:tc>
        <w:tc>
          <w:tcPr>
            <w:tcW w:w="142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准备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1.1 治疗师准备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（1）衣着整洁，修饰得体（1分）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（2）指甲修剪符合操作要求（2分）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（3）洗净双手，消毒（2分）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7" w:type="dxa"/>
            <w:vMerge w:val="restart"/>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 环境准备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（1）环境安静整洁（1分）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（2）光线充足（1分）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（3）温湿度适宜（1分）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1.3 患者准备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患者体位放置合适（2分）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0.5</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9" w:hRule="atLeast"/>
        </w:trPr>
        <w:tc>
          <w:tcPr>
            <w:tcW w:w="888" w:type="dxa"/>
            <w:vMerge w:val="restart"/>
            <w:vAlign w:val="center"/>
          </w:tcPr>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项目2</w:t>
            </w:r>
          </w:p>
        </w:tc>
        <w:tc>
          <w:tcPr>
            <w:tcW w:w="1422" w:type="dxa"/>
            <w:vMerge w:val="restart"/>
            <w:vAlign w:val="center"/>
          </w:tcPr>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p>
          <w:p>
            <w:pPr>
              <w:spacing w:line="360" w:lineRule="auto"/>
              <w:jc w:val="center"/>
              <w:rPr>
                <w:rFonts w:hint="eastAsia" w:ascii="方正仿宋_GB2312" w:hAnsi="方正仿宋_GB2312" w:eastAsia="方正仿宋_GB2312" w:cs="方正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沟通</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 判断：</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（1）判断病患意识（1分）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（2）判断患者语言表达能力（1分）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0.5</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7" w:type="dxa"/>
            <w:vMerge w:val="restart"/>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2.2询问：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（1）是否愿意配合（1分）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（2）问诊前有无其它需要（1分）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（3）是否有无其它不适（1分）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2.3 讲解</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问诊目的和目标（3分）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2.4语言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（1）语言亲和有力（2分）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（2）语速适中，表达清晰（1分）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（3）声音大小恰当（1分）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888" w:type="dxa"/>
            <w:vMerge w:val="restart"/>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项目3</w:t>
            </w:r>
          </w:p>
        </w:tc>
        <w:tc>
          <w:tcPr>
            <w:tcW w:w="142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实施</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（60分）</w:t>
            </w: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3.1 询问病史</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（1）现病史（9分）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（2）既往史（7分）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（3）其它（8分）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24</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18</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13</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657" w:type="dxa"/>
            <w:vMerge w:val="restart"/>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3.2询问专科情况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（1）功能障碍（15分）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（2）日常生活（10分）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（3）社会生活（5分）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30</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20</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16</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9"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3.3询问居家情况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（1）家属配合（1分）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（2）自我照料（1分）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0.5</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88"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1422" w:type="dxa"/>
            <w:vMerge w:val="continue"/>
            <w:vAlign w:val="center"/>
          </w:tcPr>
          <w:p>
            <w:pPr>
              <w:spacing w:line="360" w:lineRule="auto"/>
              <w:jc w:val="center"/>
              <w:rPr>
                <w:rFonts w:hint="eastAsia" w:ascii="方正仿宋_GB2312" w:hAnsi="方正仿宋_GB2312" w:eastAsia="方正仿宋_GB2312" w:cs="方正仿宋_GB2312"/>
                <w:sz w:val="21"/>
                <w:szCs w:val="21"/>
              </w:rPr>
            </w:pP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3.4总结问诊结果（4）</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7" w:type="dxa"/>
            <w:vMerge w:val="continue"/>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888"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项目4</w:t>
            </w:r>
          </w:p>
        </w:tc>
        <w:tc>
          <w:tcPr>
            <w:tcW w:w="142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观察</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（1）病患反应（5分）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（2）病患感受（5分）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57" w:type="dxa"/>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8" w:hRule="atLeast"/>
        </w:trPr>
        <w:tc>
          <w:tcPr>
            <w:tcW w:w="2310" w:type="dxa"/>
            <w:gridSpan w:val="2"/>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注意事项</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67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（1）操作过程中保护关爱病患（2分）没有保护意识不得分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（2）适当的协助（1分）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（3）尊重理解病患，鼓励病患及家属主动参与配合（1分）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（4）问诊熟练、准确、无重复（6分）不熟练扣2分，不准确扣2分，欠规范扣2分</w:t>
            </w:r>
          </w:p>
        </w:tc>
        <w:tc>
          <w:tcPr>
            <w:tcW w:w="62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20"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61"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75"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57" w:type="dxa"/>
          </w:tcPr>
          <w:p>
            <w:pPr>
              <w:spacing w:line="360" w:lineRule="auto"/>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2310" w:type="dxa"/>
            <w:gridSpan w:val="2"/>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合计</w:t>
            </w:r>
          </w:p>
        </w:tc>
        <w:tc>
          <w:tcPr>
            <w:tcW w:w="3673"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tc>
        <w:tc>
          <w:tcPr>
            <w:tcW w:w="3238" w:type="dxa"/>
            <w:gridSpan w:val="5"/>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实际得分</w:t>
            </w:r>
          </w:p>
        </w:tc>
        <w:tc>
          <w:tcPr>
            <w:tcW w:w="657" w:type="dxa"/>
            <w:vAlign w:val="center"/>
          </w:tcPr>
          <w:p>
            <w:pPr>
              <w:spacing w:line="360" w:lineRule="auto"/>
              <w:jc w:val="center"/>
              <w:rPr>
                <w:rFonts w:hint="eastAsia" w:ascii="方正仿宋_GB2312" w:hAnsi="方正仿宋_GB2312" w:eastAsia="方正仿宋_GB2312" w:cs="方正仿宋_GB2312"/>
                <w:sz w:val="21"/>
                <w:szCs w:val="21"/>
              </w:rPr>
            </w:pPr>
          </w:p>
        </w:tc>
      </w:tr>
    </w:tbl>
    <w:p>
      <w:pPr>
        <w:snapToGrid w:val="0"/>
        <w:spacing w:line="360" w:lineRule="auto"/>
        <w:ind w:firstLine="560" w:firstLineChars="200"/>
        <w:rPr>
          <w:rFonts w:ascii="楷体_GB2312" w:hAnsi="仿宋" w:eastAsia="仿宋_GB2312" w:cs="仿宋"/>
          <w:sz w:val="28"/>
          <w:szCs w:val="28"/>
        </w:rPr>
      </w:pPr>
    </w:p>
    <w:p>
      <w:pPr>
        <w:keepNext w:val="0"/>
        <w:keepLines w:val="0"/>
        <w:pageBreakBefore w:val="0"/>
        <w:kinsoku/>
        <w:wordWrap/>
        <w:overflowPunct/>
        <w:topLinePunct w:val="0"/>
        <w:autoSpaceDE/>
        <w:autoSpaceDN/>
        <w:bidi w:val="0"/>
        <w:adjustRightInd/>
        <w:snapToGrid w:val="0"/>
        <w:spacing w:line="560" w:lineRule="exact"/>
        <w:ind w:firstLine="602" w:firstLineChars="200"/>
        <w:textAlignment w:val="auto"/>
        <w:rPr>
          <w:rFonts w:ascii="仿宋_GB2312" w:hAnsi="仿宋" w:eastAsia="仿宋_GB2312" w:cs="仿宋"/>
          <w:b/>
          <w:sz w:val="30"/>
          <w:szCs w:val="30"/>
        </w:rPr>
      </w:pPr>
      <w:r>
        <w:rPr>
          <w:rFonts w:hint="eastAsia" w:ascii="仿宋_GB2312" w:hAnsi="仿宋" w:eastAsia="仿宋_GB2312" w:cs="仿宋"/>
          <w:b/>
          <w:sz w:val="30"/>
          <w:szCs w:val="30"/>
        </w:rPr>
        <w:t>2.评定（100分）</w:t>
      </w:r>
    </w:p>
    <w:p>
      <w:pPr>
        <w:keepNext w:val="0"/>
        <w:keepLines w:val="0"/>
        <w:pageBreakBefore w:val="0"/>
        <w:widowControl/>
        <w:kinsoku/>
        <w:wordWrap/>
        <w:overflowPunct/>
        <w:topLinePunct w:val="0"/>
        <w:autoSpaceDE/>
        <w:autoSpaceDN/>
        <w:bidi w:val="0"/>
        <w:adjustRightInd/>
        <w:snapToGrid w:val="0"/>
        <w:spacing w:line="560" w:lineRule="exact"/>
        <w:ind w:firstLine="600" w:firstLineChars="200"/>
        <w:textAlignment w:val="auto"/>
        <w:rPr>
          <w:rFonts w:ascii="楷体_GB2312" w:hAnsi="仿宋" w:eastAsia="仿宋_GB2312" w:cs="仿宋"/>
          <w:kern w:val="0"/>
          <w:sz w:val="30"/>
          <w:szCs w:val="30"/>
        </w:rPr>
      </w:pPr>
      <w:r>
        <w:rPr>
          <w:rFonts w:hint="eastAsia" w:ascii="仿宋_GB2312" w:hAnsi="仿宋" w:eastAsia="仿宋_GB2312" w:cs="仿宋"/>
          <w:kern w:val="0"/>
          <w:sz w:val="30"/>
          <w:szCs w:val="30"/>
        </w:rPr>
        <w:t>标准：学生需要表现出有良好的专业行为和很好的交流沟通技巧，能意识到进行操作时自身所处的姿势和患者的体位，能根据体格检查的程序对患者进行恰当和精确的康复评估程序和内容（举例如下但又不局限于此：听诊技能，测试肺功能评估，测试氧饱和度，评估患者循环系统情况和筛查深静脉血栓；测量关节活动范围、肌张力和肌力，进行与关节稳定性有关的特定检查，使用VAS量表评定疼痛情况，评定呼吸障碍的情况等）。</w:t>
      </w:r>
    </w:p>
    <w:tbl>
      <w:tblPr>
        <w:tblStyle w:val="35"/>
        <w:tblW w:w="9796"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424"/>
        <w:gridCol w:w="3713"/>
        <w:gridCol w:w="587"/>
        <w:gridCol w:w="621"/>
        <w:gridCol w:w="621"/>
        <w:gridCol w:w="623"/>
        <w:gridCol w:w="674"/>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restart"/>
            <w:vAlign w:val="center"/>
          </w:tcPr>
          <w:p>
            <w:pPr>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项目</w:t>
            </w:r>
          </w:p>
        </w:tc>
        <w:tc>
          <w:tcPr>
            <w:tcW w:w="1424" w:type="dxa"/>
            <w:vMerge w:val="restart"/>
            <w:vAlign w:val="center"/>
          </w:tcPr>
          <w:p>
            <w:pPr>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工作</w:t>
            </w:r>
          </w:p>
        </w:tc>
        <w:tc>
          <w:tcPr>
            <w:tcW w:w="3713" w:type="dxa"/>
            <w:vMerge w:val="restart"/>
            <w:vAlign w:val="center"/>
          </w:tcPr>
          <w:p>
            <w:pPr>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技术操作要求</w:t>
            </w:r>
          </w:p>
        </w:tc>
        <w:tc>
          <w:tcPr>
            <w:tcW w:w="3126" w:type="dxa"/>
            <w:gridSpan w:val="5"/>
            <w:vAlign w:val="center"/>
          </w:tcPr>
          <w:p>
            <w:pPr>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评分标准</w:t>
            </w:r>
          </w:p>
        </w:tc>
        <w:tc>
          <w:tcPr>
            <w:tcW w:w="658" w:type="dxa"/>
            <w:vMerge w:val="restart"/>
            <w:vAlign w:val="center"/>
          </w:tcPr>
          <w:p>
            <w:pPr>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K" w:hAnsi="方正仿宋_GBK" w:eastAsia="方正仿宋_GBK" w:cs="方正仿宋_GBK"/>
                <w:sz w:val="21"/>
                <w:szCs w:val="21"/>
              </w:rPr>
            </w:pPr>
          </w:p>
        </w:tc>
        <w:tc>
          <w:tcPr>
            <w:tcW w:w="1424" w:type="dxa"/>
            <w:vMerge w:val="continue"/>
            <w:vAlign w:val="center"/>
          </w:tcPr>
          <w:p>
            <w:pPr>
              <w:jc w:val="center"/>
              <w:rPr>
                <w:rFonts w:hint="eastAsia" w:ascii="方正仿宋_GBK" w:hAnsi="方正仿宋_GBK" w:eastAsia="方正仿宋_GBK" w:cs="方正仿宋_GBK"/>
                <w:sz w:val="21"/>
                <w:szCs w:val="21"/>
              </w:rPr>
            </w:pPr>
          </w:p>
        </w:tc>
        <w:tc>
          <w:tcPr>
            <w:tcW w:w="3713" w:type="dxa"/>
            <w:vMerge w:val="continue"/>
          </w:tcPr>
          <w:p>
            <w:pPr>
              <w:rPr>
                <w:rFonts w:hint="eastAsia" w:ascii="方正仿宋_GBK" w:hAnsi="方正仿宋_GBK" w:eastAsia="方正仿宋_GBK" w:cs="方正仿宋_GBK"/>
                <w:sz w:val="21"/>
                <w:szCs w:val="21"/>
              </w:rPr>
            </w:pPr>
          </w:p>
        </w:tc>
        <w:tc>
          <w:tcPr>
            <w:tcW w:w="587" w:type="dxa"/>
            <w:vAlign w:val="center"/>
          </w:tcPr>
          <w:p>
            <w:pPr>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A</w:t>
            </w:r>
          </w:p>
        </w:tc>
        <w:tc>
          <w:tcPr>
            <w:tcW w:w="621" w:type="dxa"/>
            <w:vAlign w:val="center"/>
          </w:tcPr>
          <w:p>
            <w:pPr>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B</w:t>
            </w:r>
          </w:p>
        </w:tc>
        <w:tc>
          <w:tcPr>
            <w:tcW w:w="621" w:type="dxa"/>
            <w:vAlign w:val="center"/>
          </w:tcPr>
          <w:p>
            <w:pPr>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C</w:t>
            </w:r>
          </w:p>
        </w:tc>
        <w:tc>
          <w:tcPr>
            <w:tcW w:w="623" w:type="dxa"/>
            <w:vAlign w:val="center"/>
          </w:tcPr>
          <w:p>
            <w:pPr>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D</w:t>
            </w:r>
          </w:p>
        </w:tc>
        <w:tc>
          <w:tcPr>
            <w:tcW w:w="674" w:type="dxa"/>
            <w:vAlign w:val="center"/>
          </w:tcPr>
          <w:p>
            <w:pPr>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E</w:t>
            </w:r>
          </w:p>
        </w:tc>
        <w:tc>
          <w:tcPr>
            <w:tcW w:w="658" w:type="dxa"/>
            <w:vMerge w:val="continue"/>
          </w:tcPr>
          <w:p>
            <w:pPr>
              <w:jc w:val="center"/>
              <w:rPr>
                <w:rFonts w:hint="eastAsia" w:ascii="方正仿宋_GBK" w:hAnsi="方正仿宋_GBK" w:eastAsia="方正仿宋_GBK" w:cs="方正仿宋_GBK"/>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项目1</w:t>
            </w:r>
          </w:p>
        </w:tc>
        <w:tc>
          <w:tcPr>
            <w:tcW w:w="1424"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准备工作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1.1治疗师准备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（1）衣着整洁，修饰得体（1分）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（2）指甲修剪符合操作要求（1分）（2分）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（3）洗净双手，消毒（1分）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8" w:type="dxa"/>
            <w:vMerge w:val="restart"/>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1.2患者准备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（1）患者体位放置合适（2分）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（2）患者衣物暴露合适（1分）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1.3物品准备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（1）评定床凳的高低适合（2分）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（2）评定设备选取合理（2分）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8"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项目2</w:t>
            </w:r>
          </w:p>
        </w:tc>
        <w:tc>
          <w:tcPr>
            <w:tcW w:w="1424"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沟通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 判断</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（1）判断病患意识（1分）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（2）判断患者语言表达能力（1分）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0.5</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8" w:type="dxa"/>
            <w:vMerge w:val="restart"/>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2.2询问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（1）是否愿意配合（1分）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（2）评定前有无其它需要（1分）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（3）是否有无其它不适（1分）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2.3讲解</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评定目的和目标</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2.4语言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（1）语言亲和有力（1分）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（2）语速适中，表达清晰（1分）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（3）声音大小恰当（1分）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项目3</w:t>
            </w:r>
          </w:p>
        </w:tc>
        <w:tc>
          <w:tcPr>
            <w:tcW w:w="1424"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实施</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（60分）</w:t>
            </w: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3.1口述评定内容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（1）运动功能（8分）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（2）感觉功能（6分）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（3）其它（6分）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20</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8" w:type="dxa"/>
            <w:vMerge w:val="restart"/>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3.2演示康复评定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（1）评定内容的典型性和重要性（5分）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（2）评定方法的准确性和规范性（8分）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（3）评定过程的熟练性和流畅性（8分）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（4）评定结果的有效性和合理性（5分）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26</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20</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3.3医患配合</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（1）医患沟通充分（2分）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（2）医患配合默契（2分）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（3）医患体位姿势恰当（2分）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3.4物品设备处理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（1）物品设备使用合理正确（2）</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（3）物品设备用后整理到位（2）</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Merge w:val="continue"/>
            <w:vAlign w:val="center"/>
          </w:tcPr>
          <w:p>
            <w:pPr>
              <w:jc w:val="center"/>
              <w:rPr>
                <w:rFonts w:hint="eastAsia" w:ascii="方正仿宋_GB2312" w:hAnsi="方正仿宋_GB2312" w:eastAsia="方正仿宋_GB2312" w:cs="方正仿宋_GB2312"/>
                <w:sz w:val="21"/>
                <w:szCs w:val="21"/>
              </w:rPr>
            </w:pPr>
          </w:p>
        </w:tc>
        <w:tc>
          <w:tcPr>
            <w:tcW w:w="1424" w:type="dxa"/>
            <w:vMerge w:val="continue"/>
            <w:vAlign w:val="center"/>
          </w:tcPr>
          <w:p>
            <w:pPr>
              <w:jc w:val="center"/>
              <w:rPr>
                <w:rFonts w:hint="eastAsia" w:ascii="方正仿宋_GB2312" w:hAnsi="方正仿宋_GB2312" w:eastAsia="方正仿宋_GB2312" w:cs="方正仿宋_GB2312"/>
                <w:sz w:val="21"/>
                <w:szCs w:val="21"/>
              </w:rPr>
            </w:pP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3.5总结评定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总结评定结果（4）</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58"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75"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项目4</w:t>
            </w:r>
          </w:p>
        </w:tc>
        <w:tc>
          <w:tcPr>
            <w:tcW w:w="142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观察</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（1）病患反应（5分）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（2）病患感受（5分）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58"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29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注意事项</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7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（1）操作过程中保护关爱病患（2分）没有保护意识不得分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（2）适当的协助（1分）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（3）尊重理解病患，鼓励病患及家属主动参与配合（1分）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（4）操作熟练、准确、无重复多余的动作（6分）</w:t>
            </w:r>
          </w:p>
        </w:tc>
        <w:tc>
          <w:tcPr>
            <w:tcW w:w="58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2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2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74"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58"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299" w:type="dxa"/>
            <w:gridSpan w:val="2"/>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合计</w:t>
            </w:r>
          </w:p>
        </w:tc>
        <w:tc>
          <w:tcPr>
            <w:tcW w:w="3713"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tc>
        <w:tc>
          <w:tcPr>
            <w:tcW w:w="3126" w:type="dxa"/>
            <w:gridSpan w:val="5"/>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实际得分</w:t>
            </w:r>
          </w:p>
        </w:tc>
        <w:tc>
          <w:tcPr>
            <w:tcW w:w="658" w:type="dxa"/>
            <w:vAlign w:val="center"/>
          </w:tcPr>
          <w:p>
            <w:pPr>
              <w:jc w:val="center"/>
              <w:rPr>
                <w:rFonts w:hint="eastAsia" w:ascii="方正仿宋_GB2312" w:hAnsi="方正仿宋_GB2312" w:eastAsia="方正仿宋_GB2312" w:cs="方正仿宋_GB2312"/>
                <w:sz w:val="21"/>
                <w:szCs w:val="21"/>
              </w:rPr>
            </w:pPr>
          </w:p>
        </w:tc>
      </w:tr>
    </w:tbl>
    <w:p>
      <w:pPr>
        <w:widowControl/>
        <w:snapToGrid w:val="0"/>
        <w:spacing w:line="360" w:lineRule="auto"/>
        <w:ind w:firstLine="480" w:firstLineChars="200"/>
        <w:rPr>
          <w:rFonts w:ascii="楷体_GB2312" w:hAnsi="仿宋" w:eastAsia="仿宋_GB2312" w:cs="仿宋"/>
          <w:kern w:val="0"/>
          <w:sz w:val="24"/>
        </w:rPr>
      </w:pPr>
    </w:p>
    <w:p>
      <w:pPr>
        <w:keepNext w:val="0"/>
        <w:keepLines w:val="0"/>
        <w:pageBreakBefore w:val="0"/>
        <w:widowControl w:val="0"/>
        <w:kinsoku/>
        <w:wordWrap/>
        <w:overflowPunct/>
        <w:topLinePunct w:val="0"/>
        <w:autoSpaceDE/>
        <w:autoSpaceDN/>
        <w:bidi w:val="0"/>
        <w:adjustRightInd/>
        <w:snapToGrid w:val="0"/>
        <w:spacing w:line="560" w:lineRule="exact"/>
        <w:ind w:firstLine="602" w:firstLineChars="200"/>
        <w:textAlignment w:val="auto"/>
        <w:rPr>
          <w:rFonts w:ascii="楷体_GB2312" w:hAnsi="仿宋" w:eastAsia="仿宋_GB2312" w:cs="仿宋"/>
          <w:b/>
          <w:sz w:val="30"/>
          <w:szCs w:val="30"/>
        </w:rPr>
      </w:pPr>
      <w:r>
        <w:rPr>
          <w:rFonts w:hint="eastAsia" w:ascii="楷体_GB2312" w:hAnsi="仿宋" w:eastAsia="仿宋_GB2312" w:cs="仿宋"/>
          <w:b/>
          <w:sz w:val="30"/>
          <w:szCs w:val="30"/>
        </w:rPr>
        <w:t>3.治疗（100分）</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ascii="楷体_GB2312" w:hAnsi="仿宋" w:eastAsia="仿宋_GB2312" w:cs="仿宋"/>
          <w:sz w:val="30"/>
          <w:szCs w:val="30"/>
        </w:rPr>
      </w:pPr>
      <w:r>
        <w:rPr>
          <w:rFonts w:hint="eastAsia" w:ascii="楷体_GB2312" w:hAnsi="仿宋" w:eastAsia="仿宋_GB2312" w:cs="仿宋"/>
          <w:sz w:val="30"/>
          <w:szCs w:val="30"/>
        </w:rPr>
        <w:t>标准：学生需要表现出良好的专业行为和很好的交流沟通技巧，能意识到进行操作时自身所处的姿势和患者的体位，选择恰当的操作技术解决患者的问题，并提出有针对性的问题。希望能够执行对患者安全有效的操作技术，同时包括对患者进行教育。</w:t>
      </w:r>
    </w:p>
    <w:tbl>
      <w:tblPr>
        <w:tblStyle w:val="35"/>
        <w:tblW w:w="9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7"/>
        <w:gridCol w:w="1376"/>
        <w:gridCol w:w="3555"/>
        <w:gridCol w:w="600"/>
        <w:gridCol w:w="599"/>
        <w:gridCol w:w="599"/>
        <w:gridCol w:w="601"/>
        <w:gridCol w:w="656"/>
        <w:gridCol w:w="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5" w:hRule="atLeast"/>
          <w:jc w:val="center"/>
        </w:trPr>
        <w:tc>
          <w:tcPr>
            <w:tcW w:w="1117"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项目</w:t>
            </w:r>
          </w:p>
        </w:tc>
        <w:tc>
          <w:tcPr>
            <w:tcW w:w="1376"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工作</w:t>
            </w:r>
          </w:p>
        </w:tc>
        <w:tc>
          <w:tcPr>
            <w:tcW w:w="3555"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技术操作要求</w:t>
            </w:r>
          </w:p>
        </w:tc>
        <w:tc>
          <w:tcPr>
            <w:tcW w:w="3055" w:type="dxa"/>
            <w:gridSpan w:val="5"/>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评分标准</w:t>
            </w:r>
          </w:p>
        </w:tc>
        <w:tc>
          <w:tcPr>
            <w:tcW w:w="635" w:type="dxa"/>
            <w:vMerge w:val="restart"/>
            <w:vAlign w:val="center"/>
          </w:tcPr>
          <w:p>
            <w:pPr>
              <w:spacing w:line="360"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117" w:type="dxa"/>
            <w:vMerge w:val="continue"/>
            <w:vAlign w:val="center"/>
          </w:tcPr>
          <w:p>
            <w:pPr>
              <w:jc w:val="center"/>
              <w:rPr>
                <w:rFonts w:ascii="黑体" w:hAnsi="黑体" w:eastAsia="黑体" w:cs="仿宋"/>
                <w:sz w:val="21"/>
                <w:szCs w:val="21"/>
              </w:rPr>
            </w:pPr>
          </w:p>
        </w:tc>
        <w:tc>
          <w:tcPr>
            <w:tcW w:w="1376" w:type="dxa"/>
            <w:vMerge w:val="continue"/>
            <w:vAlign w:val="center"/>
          </w:tcPr>
          <w:p>
            <w:pPr>
              <w:jc w:val="center"/>
              <w:rPr>
                <w:rFonts w:ascii="黑体" w:hAnsi="黑体" w:eastAsia="黑体" w:cs="仿宋"/>
                <w:sz w:val="21"/>
                <w:szCs w:val="21"/>
              </w:rPr>
            </w:pPr>
          </w:p>
        </w:tc>
        <w:tc>
          <w:tcPr>
            <w:tcW w:w="3555" w:type="dxa"/>
            <w:vMerge w:val="continue"/>
          </w:tcPr>
          <w:p>
            <w:pPr>
              <w:rPr>
                <w:rFonts w:ascii="黑体" w:hAnsi="黑体" w:eastAsia="黑体" w:cs="仿宋"/>
                <w:sz w:val="21"/>
                <w:szCs w:val="21"/>
              </w:rPr>
            </w:pPr>
          </w:p>
        </w:tc>
        <w:tc>
          <w:tcPr>
            <w:tcW w:w="600" w:type="dxa"/>
            <w:vAlign w:val="center"/>
          </w:tcPr>
          <w:p>
            <w:pPr>
              <w:jc w:val="center"/>
              <w:rPr>
                <w:rFonts w:ascii="黑体" w:hAnsi="黑体" w:eastAsia="黑体" w:cs="仿宋"/>
                <w:b/>
                <w:bCs/>
                <w:sz w:val="21"/>
                <w:szCs w:val="21"/>
              </w:rPr>
            </w:pPr>
            <w:r>
              <w:rPr>
                <w:rFonts w:hint="eastAsia" w:ascii="黑体" w:hAnsi="黑体" w:eastAsia="黑体" w:cs="仿宋"/>
                <w:b/>
                <w:bCs/>
                <w:sz w:val="21"/>
                <w:szCs w:val="21"/>
              </w:rPr>
              <w:t>A</w:t>
            </w:r>
          </w:p>
        </w:tc>
        <w:tc>
          <w:tcPr>
            <w:tcW w:w="599" w:type="dxa"/>
            <w:vAlign w:val="center"/>
          </w:tcPr>
          <w:p>
            <w:pPr>
              <w:jc w:val="center"/>
              <w:rPr>
                <w:rFonts w:ascii="黑体" w:hAnsi="黑体" w:eastAsia="黑体" w:cs="仿宋"/>
                <w:b/>
                <w:bCs/>
                <w:sz w:val="21"/>
                <w:szCs w:val="21"/>
              </w:rPr>
            </w:pPr>
            <w:r>
              <w:rPr>
                <w:rFonts w:hint="eastAsia" w:ascii="黑体" w:hAnsi="黑体" w:eastAsia="黑体" w:cs="仿宋"/>
                <w:b/>
                <w:bCs/>
                <w:sz w:val="21"/>
                <w:szCs w:val="21"/>
              </w:rPr>
              <w:t>B</w:t>
            </w:r>
          </w:p>
        </w:tc>
        <w:tc>
          <w:tcPr>
            <w:tcW w:w="599" w:type="dxa"/>
            <w:vAlign w:val="center"/>
          </w:tcPr>
          <w:p>
            <w:pPr>
              <w:jc w:val="center"/>
              <w:rPr>
                <w:rFonts w:ascii="黑体" w:hAnsi="黑体" w:eastAsia="黑体" w:cs="仿宋"/>
                <w:b/>
                <w:bCs/>
                <w:sz w:val="21"/>
                <w:szCs w:val="21"/>
              </w:rPr>
            </w:pPr>
            <w:r>
              <w:rPr>
                <w:rFonts w:hint="eastAsia" w:ascii="黑体" w:hAnsi="黑体" w:eastAsia="黑体" w:cs="仿宋"/>
                <w:b/>
                <w:bCs/>
                <w:sz w:val="21"/>
                <w:szCs w:val="21"/>
              </w:rPr>
              <w:t>C</w:t>
            </w:r>
          </w:p>
        </w:tc>
        <w:tc>
          <w:tcPr>
            <w:tcW w:w="601" w:type="dxa"/>
            <w:vAlign w:val="center"/>
          </w:tcPr>
          <w:p>
            <w:pPr>
              <w:jc w:val="center"/>
              <w:rPr>
                <w:rFonts w:ascii="黑体" w:hAnsi="黑体" w:eastAsia="黑体" w:cs="仿宋"/>
                <w:b/>
                <w:bCs/>
                <w:sz w:val="21"/>
                <w:szCs w:val="21"/>
              </w:rPr>
            </w:pPr>
            <w:r>
              <w:rPr>
                <w:rFonts w:hint="eastAsia" w:ascii="黑体" w:hAnsi="黑体" w:eastAsia="黑体" w:cs="仿宋"/>
                <w:b/>
                <w:bCs/>
                <w:sz w:val="21"/>
                <w:szCs w:val="21"/>
              </w:rPr>
              <w:t>D</w:t>
            </w:r>
          </w:p>
        </w:tc>
        <w:tc>
          <w:tcPr>
            <w:tcW w:w="656" w:type="dxa"/>
            <w:vAlign w:val="center"/>
          </w:tcPr>
          <w:p>
            <w:pPr>
              <w:jc w:val="center"/>
              <w:rPr>
                <w:rFonts w:ascii="黑体" w:hAnsi="黑体" w:eastAsia="黑体" w:cs="仿宋"/>
                <w:b/>
                <w:bCs/>
                <w:sz w:val="21"/>
                <w:szCs w:val="21"/>
              </w:rPr>
            </w:pPr>
            <w:r>
              <w:rPr>
                <w:rFonts w:hint="eastAsia" w:ascii="黑体" w:hAnsi="黑体" w:eastAsia="黑体" w:cs="仿宋"/>
                <w:b/>
                <w:bCs/>
                <w:sz w:val="21"/>
                <w:szCs w:val="21"/>
              </w:rPr>
              <w:t>E</w:t>
            </w:r>
          </w:p>
        </w:tc>
        <w:tc>
          <w:tcPr>
            <w:tcW w:w="635" w:type="dxa"/>
            <w:vMerge w:val="continue"/>
          </w:tcPr>
          <w:p>
            <w:pPr>
              <w:jc w:val="center"/>
              <w:rPr>
                <w:rFonts w:ascii="黑体" w:hAnsi="黑体" w:eastAsia="黑体"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3" w:hRule="atLeast"/>
          <w:jc w:val="center"/>
        </w:trPr>
        <w:tc>
          <w:tcPr>
            <w:tcW w:w="1117"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项目1</w:t>
            </w:r>
          </w:p>
        </w:tc>
        <w:tc>
          <w:tcPr>
            <w:tcW w:w="1376"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准备工作</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1.1 治疗师准备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（1）衣着整洁，修饰得体（1分）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（2）指甲修剪符合操作要求（1分）（2分）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（3）洗净双手，消毒（1分）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35" w:type="dxa"/>
            <w:vMerge w:val="restart"/>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 患者准备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（1）患者体位放置合适（2分）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（2）患者衣物暴露合适（1分）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35"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1.3物品准备</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（1）治疗床凳的高低适合（2分）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（2）治疗设备选取合理（2分）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35"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jc w:val="center"/>
        </w:trPr>
        <w:tc>
          <w:tcPr>
            <w:tcW w:w="1117"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项目2</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沟通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2.1 判断：</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（1）判断病患意识（1分）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（2）判断患者语言表达能力（1分）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35" w:type="dxa"/>
            <w:vMerge w:val="restart"/>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2.2询问：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（1）是否愿意配合（1分）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（2）评定前有无其它需要（1分）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（3）是否有无其它不适（1分）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35"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2.3 讲解</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治疗的目的</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35"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2.4语言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（1）语言亲和有力（1分）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（2）语速适中，表达清晰（1分）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（3）声音大小恰当（1分）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35"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3" w:hRule="atLeast"/>
          <w:jc w:val="center"/>
        </w:trPr>
        <w:tc>
          <w:tcPr>
            <w:tcW w:w="1117" w:type="dxa"/>
            <w:vMerge w:val="restart"/>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项目3</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实施</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（60分）</w:t>
            </w: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3.1 口述治疗方案</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（1）康复目标（5分）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（2）康复方案制定的合理、恰当（5分）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（3）其它（6分）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16</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12</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35" w:type="dxa"/>
            <w:vMerge w:val="restart"/>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2"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3.2演示康复治疗</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（1）技术选取的合理性（5分）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（2）治疗方法的恰当性（5分）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（3）操作过程的流畅性（5分）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（4）治疗结果的高效性（5分）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（5）操作手法的熟练性（5分）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（6）引导指令的有效性（5分）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30</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20</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15</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635"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3.3医患配合</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（1）医患沟通充分（2分）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（2）医患配合默契（2分）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（3）医患体位姿势恰当（2分）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35" w:type="dxa"/>
            <w:vMerge w:val="continue"/>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3.4物品设备处理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（1）物品设备使用合理正确（2）</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（3）物品设备用后整理到位（2）</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5</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35"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117" w:type="dxa"/>
            <w:vMerge w:val="continue"/>
            <w:vAlign w:val="center"/>
          </w:tcPr>
          <w:p>
            <w:pPr>
              <w:jc w:val="center"/>
              <w:rPr>
                <w:rFonts w:hint="eastAsia" w:ascii="方正仿宋_GB2312" w:hAnsi="方正仿宋_GB2312" w:eastAsia="方正仿宋_GB2312" w:cs="方正仿宋_GB2312"/>
                <w:sz w:val="21"/>
                <w:szCs w:val="21"/>
              </w:rPr>
            </w:pPr>
          </w:p>
        </w:tc>
        <w:tc>
          <w:tcPr>
            <w:tcW w:w="1376" w:type="dxa"/>
            <w:vMerge w:val="continue"/>
            <w:vAlign w:val="center"/>
          </w:tcPr>
          <w:p>
            <w:pPr>
              <w:jc w:val="center"/>
              <w:rPr>
                <w:rFonts w:hint="eastAsia" w:ascii="方正仿宋_GB2312" w:hAnsi="方正仿宋_GB2312" w:eastAsia="方正仿宋_GB2312" w:cs="方正仿宋_GB2312"/>
                <w:sz w:val="21"/>
                <w:szCs w:val="21"/>
              </w:rPr>
            </w:pP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3.5总结评定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总结治疗结果（4）</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0</w:t>
            </w:r>
          </w:p>
        </w:tc>
        <w:tc>
          <w:tcPr>
            <w:tcW w:w="635"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117"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项目4</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观察</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（1）病患反应（5分）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（2）病患感受（5分）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35" w:type="dxa"/>
          </w:tcPr>
          <w:p>
            <w:pP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2" w:hRule="atLeast"/>
          <w:jc w:val="center"/>
        </w:trPr>
        <w:tc>
          <w:tcPr>
            <w:tcW w:w="2493" w:type="dxa"/>
            <w:gridSpan w:val="2"/>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注意事项</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（10分）</w:t>
            </w:r>
          </w:p>
        </w:tc>
        <w:tc>
          <w:tcPr>
            <w:tcW w:w="355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（1）操作过程中保护关爱病患（2分）没有保护意识不得分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（2）适当的协助（1分）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（3）尊重理解病患，鼓励病患及家属主动参与配合（1分）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（4）操作熟练、准确、无重复多余的动作（6分）</w:t>
            </w:r>
          </w:p>
        </w:tc>
        <w:tc>
          <w:tcPr>
            <w:tcW w:w="600"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8</w:t>
            </w:r>
          </w:p>
        </w:tc>
        <w:tc>
          <w:tcPr>
            <w:tcW w:w="599"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6</w:t>
            </w:r>
          </w:p>
        </w:tc>
        <w:tc>
          <w:tcPr>
            <w:tcW w:w="601"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w:t>
            </w:r>
          </w:p>
        </w:tc>
        <w:tc>
          <w:tcPr>
            <w:tcW w:w="656"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635" w:type="dxa"/>
            <w:vAlign w:val="center"/>
          </w:tcPr>
          <w:p>
            <w:pPr>
              <w:jc w:val="center"/>
              <w:rPr>
                <w:rFonts w:hint="eastAsia" w:ascii="方正仿宋_GB2312" w:hAnsi="方正仿宋_GB2312" w:eastAsia="方正仿宋_GB2312" w:cs="方正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2493" w:type="dxa"/>
            <w:gridSpan w:val="2"/>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合计</w:t>
            </w:r>
          </w:p>
        </w:tc>
        <w:tc>
          <w:tcPr>
            <w:tcW w:w="3555" w:type="dxa"/>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100分</w:t>
            </w:r>
          </w:p>
        </w:tc>
        <w:tc>
          <w:tcPr>
            <w:tcW w:w="3055" w:type="dxa"/>
            <w:gridSpan w:val="5"/>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实际得分</w:t>
            </w:r>
          </w:p>
        </w:tc>
        <w:tc>
          <w:tcPr>
            <w:tcW w:w="635" w:type="dxa"/>
            <w:vAlign w:val="center"/>
          </w:tcPr>
          <w:p>
            <w:pPr>
              <w:jc w:val="center"/>
              <w:rPr>
                <w:rFonts w:hint="eastAsia" w:ascii="方正仿宋_GB2312" w:hAnsi="方正仿宋_GB2312" w:eastAsia="方正仿宋_GB2312" w:cs="方正仿宋_GB2312"/>
                <w:sz w:val="21"/>
                <w:szCs w:val="21"/>
              </w:rPr>
            </w:pPr>
          </w:p>
        </w:tc>
      </w:tr>
    </w:tbl>
    <w:p>
      <w:pPr>
        <w:snapToGrid w:val="0"/>
        <w:spacing w:line="360" w:lineRule="auto"/>
        <w:ind w:firstLine="562" w:firstLineChars="200"/>
        <w:rPr>
          <w:rFonts w:ascii="仿宋_GB2312" w:hAnsi="仿宋" w:eastAsia="仿宋_GB2312" w:cs="仿宋"/>
          <w:b/>
          <w:sz w:val="28"/>
          <w:szCs w:val="28"/>
        </w:rPr>
      </w:pPr>
      <w:r>
        <w:rPr>
          <w:rFonts w:hint="eastAsia" w:ascii="仿宋_GB2312" w:hAnsi="仿宋" w:eastAsia="仿宋_GB2312" w:cs="仿宋"/>
          <w:b/>
          <w:sz w:val="28"/>
          <w:szCs w:val="28"/>
        </w:rPr>
        <w:t>4.回答问题（100分）</w:t>
      </w:r>
    </w:p>
    <w:tbl>
      <w:tblPr>
        <w:tblStyle w:val="35"/>
        <w:tblW w:w="98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0"/>
        <w:gridCol w:w="2815"/>
        <w:gridCol w:w="2395"/>
        <w:gridCol w:w="2404"/>
        <w:gridCol w:w="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jc w:val="center"/>
        </w:trPr>
        <w:tc>
          <w:tcPr>
            <w:tcW w:w="1250" w:type="dxa"/>
            <w:vAlign w:val="center"/>
          </w:tcPr>
          <w:p>
            <w:pPr>
              <w:spacing w:line="360" w:lineRule="auto"/>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标准</w:t>
            </w:r>
          </w:p>
        </w:tc>
        <w:tc>
          <w:tcPr>
            <w:tcW w:w="2815" w:type="dxa"/>
            <w:vAlign w:val="center"/>
          </w:tcPr>
          <w:p>
            <w:pPr>
              <w:spacing w:line="360" w:lineRule="auto"/>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优秀（90%～100%）</w:t>
            </w:r>
          </w:p>
        </w:tc>
        <w:tc>
          <w:tcPr>
            <w:tcW w:w="2395" w:type="dxa"/>
            <w:vAlign w:val="center"/>
          </w:tcPr>
          <w:p>
            <w:pPr>
              <w:spacing w:line="360" w:lineRule="auto"/>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良好（80%～90%）</w:t>
            </w:r>
          </w:p>
        </w:tc>
        <w:tc>
          <w:tcPr>
            <w:tcW w:w="2404" w:type="dxa"/>
            <w:vAlign w:val="center"/>
          </w:tcPr>
          <w:p>
            <w:pPr>
              <w:spacing w:line="360" w:lineRule="auto"/>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差（70%～80%）</w:t>
            </w:r>
          </w:p>
        </w:tc>
        <w:tc>
          <w:tcPr>
            <w:tcW w:w="986" w:type="dxa"/>
            <w:vAlign w:val="center"/>
          </w:tcPr>
          <w:p>
            <w:pPr>
              <w:spacing w:line="360" w:lineRule="auto"/>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赋分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3" w:hRule="atLeast"/>
          <w:jc w:val="center"/>
        </w:trPr>
        <w:tc>
          <w:tcPr>
            <w:tcW w:w="1250" w:type="dxa"/>
            <w:vAlign w:val="center"/>
          </w:tcPr>
          <w:p>
            <w:pPr>
              <w:spacing w:line="360" w:lineRule="auto"/>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回答问题</w:t>
            </w:r>
          </w:p>
        </w:tc>
        <w:tc>
          <w:tcPr>
            <w:tcW w:w="281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语言表达流利，思路清晰，回答全面、专业知识技术应用正确熟练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p>
        </w:tc>
        <w:tc>
          <w:tcPr>
            <w:tcW w:w="239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语言表达较流利，思路清晰，回答较全面、专业知识技术应用较熟练</w:t>
            </w:r>
          </w:p>
        </w:tc>
        <w:tc>
          <w:tcPr>
            <w:tcW w:w="240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语言表达不够流利，思路不够清晰，回答不够全面、专业知识技术应用不够熟练</w:t>
            </w:r>
          </w:p>
        </w:tc>
        <w:tc>
          <w:tcPr>
            <w:tcW w:w="986" w:type="dxa"/>
            <w:vAlign w:val="center"/>
          </w:tcPr>
          <w:p>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250" w:type="dxa"/>
          </w:tcPr>
          <w:p>
            <w:pPr>
              <w:spacing w:line="276" w:lineRule="auto"/>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反应能力</w:t>
            </w:r>
          </w:p>
        </w:tc>
        <w:tc>
          <w:tcPr>
            <w:tcW w:w="281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回答问题反应迅速，逻辑性强</w:t>
            </w:r>
          </w:p>
        </w:tc>
        <w:tc>
          <w:tcPr>
            <w:tcW w:w="2395"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回答问题反应较为迅速，逻辑性较强</w:t>
            </w:r>
          </w:p>
        </w:tc>
        <w:tc>
          <w:tcPr>
            <w:tcW w:w="240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回答问题反应一般，逻辑性欠佳</w:t>
            </w:r>
          </w:p>
        </w:tc>
        <w:tc>
          <w:tcPr>
            <w:tcW w:w="986" w:type="dxa"/>
            <w:vAlign w:val="center"/>
          </w:tcPr>
          <w:p>
            <w:pPr>
              <w:spacing w:line="276"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30</w:t>
            </w:r>
          </w:p>
        </w:tc>
      </w:tr>
    </w:tbl>
    <w:p>
      <w:pPr>
        <w:keepNext w:val="0"/>
        <w:keepLines w:val="0"/>
        <w:pageBreakBefore w:val="0"/>
        <w:kinsoku/>
        <w:wordWrap/>
        <w:overflowPunct/>
        <w:topLinePunct w:val="0"/>
        <w:autoSpaceDE/>
        <w:autoSpaceDN/>
        <w:bidi w:val="0"/>
        <w:spacing w:line="560" w:lineRule="exact"/>
        <w:ind w:firstLine="600" w:firstLineChars="200"/>
        <w:textAlignment w:val="auto"/>
        <w:rPr>
          <w:rFonts w:ascii="仿宋" w:hAnsi="仿宋" w:eastAsia="仿宋" w:cs="仿宋"/>
          <w:sz w:val="30"/>
          <w:szCs w:val="30"/>
        </w:rPr>
      </w:pPr>
      <w:r>
        <w:rPr>
          <w:rFonts w:hint="eastAsia" w:ascii="黑体" w:hAnsi="Calibri" w:eastAsia="黑体" w:cs="Times New Roman"/>
          <w:sz w:val="30"/>
          <w:szCs w:val="30"/>
        </w:rPr>
        <w:t>十三、奖项设置</w:t>
      </w:r>
    </w:p>
    <w:p>
      <w:pPr>
        <w:keepNext w:val="0"/>
        <w:keepLines w:val="0"/>
        <w:pageBreakBefore w:val="0"/>
        <w:kinsoku/>
        <w:wordWrap/>
        <w:overflowPunct/>
        <w:topLinePunct w:val="0"/>
        <w:autoSpaceDE/>
        <w:autoSpaceDN/>
        <w:bidi w:val="0"/>
        <w:adjustRightInd/>
        <w:snapToGrid/>
        <w:spacing w:line="560" w:lineRule="exact"/>
        <w:ind w:firstLine="560"/>
        <w:jc w:val="both"/>
        <w:textAlignment w:val="auto"/>
        <w:rPr>
          <w:rFonts w:ascii="仿宋_GB2312" w:hAnsi="仿宋" w:eastAsia="仿宋_GB2312" w:cs="仿宋"/>
          <w:bCs/>
          <w:sz w:val="30"/>
          <w:szCs w:val="30"/>
        </w:rPr>
      </w:pPr>
      <w:r>
        <w:rPr>
          <w:rFonts w:hint="eastAsia" w:ascii="Times New Roman" w:hAnsi="Times New Roman" w:eastAsia="仿宋_GB2312" w:cs="Times New Roman"/>
          <w:snapToGrid/>
          <w:color w:val="auto"/>
          <w:kern w:val="2"/>
          <w:sz w:val="30"/>
          <w:szCs w:val="30"/>
          <w:lang w:val="en-US" w:eastAsia="zh-CN"/>
        </w:rPr>
        <w:t>按照</w:t>
      </w:r>
      <w:r>
        <w:rPr>
          <w:rFonts w:hint="eastAsia" w:ascii="Times New Roman" w:hAnsi="Times New Roman" w:eastAsia="仿宋_GB2312" w:cs="Times New Roman"/>
          <w:snapToGrid/>
          <w:color w:val="auto"/>
          <w:kern w:val="2"/>
          <w:sz w:val="30"/>
          <w:szCs w:val="30"/>
          <w:lang w:val="zh-TW"/>
        </w:rPr>
        <w:t>《河南省教育厅办公室关于举办 2023 年河南省高等职业教育技能大赛的通知》（教办职成〔2023〕307 号）文件</w:t>
      </w:r>
      <w:r>
        <w:rPr>
          <w:rFonts w:hint="eastAsia" w:ascii="Times New Roman" w:hAnsi="Times New Roman" w:eastAsia="仿宋_GB2312" w:cs="Times New Roman"/>
          <w:snapToGrid/>
          <w:color w:val="auto"/>
          <w:kern w:val="2"/>
          <w:sz w:val="30"/>
          <w:szCs w:val="30"/>
          <w:lang w:val="en-US" w:eastAsia="zh-CN"/>
        </w:rPr>
        <w:t>执行。</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黑体" w:hAnsi="黑体" w:eastAsia="黑体" w:cs="仿宋"/>
          <w:bCs/>
          <w:sz w:val="30"/>
          <w:szCs w:val="30"/>
        </w:rPr>
      </w:pPr>
      <w:r>
        <w:rPr>
          <w:rFonts w:hint="eastAsia" w:ascii="黑体" w:hAnsi="黑体" w:eastAsia="黑体" w:cs="仿宋"/>
          <w:bCs/>
          <w:sz w:val="30"/>
          <w:szCs w:val="30"/>
        </w:rPr>
        <w:t>十四、赛项预案</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竞赛开赛前，参赛选手确认竞赛工位、现场设备等处于正常状态。比赛期间发生意外事故，发现者应第一时间报告执委会，同时采取措施避免事态扩大。执委会应立即启动预案予以解决并报告组委会办公室，事后执委会应向组委会报告详细情况。</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 w:hAnsi="仿宋" w:eastAsia="仿宋"/>
          <w:color w:val="000000"/>
          <w:sz w:val="30"/>
          <w:szCs w:val="30"/>
        </w:rPr>
      </w:pPr>
      <w:r>
        <w:rPr>
          <w:rFonts w:hint="eastAsia" w:ascii="仿宋_GB2312" w:hAnsi="仿宋" w:eastAsia="仿宋_GB2312" w:cs="仿宋"/>
          <w:bCs/>
          <w:sz w:val="30"/>
          <w:szCs w:val="30"/>
        </w:rPr>
        <w:t>竞赛过程中，参赛选手如遇设备或软件等故障应举手示意，项目裁判长、技术人员等应及时予以解决。确因非选手因素致使操作无法继续的，经项目裁判长确认，予以启用备用设备，因此所造成的时间延误，经报请裁判长批准予以延长比赛时间处理。</w:t>
      </w:r>
      <w:r>
        <w:rPr>
          <w:rFonts w:hint="eastAsia" w:ascii="仿宋" w:hAnsi="仿宋" w:eastAsia="仿宋"/>
          <w:color w:val="000000"/>
          <w:sz w:val="30"/>
          <w:szCs w:val="30"/>
        </w:rPr>
        <w:t>竞赛过程中，参赛选手如遇身体不适可求助现场医务人员予以救治，因此所造成的时间延误，不予延时。</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（一）火灾安全事故紧急处理预案 </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若发生火灾，及时通知安保负责人,向消防部门119报警，组织人员疏散、切断电源，将易燃易爆物品及时转移到安全地带，同时组织人员使用适宜的灭火器材灭火。对轻伤人员有医护人员进行处置；对重伤人员及时送往医院救治。</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（二）电力供应事故紧急处理预案</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若比赛过程中突发临时停电，安保负责人维持秩序的同时，积极调配专业电工，查明停电原因，采取相应措施。同时现场配有动力电，以备停电时使用。</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（三）赛场人员突发伤病紧急处理预案</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ascii="仿宋_GB2312" w:hAnsi="仿宋" w:eastAsia="仿宋_GB2312" w:cs="仿宋"/>
          <w:sz w:val="30"/>
          <w:szCs w:val="30"/>
        </w:rPr>
      </w:pPr>
      <w:r>
        <w:rPr>
          <w:rFonts w:hint="eastAsia" w:ascii="仿宋_GB2312" w:hAnsi="仿宋" w:eastAsia="仿宋_GB2312" w:cs="仿宋"/>
          <w:sz w:val="30"/>
          <w:szCs w:val="30"/>
        </w:rPr>
        <w:t>赛场指定区域配备救护车和医护人员以及相应的药品，现场不能处理的及时送120 急救中心。</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（四）设备事故紧急处理预案</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sz w:val="30"/>
          <w:szCs w:val="30"/>
        </w:rPr>
        <w:t>正式开赛前，在监督人员的监示下，进行综合模拟演训，确保设备正常运行、预案可靠可行。赛前准备备用设备和备用赛场，若比赛过程中出现技术平台故障，技术人员立即汇报裁判长，暂停该赛室比赛，及时配合裁判长等相关人员，提出妥善的处置方案，对设备进行</w:t>
      </w:r>
      <w:r>
        <w:rPr>
          <w:rFonts w:hint="eastAsia" w:ascii="仿宋_GB2312" w:hAnsi="仿宋" w:eastAsia="仿宋_GB2312" w:cs="仿宋"/>
          <w:bCs/>
          <w:sz w:val="30"/>
          <w:szCs w:val="30"/>
        </w:rPr>
        <w:t>调试或更换。若需要更换设备，经专家组组长、裁判长批准后启动备用设备或备用赛场。</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竞赛过程中，如遇突发不可抗力事件，全体人员应立即停止竞赛，撤离至安全场所。由赛项执委会报请大赛执委会再做后续处理。</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黑体" w:hAnsi="黑体" w:eastAsia="黑体" w:cs="仿宋"/>
          <w:bCs/>
          <w:sz w:val="30"/>
          <w:szCs w:val="30"/>
        </w:rPr>
      </w:pPr>
      <w:r>
        <w:rPr>
          <w:rFonts w:hint="eastAsia" w:ascii="黑体" w:hAnsi="黑体" w:eastAsia="黑体" w:cs="仿宋"/>
          <w:bCs/>
          <w:sz w:val="30"/>
          <w:szCs w:val="30"/>
        </w:rPr>
        <w:t>十五、竞赛须知</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（一）参赛队须知 </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bCs/>
          <w:sz w:val="30"/>
          <w:szCs w:val="30"/>
        </w:rPr>
        <w:t>1.所有参赛选手必须购买在竞赛</w:t>
      </w:r>
      <w:r>
        <w:rPr>
          <w:rFonts w:hint="eastAsia" w:ascii="仿宋_GB2312" w:hAnsi="仿宋" w:eastAsia="仿宋_GB2312" w:cs="仿宋"/>
          <w:sz w:val="30"/>
          <w:szCs w:val="30"/>
        </w:rPr>
        <w:t>期间的意外伤害保险。</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2.参赛选手、指导教师、领队往返的交通费、食宿费及保险费等均由参赛院校自理。</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3.各省参赛队由领队、指导教师和参赛选手组成。领队负责参赛队与赛项组织机构及承办院校的对接工作和比赛的协调工作；按时参加赛前领队会议</w:t>
      </w:r>
      <w:r>
        <w:rPr>
          <w:rFonts w:hint="eastAsia" w:ascii="仿宋_GB2312" w:hAnsi="Calibri" w:eastAsia="仿宋_GB2312" w:cs="Times New Roman"/>
          <w:sz w:val="30"/>
          <w:szCs w:val="30"/>
        </w:rPr>
        <w:t>，</w:t>
      </w:r>
      <w:r>
        <w:rPr>
          <w:rFonts w:hint="eastAsia" w:ascii="仿宋_GB2312" w:hAnsi="仿宋" w:eastAsia="仿宋_GB2312" w:cs="仿宋"/>
          <w:sz w:val="30"/>
          <w:szCs w:val="30"/>
        </w:rPr>
        <w:t>并认真传达会议精神，执行赛项的各项规定，加强对参赛选手的管理，落实本参赛队人员的日常生活及安全管理措施。</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4.领队负责申诉工作。参赛队认为存在不符合竞赛规定的设备、工具、软件，有失公正的评判、奖励，以及工作人员的违规行为等情况时，须由领队在该赛项竞赛结束后2小时内，向赛项监督仲裁组提交书面申诉材料。</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Calibri" w:eastAsia="仿宋_GB2312" w:cs="Times New Roman"/>
          <w:sz w:val="30"/>
          <w:szCs w:val="30"/>
        </w:rPr>
      </w:pPr>
      <w:r>
        <w:rPr>
          <w:rFonts w:hint="eastAsia" w:ascii="仿宋_GB2312" w:hAnsi="仿宋" w:eastAsia="仿宋_GB2312" w:cs="仿宋"/>
          <w:sz w:val="30"/>
          <w:szCs w:val="30"/>
        </w:rPr>
        <w:t>5.各参赛队的领队、指导教师可凭证件进入赛项直播室进行观摩。</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（二）指导教师须知 </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1.指导教师必须是参赛选手所在学校的在职专任教师，每个参赛团队限1-2名指导教师。指导教师一经上报不得随意变更。</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2.指导教师应该根据专业教学计划和赛项规程合理制定训练方案，认真指导参赛选手训练，培养选手的良好的职业素养和综合职业能力，克服功利化思想，避免为赛而学、以赛代学。</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3.指导教师应该根据赛项规程要求做好参赛选手保险办理工作，比赛期间对参赛选手做好日常管理工作和安全教育工作。</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4.指导教师参加赛项观摩等活动，不得违反赛项规定进入赛场，干扰比赛正常进行。</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楷体_GB2312" w:hAnsi="仿宋" w:eastAsia="仿宋_GB2312" w:cs="仿宋"/>
          <w:sz w:val="30"/>
          <w:szCs w:val="30"/>
        </w:rPr>
      </w:pPr>
      <w:r>
        <w:rPr>
          <w:rFonts w:hint="eastAsia" w:ascii="仿宋_GB2312" w:hAnsi="仿宋" w:eastAsia="仿宋_GB2312" w:cs="仿宋"/>
          <w:sz w:val="30"/>
          <w:szCs w:val="30"/>
        </w:rPr>
        <w:t>5.指导教师应自觉遵守大赛各项制度，尊重专家、裁判、监督仲裁及赛项承办单位工作人员。要引导和教育参赛选手对于认为有影响个人比赛成绩的裁判行为或设备故障等，按照赛项指南规定和大赛制度进行申诉，不得在网络、微信群等各种媒体发表、传播有待核实信息和过激言论。对比赛过程中的争议问题，要按大赛制度规定程序处理，不得采取过激行为。</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（三）参赛选手须知</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Calibri" w:eastAsia="仿宋_GB2312" w:cs="Times New Roman"/>
          <w:sz w:val="30"/>
          <w:szCs w:val="30"/>
        </w:rPr>
      </w:pPr>
      <w:r>
        <w:rPr>
          <w:rFonts w:hint="eastAsia" w:ascii="仿宋_GB2312" w:hAnsi="仿宋" w:eastAsia="仿宋_GB2312" w:cs="仿宋"/>
          <w:sz w:val="30"/>
          <w:szCs w:val="30"/>
        </w:rPr>
        <w:t>1.参赛选手须严格按照规定时间持本人身份证和参赛证进入比赛场地，证件不齐全者不准进入考场。不允许携带任何竞赛规程禁止使用的电子产品及通讯工具，以及其它与竞赛有关的资料和书籍，违规者取消本次竞赛资格。</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2.参赛选手着装不应出现地域、院校及个人等涉及竞赛场上应该保密的信息，并符合安全及竞赛要求。</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3.竞赛开始、终止时间由工作人员记录在案；比赛时间到，选手停止撰写或实操，按照要求离开竞赛区域。参赛选手提前结束竞赛并示意后，不得再进行任何操作。</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4.参赛选手应该文明参赛，服从裁判统一指挥，尊重赛场工作人员，自觉维护赛场秩序。竞赛过程中如有特殊情况，需提交监考人员或裁判人员处理，不得擅自停止比赛或离开赛场，否则以弃权处理。</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5.参赛选手对于认为有影响个人比赛成绩的裁判行为或设备故障等问题，应向指导老师反映，由领队按大赛制度规定进行申诉。参赛选手不得利用比赛相关的微信群、QQ 群发表虚假信息和不当言论。</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6.参赛选手须严格遵守竞赛规程规定的安全操作流程，防止发生安全事故。</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7.参赛选手应该爱护赛场使用的设备、仪器等，不得人为损坏比赛所使用的仪器设备。</w:t>
      </w:r>
    </w:p>
    <w:p>
      <w:pPr>
        <w:keepNext w:val="0"/>
        <w:keepLines w:val="0"/>
        <w:pageBreakBefore w:val="0"/>
        <w:widowControl/>
        <w:kinsoku/>
        <w:wordWrap/>
        <w:overflowPunct/>
        <w:topLinePunct w:val="0"/>
        <w:autoSpaceDE/>
        <w:autoSpaceDN/>
        <w:bidi w:val="0"/>
        <w:adjustRightInd/>
        <w:snapToGrid/>
        <w:spacing w:line="560" w:lineRule="exact"/>
        <w:ind w:firstLine="600"/>
        <w:textAlignment w:val="auto"/>
        <w:outlineLvl w:val="0"/>
        <w:rPr>
          <w:rFonts w:hint="eastAsia" w:ascii="方正楷体_GBK" w:hAnsi="方正楷体_GBK" w:eastAsia="方正楷体_GBK" w:cs="方正楷体_GBK"/>
          <w:b w:val="0"/>
          <w:bCs/>
          <w:kern w:val="0"/>
          <w:sz w:val="30"/>
          <w:szCs w:val="30"/>
        </w:rPr>
      </w:pPr>
      <w:r>
        <w:rPr>
          <w:rFonts w:hint="eastAsia" w:ascii="方正楷体_GBK" w:hAnsi="方正楷体_GBK" w:eastAsia="方正楷体_GBK" w:cs="方正楷体_GBK"/>
          <w:b w:val="0"/>
          <w:bCs/>
          <w:kern w:val="0"/>
          <w:sz w:val="30"/>
          <w:szCs w:val="30"/>
        </w:rPr>
        <w:t xml:space="preserve">（四）工作人员须知 </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1.赛场各类工作人员必须统一佩戴由赛项执委会印制的相应证件，着装整齐，进入工作岗位。</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2.除赛项执委会成员、专家组成员、现场裁判、赛场配备的工作人员外，其他人员未经赛项执委会允许不得进入赛场。</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3.新闻媒体人员等进入赛场必须经过赛项执委会允许，并且听从现场工作人员的安排和指挥，不得影响竞赛正常进行。</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4.工作人员于赛前60分钟到达赛场，严守工作岗位，不迟到，不早退，不无故离岗。遇特殊情况需离开岗位，须向赛项执委会请假。</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sz w:val="30"/>
          <w:szCs w:val="30"/>
        </w:rPr>
        <w:t>5.熟悉竞赛规程，严格按照工作程序和有关规定办事，遇突</w:t>
      </w:r>
      <w:r>
        <w:rPr>
          <w:rFonts w:hint="eastAsia" w:ascii="仿宋_GB2312" w:hAnsi="仿宋" w:eastAsia="仿宋_GB2312" w:cs="仿宋"/>
          <w:bCs/>
          <w:sz w:val="30"/>
          <w:szCs w:val="30"/>
        </w:rPr>
        <w:t>发事件，按照安全工作预案，组织指挥人员疏散，确保人员安全。</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黑体" w:hAnsi="黑体" w:eastAsia="黑体" w:cs="仿宋"/>
          <w:bCs/>
          <w:sz w:val="30"/>
          <w:szCs w:val="30"/>
        </w:rPr>
      </w:pPr>
      <w:r>
        <w:rPr>
          <w:rFonts w:hint="eastAsia" w:ascii="黑体" w:hAnsi="黑体" w:eastAsia="黑体" w:cs="仿宋"/>
          <w:bCs/>
          <w:sz w:val="30"/>
          <w:szCs w:val="30"/>
        </w:rPr>
        <w:t>十六、申诉与仲裁</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本赛项设赛项监督仲裁工作组。监督仲裁工作组人数原则上为3人，设组长1人。</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（一）各参赛队对不符合大赛和赛项规程规定的仪器、设备、物件、计算机软硬件等，竞赛执裁、赛场管理，以及工作人员的不规范行为等，可向赛项仲裁组提出申诉。申诉主体为校领队。</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（二）仲裁人员的姓名、联系方式、工作地点应该在竞赛期间向参赛队和工作人员公示，确保信息畅通并同时接受大众监督。</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（三）申诉启动时，由校领队向赛项仲裁工作组递交亲笔签字同意的书面申诉报告。申诉报告应对申诉事件的现象、发生时间、涉及人员、申诉依据等进行充分、实事求是的叙述。非书面申诉不予受理。</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（四）提出申诉的时间应在比赛结束后2小时内，超过时效不予受理。</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五）赛项仲裁工作组在接到申诉报告后的2小时内组织复议，并及时将复议结果以书面形式告知申诉方。申诉方对复议结果仍有异议，可由校领队向大赛仲裁委员会提出申诉。大赛仲裁委员会的仲裁结果为最终结果。</w:t>
      </w:r>
    </w:p>
    <w:p>
      <w:pPr>
        <w:keepNext w:val="0"/>
        <w:keepLines w:val="0"/>
        <w:pageBreakBefore w:val="0"/>
        <w:kinsoku/>
        <w:wordWrap/>
        <w:overflowPunct/>
        <w:topLinePunct w:val="0"/>
        <w:autoSpaceDE/>
        <w:autoSpaceDN/>
        <w:bidi w:val="0"/>
        <w:adjustRightInd w:val="0"/>
        <w:snapToGrid w:val="0"/>
        <w:spacing w:line="56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（六）仲裁结果由申诉人签收，不能代收，如在约定时间和地点申诉人离开，视为自行放弃申诉。</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sz w:val="30"/>
          <w:szCs w:val="30"/>
        </w:rPr>
        <w:t>（七）</w:t>
      </w:r>
      <w:r>
        <w:rPr>
          <w:rFonts w:hint="eastAsia" w:ascii="仿宋_GB2312" w:hAnsi="仿宋" w:eastAsia="仿宋_GB2312" w:cs="仿宋"/>
          <w:bCs/>
          <w:sz w:val="30"/>
          <w:szCs w:val="30"/>
        </w:rPr>
        <w:t>申诉方可随时提出放弃申诉。</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（八）申诉方必须提供真实的申诉信息并严格遵守申诉程序，不得以任何理由采取过激行为扰乱赛场秩序。</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黑体" w:hAnsi="黑体" w:eastAsia="黑体" w:cs="仿宋"/>
          <w:bCs/>
          <w:sz w:val="30"/>
          <w:szCs w:val="30"/>
        </w:rPr>
      </w:pPr>
      <w:r>
        <w:rPr>
          <w:rFonts w:hint="eastAsia" w:ascii="黑体" w:hAnsi="黑体" w:eastAsia="黑体" w:cs="仿宋"/>
          <w:bCs/>
          <w:sz w:val="30"/>
          <w:szCs w:val="30"/>
        </w:rPr>
        <w:t>十七、竞赛观摩</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（一）根据竞赛场地情况，设观摩区，竞赛场内不设观摩区。</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（二）采取直播方式的公开观摩，观摩区（室）用高清大屏幕或投影设备显示赛场内竞赛状况。</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（三）观摩对象：与赛项相关的企业、单位、学院、行业协会等专家、技术人员、指导教师等。参赛选手不得进入观摩区。</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仿宋_GB2312" w:hAnsi="仿宋" w:eastAsia="仿宋_GB2312" w:cs="仿宋"/>
          <w:bCs/>
          <w:sz w:val="30"/>
          <w:szCs w:val="30"/>
        </w:rPr>
      </w:pPr>
      <w:r>
        <w:rPr>
          <w:rFonts w:hint="eastAsia" w:ascii="仿宋_GB2312" w:hAnsi="仿宋" w:eastAsia="仿宋_GB2312" w:cs="仿宋"/>
          <w:bCs/>
          <w:sz w:val="30"/>
          <w:szCs w:val="30"/>
        </w:rPr>
        <w:t>（四）在观摩区内要遵守大赛纪律和承办院校管理要求。观摩人员必须佩带观摩证，在规定时间，以小组为单位，在赛场引导员的引导下，有序进入赛场观摩。</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黑体" w:hAnsi="黑体" w:eastAsia="黑体" w:cs="仿宋"/>
          <w:bCs/>
          <w:sz w:val="30"/>
          <w:szCs w:val="30"/>
        </w:rPr>
      </w:pPr>
      <w:r>
        <w:rPr>
          <w:rFonts w:hint="eastAsia" w:ascii="黑体" w:hAnsi="黑体" w:eastAsia="黑体" w:cs="仿宋"/>
          <w:bCs/>
          <w:sz w:val="30"/>
          <w:szCs w:val="30"/>
        </w:rPr>
        <w:t>十八、</w:t>
      </w:r>
      <w:r>
        <w:rPr>
          <w:rFonts w:ascii="黑体" w:hAnsi="黑体" w:eastAsia="黑体" w:cs="仿宋"/>
          <w:bCs/>
          <w:sz w:val="30"/>
          <w:szCs w:val="30"/>
        </w:rPr>
        <w:t>赛项成果</w:t>
      </w:r>
    </w:p>
    <w:p>
      <w:pPr>
        <w:keepNext w:val="0"/>
        <w:keepLines w:val="0"/>
        <w:pageBreakBefore w:val="0"/>
        <w:kinsoku/>
        <w:wordWrap/>
        <w:overflowPunct/>
        <w:topLinePunct w:val="0"/>
        <w:autoSpaceDE/>
        <w:autoSpaceDN/>
        <w:bidi w:val="0"/>
        <w:snapToGrid w:val="0"/>
        <w:spacing w:line="560" w:lineRule="exact"/>
        <w:ind w:firstLine="600" w:firstLineChars="200"/>
        <w:textAlignment w:val="auto"/>
        <w:rPr>
          <w:rFonts w:ascii="楷体_GB2312" w:hAnsi="仿宋" w:eastAsia="仿宋_GB2312" w:cs="仿宋"/>
          <w:bCs/>
          <w:sz w:val="30"/>
          <w:szCs w:val="30"/>
        </w:rPr>
      </w:pPr>
      <w:r>
        <w:rPr>
          <w:rFonts w:hint="eastAsia" w:ascii="楷体_GB2312" w:hAnsi="仿宋" w:eastAsia="仿宋_GB2312" w:cs="仿宋"/>
          <w:bCs/>
          <w:sz w:val="30"/>
          <w:szCs w:val="30"/>
        </w:rPr>
        <w:t>按照《全国职业院校技能大赛资源转化工作办法》要求，进行资源转化工作。赛项资源转化工作由赛项执委会负责，承办院校实施，参赛院校配合，推进资源转化工作。</w:t>
      </w:r>
    </w:p>
    <w:p>
      <w:pPr>
        <w:pStyle w:val="32"/>
        <w:keepNext w:val="0"/>
        <w:keepLines w:val="0"/>
        <w:pageBreakBefore w:val="0"/>
        <w:widowControl w:val="0"/>
        <w:kinsoku/>
        <w:wordWrap/>
        <w:overflowPunct/>
        <w:topLinePunct w:val="0"/>
        <w:autoSpaceDE/>
        <w:autoSpaceDN/>
        <w:bidi w:val="0"/>
        <w:spacing w:before="0" w:after="0" w:line="560" w:lineRule="exact"/>
        <w:ind w:firstLine="600" w:firstLineChars="200"/>
        <w:textAlignment w:val="auto"/>
        <w:rPr>
          <w:rFonts w:ascii="黑体" w:hAnsi="黑体" w:eastAsia="黑体" w:cs="黑体"/>
          <w:b w:val="0"/>
          <w:color w:val="000000"/>
          <w:kern w:val="2"/>
          <w:sz w:val="30"/>
          <w:szCs w:val="30"/>
        </w:rPr>
      </w:pPr>
      <w:r>
        <w:rPr>
          <w:rFonts w:hint="eastAsia" w:ascii="黑体" w:hAnsi="黑体" w:eastAsia="黑体" w:cs="黑体"/>
          <w:b w:val="0"/>
          <w:color w:val="000000"/>
          <w:kern w:val="2"/>
          <w:sz w:val="30"/>
          <w:szCs w:val="30"/>
        </w:rPr>
        <w:t>十九、其他</w:t>
      </w:r>
    </w:p>
    <w:p>
      <w:pPr>
        <w:keepNext w:val="0"/>
        <w:keepLines w:val="0"/>
        <w:pageBreakBefore w:val="0"/>
        <w:kinsoku/>
        <w:wordWrap/>
        <w:overflowPunct/>
        <w:topLinePunct w:val="0"/>
        <w:autoSpaceDE/>
        <w:autoSpaceDN/>
        <w:bidi w:val="0"/>
        <w:spacing w:line="560" w:lineRule="exact"/>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本次竞赛不收取参赛费用与报名费用，提供选手参赛服装（不包含鞋子），选手鞋子按照大赛要求，自行购买。大赛期间食宿统一安排，费用自理。</w:t>
      </w:r>
    </w:p>
    <w:p>
      <w:pPr>
        <w:pStyle w:val="32"/>
        <w:keepNext w:val="0"/>
        <w:keepLines w:val="0"/>
        <w:widowControl w:val="0"/>
        <w:spacing w:before="0" w:after="0"/>
        <w:ind w:firstLine="720" w:firstLineChars="200"/>
        <w:rPr>
          <w:rFonts w:ascii="黑体" w:hAnsi="黑体" w:eastAsia="黑体" w:cs="黑体"/>
          <w:b w:val="0"/>
          <w:color w:val="000000"/>
          <w:kern w:val="2"/>
          <w:sz w:val="36"/>
          <w:szCs w:val="36"/>
        </w:rPr>
      </w:pPr>
    </w:p>
    <w:sectPr>
      <w:footerReference r:id="rId3" w:type="default"/>
      <w:pgSz w:w="11906" w:h="16838"/>
      <w:pgMar w:top="1644" w:right="1134" w:bottom="1531" w:left="1247" w:header="851"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95F2DAF-EE26-4E7F-9CF0-CA123548D8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255B2A5-6E7F-45E2-A6FB-01C5E1488398}"/>
  </w:font>
  <w:font w:name="楷体">
    <w:panose1 w:val="02010609060101010101"/>
    <w:charset w:val="86"/>
    <w:family w:val="modern"/>
    <w:pitch w:val="default"/>
    <w:sig w:usb0="800002BF" w:usb1="38CF7CFA" w:usb2="00000016" w:usb3="00000000" w:csb0="00040001" w:csb1="00000000"/>
    <w:embedRegular r:id="rId3" w:fontKey="{EF2D575D-F322-4341-B0E4-A12B48A00718}"/>
  </w:font>
  <w:font w:name="仿宋_GB2312">
    <w:altName w:val="仿宋"/>
    <w:panose1 w:val="02010609030101010101"/>
    <w:charset w:val="86"/>
    <w:family w:val="modern"/>
    <w:pitch w:val="default"/>
    <w:sig w:usb0="00000000" w:usb1="00000000" w:usb2="00000010" w:usb3="00000000" w:csb0="00040000" w:csb1="00000000"/>
    <w:embedRegular r:id="rId4" w:fontKey="{E6033EC5-314D-4806-8712-E9C297381CFA}"/>
  </w:font>
  <w:font w:name="方正小标宋简体">
    <w:panose1 w:val="02000000000000000000"/>
    <w:charset w:val="86"/>
    <w:family w:val="script"/>
    <w:pitch w:val="default"/>
    <w:sig w:usb0="00000001" w:usb1="080E0000" w:usb2="00000000" w:usb3="00000000" w:csb0="00040000" w:csb1="00000000"/>
    <w:embedRegular r:id="rId5" w:fontKey="{AF040797-C491-4161-B349-F47C025AE41A}"/>
  </w:font>
  <w:font w:name="仿宋">
    <w:panose1 w:val="02010609060101010101"/>
    <w:charset w:val="86"/>
    <w:family w:val="modern"/>
    <w:pitch w:val="default"/>
    <w:sig w:usb0="800002BF" w:usb1="38CF7CFA" w:usb2="00000016" w:usb3="00000000" w:csb0="00040001" w:csb1="00000000"/>
    <w:embedRegular r:id="rId6" w:fontKey="{1CE0FF65-0E1F-4FAE-8BAE-ECA095915128}"/>
  </w:font>
  <w:font w:name="方正楷体_GBK">
    <w:panose1 w:val="02000000000000000000"/>
    <w:charset w:val="86"/>
    <w:family w:val="auto"/>
    <w:pitch w:val="default"/>
    <w:sig w:usb0="800002BF" w:usb1="38CF7CFA" w:usb2="00000016" w:usb3="00000000" w:csb0="00040000" w:csb1="00000000"/>
    <w:embedRegular r:id="rId7" w:fontKey="{00571C37-F274-4887-A444-47D7F85F2588}"/>
  </w:font>
  <w:font w:name="方正黑体_GBK">
    <w:altName w:val="微软雅黑"/>
    <w:panose1 w:val="02000000000000000000"/>
    <w:charset w:val="86"/>
    <w:family w:val="auto"/>
    <w:pitch w:val="default"/>
    <w:sig w:usb0="00000000" w:usb1="00000000" w:usb2="00000000" w:usb3="00000000" w:csb0="00040000" w:csb1="00000000"/>
    <w:embedRegular r:id="rId8" w:fontKey="{5F2E60E0-6068-49A0-8051-2A0C972E1F45}"/>
  </w:font>
  <w:font w:name="方正仿宋_GBK">
    <w:altName w:val="微软雅黑"/>
    <w:panose1 w:val="02000000000000000000"/>
    <w:charset w:val="86"/>
    <w:family w:val="auto"/>
    <w:pitch w:val="default"/>
    <w:sig w:usb0="00000000" w:usb1="00000000" w:usb2="00000000" w:usb3="00000000" w:csb0="00040000" w:csb1="00000000"/>
    <w:embedRegular r:id="rId9" w:fontKey="{E12BA4FD-7B06-40E7-836F-0FFBA183ACEA}"/>
  </w:font>
  <w:font w:name="楷体_GB2312">
    <w:altName w:val="楷体"/>
    <w:panose1 w:val="02010609030101010101"/>
    <w:charset w:val="86"/>
    <w:family w:val="modern"/>
    <w:pitch w:val="default"/>
    <w:sig w:usb0="00000000" w:usb1="00000000" w:usb2="00000010" w:usb3="00000000" w:csb0="00040000" w:csb1="00000000"/>
    <w:embedRegular r:id="rId10" w:fontKey="{B32201AB-D084-4F0C-A640-52A936875AE8}"/>
  </w:font>
  <w:font w:name="微软雅黑">
    <w:panose1 w:val="020B0503020204020204"/>
    <w:charset w:val="86"/>
    <w:family w:val="auto"/>
    <w:pitch w:val="default"/>
    <w:sig w:usb0="80000287" w:usb1="2ACF3C50" w:usb2="00000016" w:usb3="00000000" w:csb0="0004001F" w:csb1="00000000"/>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11" w:fontKey="{531619D9-CA90-480D-BAB2-156C8C1F1A8E}"/>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left="40"/>
      <w:jc w:val="center"/>
    </w:pPr>
    <w:r>
      <w:rPr>
        <w:rFonts w:ascii="Calibri" w:hAnsi="Calibri" w:eastAsia="Calibri" w:cs="Times New Roman"/>
        <w:kern w:val="0"/>
        <w:sz w:val="22"/>
        <w:szCs w:val="22"/>
        <w:lang w:eastAsia="en-US"/>
      </w:rPr>
      <w:fldChar w:fldCharType="begin"/>
    </w:r>
    <w:r>
      <w:rPr>
        <w:rFonts w:ascii="宋体" w:hAnsi="Calibri" w:eastAsia="Calibri" w:cs="Times New Roman"/>
        <w:kern w:val="0"/>
        <w:sz w:val="30"/>
        <w:szCs w:val="22"/>
        <w:lang w:eastAsia="en-US"/>
      </w:rPr>
      <w:instrText xml:space="preserve"> PAGE </w:instrText>
    </w:r>
    <w:r>
      <w:rPr>
        <w:rFonts w:ascii="Calibri" w:hAnsi="Calibri" w:eastAsia="Calibri" w:cs="Times New Roman"/>
        <w:kern w:val="0"/>
        <w:sz w:val="22"/>
        <w:szCs w:val="22"/>
        <w:lang w:eastAsia="en-US"/>
      </w:rPr>
      <w:fldChar w:fldCharType="separate"/>
    </w:r>
    <w:r>
      <w:rPr>
        <w:rFonts w:ascii="宋体" w:hAnsi="Calibri" w:eastAsia="Calibri" w:cs="Times New Roman"/>
        <w:kern w:val="0"/>
        <w:sz w:val="30"/>
        <w:szCs w:val="22"/>
        <w:lang w:eastAsia="en-US"/>
      </w:rPr>
      <w:t>21</w:t>
    </w:r>
    <w:r>
      <w:rPr>
        <w:rFonts w:ascii="Calibri" w:hAnsi="Calibri" w:eastAsia="Calibri" w:cs="Times New Roman"/>
        <w:kern w:val="0"/>
        <w:sz w:val="22"/>
        <w:szCs w:val="22"/>
        <w:lang w:eastAsia="en-US"/>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3ODJhZDQ1NjIzMmEwNDY5ZTA3ZjQ3Yjc4ZGY0MjAifQ=="/>
  </w:docVars>
  <w:rsids>
    <w:rsidRoot w:val="230744CF"/>
    <w:rsid w:val="00010E37"/>
    <w:rsid w:val="00026E97"/>
    <w:rsid w:val="0003264F"/>
    <w:rsid w:val="00033BFF"/>
    <w:rsid w:val="00040DD4"/>
    <w:rsid w:val="00045468"/>
    <w:rsid w:val="00055E8A"/>
    <w:rsid w:val="00065213"/>
    <w:rsid w:val="0009101C"/>
    <w:rsid w:val="00093422"/>
    <w:rsid w:val="00093EF8"/>
    <w:rsid w:val="000B217A"/>
    <w:rsid w:val="000D451B"/>
    <w:rsid w:val="000E033B"/>
    <w:rsid w:val="0012306C"/>
    <w:rsid w:val="00141755"/>
    <w:rsid w:val="00147D37"/>
    <w:rsid w:val="00191A0E"/>
    <w:rsid w:val="001939F6"/>
    <w:rsid w:val="001B468C"/>
    <w:rsid w:val="001B4AA0"/>
    <w:rsid w:val="001B7427"/>
    <w:rsid w:val="001C2523"/>
    <w:rsid w:val="001D408A"/>
    <w:rsid w:val="001E0D46"/>
    <w:rsid w:val="00203B99"/>
    <w:rsid w:val="002055C5"/>
    <w:rsid w:val="00206541"/>
    <w:rsid w:val="00225836"/>
    <w:rsid w:val="00241152"/>
    <w:rsid w:val="002541DE"/>
    <w:rsid w:val="00275F2E"/>
    <w:rsid w:val="002778B2"/>
    <w:rsid w:val="002F0AE7"/>
    <w:rsid w:val="003025FC"/>
    <w:rsid w:val="00321586"/>
    <w:rsid w:val="00332768"/>
    <w:rsid w:val="003400F7"/>
    <w:rsid w:val="00347835"/>
    <w:rsid w:val="00347C95"/>
    <w:rsid w:val="0035149E"/>
    <w:rsid w:val="00351BD6"/>
    <w:rsid w:val="0037567D"/>
    <w:rsid w:val="00375BFC"/>
    <w:rsid w:val="00381C83"/>
    <w:rsid w:val="003A0131"/>
    <w:rsid w:val="003A31F2"/>
    <w:rsid w:val="003A6389"/>
    <w:rsid w:val="003C588B"/>
    <w:rsid w:val="003D2449"/>
    <w:rsid w:val="003E322E"/>
    <w:rsid w:val="003E598F"/>
    <w:rsid w:val="003E62EC"/>
    <w:rsid w:val="003F2E6A"/>
    <w:rsid w:val="003F361F"/>
    <w:rsid w:val="003F497B"/>
    <w:rsid w:val="003F5C4D"/>
    <w:rsid w:val="00402AE7"/>
    <w:rsid w:val="004054BB"/>
    <w:rsid w:val="00421FAA"/>
    <w:rsid w:val="00435F72"/>
    <w:rsid w:val="004407E3"/>
    <w:rsid w:val="004513CB"/>
    <w:rsid w:val="00451B82"/>
    <w:rsid w:val="00470EC1"/>
    <w:rsid w:val="00484D0B"/>
    <w:rsid w:val="00490E53"/>
    <w:rsid w:val="004B5AF7"/>
    <w:rsid w:val="004B6525"/>
    <w:rsid w:val="004C0CC4"/>
    <w:rsid w:val="004C7124"/>
    <w:rsid w:val="004E2C15"/>
    <w:rsid w:val="004E4D7E"/>
    <w:rsid w:val="00500212"/>
    <w:rsid w:val="00514140"/>
    <w:rsid w:val="005262F7"/>
    <w:rsid w:val="005351DA"/>
    <w:rsid w:val="005419CB"/>
    <w:rsid w:val="00555148"/>
    <w:rsid w:val="00566B39"/>
    <w:rsid w:val="00580BB0"/>
    <w:rsid w:val="0058400D"/>
    <w:rsid w:val="005950C8"/>
    <w:rsid w:val="005B749D"/>
    <w:rsid w:val="005C1DE7"/>
    <w:rsid w:val="005C3697"/>
    <w:rsid w:val="005D599E"/>
    <w:rsid w:val="005E06B3"/>
    <w:rsid w:val="005E4CB5"/>
    <w:rsid w:val="005F2D29"/>
    <w:rsid w:val="005F6E68"/>
    <w:rsid w:val="00613298"/>
    <w:rsid w:val="006360A6"/>
    <w:rsid w:val="006524BB"/>
    <w:rsid w:val="00655680"/>
    <w:rsid w:val="006631C3"/>
    <w:rsid w:val="00664ACA"/>
    <w:rsid w:val="0067091C"/>
    <w:rsid w:val="00670B42"/>
    <w:rsid w:val="006861BF"/>
    <w:rsid w:val="00686221"/>
    <w:rsid w:val="006A6A21"/>
    <w:rsid w:val="006A7859"/>
    <w:rsid w:val="006B6678"/>
    <w:rsid w:val="006C385A"/>
    <w:rsid w:val="006C44D4"/>
    <w:rsid w:val="006E415F"/>
    <w:rsid w:val="006E585C"/>
    <w:rsid w:val="0070128A"/>
    <w:rsid w:val="00717D3B"/>
    <w:rsid w:val="00723D16"/>
    <w:rsid w:val="007357A9"/>
    <w:rsid w:val="007410FB"/>
    <w:rsid w:val="007447ED"/>
    <w:rsid w:val="00746271"/>
    <w:rsid w:val="0074631B"/>
    <w:rsid w:val="007526C2"/>
    <w:rsid w:val="00757D96"/>
    <w:rsid w:val="007616C3"/>
    <w:rsid w:val="007744E3"/>
    <w:rsid w:val="00785D6E"/>
    <w:rsid w:val="00794FFF"/>
    <w:rsid w:val="007A2D66"/>
    <w:rsid w:val="007C33F6"/>
    <w:rsid w:val="007D1541"/>
    <w:rsid w:val="007D397A"/>
    <w:rsid w:val="007F1CCF"/>
    <w:rsid w:val="007F295E"/>
    <w:rsid w:val="00803097"/>
    <w:rsid w:val="0086620F"/>
    <w:rsid w:val="0087174E"/>
    <w:rsid w:val="00881C2F"/>
    <w:rsid w:val="00897EDA"/>
    <w:rsid w:val="008A0170"/>
    <w:rsid w:val="008A032A"/>
    <w:rsid w:val="008B1B95"/>
    <w:rsid w:val="008B2584"/>
    <w:rsid w:val="008B33D5"/>
    <w:rsid w:val="008C0CED"/>
    <w:rsid w:val="008C1BEB"/>
    <w:rsid w:val="008C3481"/>
    <w:rsid w:val="008E1C16"/>
    <w:rsid w:val="008E59A0"/>
    <w:rsid w:val="008F04A8"/>
    <w:rsid w:val="008F18DE"/>
    <w:rsid w:val="008F6F27"/>
    <w:rsid w:val="00902E85"/>
    <w:rsid w:val="009044B4"/>
    <w:rsid w:val="009046FF"/>
    <w:rsid w:val="009149B8"/>
    <w:rsid w:val="00917272"/>
    <w:rsid w:val="009248F2"/>
    <w:rsid w:val="0097655D"/>
    <w:rsid w:val="0098373C"/>
    <w:rsid w:val="0099088A"/>
    <w:rsid w:val="009A0B57"/>
    <w:rsid w:val="009A43A5"/>
    <w:rsid w:val="009B0CD3"/>
    <w:rsid w:val="009B2270"/>
    <w:rsid w:val="009D1DB1"/>
    <w:rsid w:val="009E0A39"/>
    <w:rsid w:val="009F4C61"/>
    <w:rsid w:val="00A25558"/>
    <w:rsid w:val="00A36110"/>
    <w:rsid w:val="00A45400"/>
    <w:rsid w:val="00A86CB3"/>
    <w:rsid w:val="00AA58E8"/>
    <w:rsid w:val="00AC1FB8"/>
    <w:rsid w:val="00AD736F"/>
    <w:rsid w:val="00AF5839"/>
    <w:rsid w:val="00B076B0"/>
    <w:rsid w:val="00B15029"/>
    <w:rsid w:val="00B1642B"/>
    <w:rsid w:val="00B23149"/>
    <w:rsid w:val="00B301D9"/>
    <w:rsid w:val="00B43EC5"/>
    <w:rsid w:val="00B55FFE"/>
    <w:rsid w:val="00B63B77"/>
    <w:rsid w:val="00B71E41"/>
    <w:rsid w:val="00B72345"/>
    <w:rsid w:val="00B777CB"/>
    <w:rsid w:val="00B933C1"/>
    <w:rsid w:val="00B97EB2"/>
    <w:rsid w:val="00BA74BA"/>
    <w:rsid w:val="00BB50B8"/>
    <w:rsid w:val="00BC0A93"/>
    <w:rsid w:val="00BC4D9B"/>
    <w:rsid w:val="00BD4AF2"/>
    <w:rsid w:val="00BE33E7"/>
    <w:rsid w:val="00BE416A"/>
    <w:rsid w:val="00BF393C"/>
    <w:rsid w:val="00C02A59"/>
    <w:rsid w:val="00C249DA"/>
    <w:rsid w:val="00C31EAD"/>
    <w:rsid w:val="00C37CD0"/>
    <w:rsid w:val="00C40918"/>
    <w:rsid w:val="00C41A39"/>
    <w:rsid w:val="00C5780D"/>
    <w:rsid w:val="00C62C3A"/>
    <w:rsid w:val="00C85E8C"/>
    <w:rsid w:val="00C920F8"/>
    <w:rsid w:val="00CA7B1A"/>
    <w:rsid w:val="00CB5295"/>
    <w:rsid w:val="00CC1FA3"/>
    <w:rsid w:val="00CC5745"/>
    <w:rsid w:val="00CC62C3"/>
    <w:rsid w:val="00CD2654"/>
    <w:rsid w:val="00D025C3"/>
    <w:rsid w:val="00D101CE"/>
    <w:rsid w:val="00D1676A"/>
    <w:rsid w:val="00D17BB2"/>
    <w:rsid w:val="00D37899"/>
    <w:rsid w:val="00D50770"/>
    <w:rsid w:val="00D61F9F"/>
    <w:rsid w:val="00D87897"/>
    <w:rsid w:val="00DB63CE"/>
    <w:rsid w:val="00DC22A0"/>
    <w:rsid w:val="00DC2368"/>
    <w:rsid w:val="00DC6D71"/>
    <w:rsid w:val="00DE2FBE"/>
    <w:rsid w:val="00DE5807"/>
    <w:rsid w:val="00E17423"/>
    <w:rsid w:val="00E31255"/>
    <w:rsid w:val="00E34029"/>
    <w:rsid w:val="00E455B8"/>
    <w:rsid w:val="00E53403"/>
    <w:rsid w:val="00E67365"/>
    <w:rsid w:val="00E754FC"/>
    <w:rsid w:val="00E7722B"/>
    <w:rsid w:val="00E872D1"/>
    <w:rsid w:val="00E87882"/>
    <w:rsid w:val="00E958A4"/>
    <w:rsid w:val="00EA459F"/>
    <w:rsid w:val="00EA71C8"/>
    <w:rsid w:val="00EA7A2F"/>
    <w:rsid w:val="00EB0DC3"/>
    <w:rsid w:val="00EB3AC6"/>
    <w:rsid w:val="00EB6D4D"/>
    <w:rsid w:val="00EC183F"/>
    <w:rsid w:val="00ED3FB5"/>
    <w:rsid w:val="00EF2964"/>
    <w:rsid w:val="00F01981"/>
    <w:rsid w:val="00F03781"/>
    <w:rsid w:val="00F428B3"/>
    <w:rsid w:val="00F50BFF"/>
    <w:rsid w:val="00F533FC"/>
    <w:rsid w:val="00F60DAF"/>
    <w:rsid w:val="00F65574"/>
    <w:rsid w:val="00F70658"/>
    <w:rsid w:val="00F72600"/>
    <w:rsid w:val="00F72CD2"/>
    <w:rsid w:val="00F81468"/>
    <w:rsid w:val="00FB4731"/>
    <w:rsid w:val="00FD60F4"/>
    <w:rsid w:val="012F5ED1"/>
    <w:rsid w:val="01545A10"/>
    <w:rsid w:val="019127B6"/>
    <w:rsid w:val="01AC25DE"/>
    <w:rsid w:val="02056D00"/>
    <w:rsid w:val="026B6301"/>
    <w:rsid w:val="035755DC"/>
    <w:rsid w:val="03CB7D75"/>
    <w:rsid w:val="03CF3A69"/>
    <w:rsid w:val="03E70DB3"/>
    <w:rsid w:val="04ED41A7"/>
    <w:rsid w:val="05945393"/>
    <w:rsid w:val="060A2B37"/>
    <w:rsid w:val="06180F58"/>
    <w:rsid w:val="063E041C"/>
    <w:rsid w:val="07341FA7"/>
    <w:rsid w:val="081F6FBE"/>
    <w:rsid w:val="08F46892"/>
    <w:rsid w:val="090A1DB0"/>
    <w:rsid w:val="09255593"/>
    <w:rsid w:val="0A2166A1"/>
    <w:rsid w:val="0A3960E0"/>
    <w:rsid w:val="0B882E7B"/>
    <w:rsid w:val="0BA27250"/>
    <w:rsid w:val="0BD473BB"/>
    <w:rsid w:val="0BF25F57"/>
    <w:rsid w:val="0BF95B27"/>
    <w:rsid w:val="0BFC73C5"/>
    <w:rsid w:val="0C9E5D48"/>
    <w:rsid w:val="0D2059B8"/>
    <w:rsid w:val="0D3570EC"/>
    <w:rsid w:val="0D3A1F53"/>
    <w:rsid w:val="0E1A1CEB"/>
    <w:rsid w:val="0E7831BE"/>
    <w:rsid w:val="0EAB16AB"/>
    <w:rsid w:val="0F431FED"/>
    <w:rsid w:val="0F697CBF"/>
    <w:rsid w:val="107B2FAF"/>
    <w:rsid w:val="109473A5"/>
    <w:rsid w:val="127A7E92"/>
    <w:rsid w:val="12817A52"/>
    <w:rsid w:val="12825593"/>
    <w:rsid w:val="12D03F46"/>
    <w:rsid w:val="132B7B1C"/>
    <w:rsid w:val="134C478E"/>
    <w:rsid w:val="143A553B"/>
    <w:rsid w:val="147F6DE6"/>
    <w:rsid w:val="148A4688"/>
    <w:rsid w:val="14BF54D9"/>
    <w:rsid w:val="14EF7E5E"/>
    <w:rsid w:val="16B43D36"/>
    <w:rsid w:val="18764A4E"/>
    <w:rsid w:val="18B91EC2"/>
    <w:rsid w:val="18C27971"/>
    <w:rsid w:val="18DC4807"/>
    <w:rsid w:val="195B4055"/>
    <w:rsid w:val="19C5529B"/>
    <w:rsid w:val="19FD67E3"/>
    <w:rsid w:val="1AC42704"/>
    <w:rsid w:val="1D150CCF"/>
    <w:rsid w:val="1D187DD7"/>
    <w:rsid w:val="1D5E3A3C"/>
    <w:rsid w:val="1DE2466D"/>
    <w:rsid w:val="1E414206"/>
    <w:rsid w:val="1E9F3AE5"/>
    <w:rsid w:val="1FE65F6B"/>
    <w:rsid w:val="203B5E14"/>
    <w:rsid w:val="210E5783"/>
    <w:rsid w:val="221875DE"/>
    <w:rsid w:val="22317971"/>
    <w:rsid w:val="22401962"/>
    <w:rsid w:val="2263022A"/>
    <w:rsid w:val="230744CF"/>
    <w:rsid w:val="23A73910"/>
    <w:rsid w:val="23DD2AE2"/>
    <w:rsid w:val="23ED4376"/>
    <w:rsid w:val="23FC6612"/>
    <w:rsid w:val="247753E3"/>
    <w:rsid w:val="252F5CBE"/>
    <w:rsid w:val="25AF1859"/>
    <w:rsid w:val="268C261C"/>
    <w:rsid w:val="27C748D4"/>
    <w:rsid w:val="284072ED"/>
    <w:rsid w:val="28956FF3"/>
    <w:rsid w:val="29FC35F2"/>
    <w:rsid w:val="2A8F756A"/>
    <w:rsid w:val="2AB25C52"/>
    <w:rsid w:val="2AC1560A"/>
    <w:rsid w:val="2AD25A69"/>
    <w:rsid w:val="2B0A5203"/>
    <w:rsid w:val="2BB05DAB"/>
    <w:rsid w:val="2CAD7B98"/>
    <w:rsid w:val="2CBF157B"/>
    <w:rsid w:val="2D1538FD"/>
    <w:rsid w:val="2D285697"/>
    <w:rsid w:val="2D4200B4"/>
    <w:rsid w:val="2D686211"/>
    <w:rsid w:val="2DC93154"/>
    <w:rsid w:val="2E441C50"/>
    <w:rsid w:val="2E5642BC"/>
    <w:rsid w:val="2E8157DC"/>
    <w:rsid w:val="2FB607B1"/>
    <w:rsid w:val="300F5DF8"/>
    <w:rsid w:val="306862DF"/>
    <w:rsid w:val="30953753"/>
    <w:rsid w:val="31F84007"/>
    <w:rsid w:val="33947BB0"/>
    <w:rsid w:val="347D551F"/>
    <w:rsid w:val="359162A7"/>
    <w:rsid w:val="368019CF"/>
    <w:rsid w:val="36CA1CEB"/>
    <w:rsid w:val="36E40C25"/>
    <w:rsid w:val="36F9770A"/>
    <w:rsid w:val="36FD3E6E"/>
    <w:rsid w:val="375C4AF6"/>
    <w:rsid w:val="37782507"/>
    <w:rsid w:val="377A2BC8"/>
    <w:rsid w:val="3824669B"/>
    <w:rsid w:val="38B7105E"/>
    <w:rsid w:val="38EB3CFF"/>
    <w:rsid w:val="395A03CB"/>
    <w:rsid w:val="39BA2652"/>
    <w:rsid w:val="39FE4624"/>
    <w:rsid w:val="3A40479E"/>
    <w:rsid w:val="3AEF7F72"/>
    <w:rsid w:val="3B8F1237"/>
    <w:rsid w:val="3C642299"/>
    <w:rsid w:val="3C6B3C84"/>
    <w:rsid w:val="3C771D51"/>
    <w:rsid w:val="3D0A471F"/>
    <w:rsid w:val="3DEE62BF"/>
    <w:rsid w:val="40057E25"/>
    <w:rsid w:val="4020339D"/>
    <w:rsid w:val="40561FE6"/>
    <w:rsid w:val="412C782A"/>
    <w:rsid w:val="414060D5"/>
    <w:rsid w:val="419F3D8D"/>
    <w:rsid w:val="41AE5D65"/>
    <w:rsid w:val="42035AB3"/>
    <w:rsid w:val="425F59DD"/>
    <w:rsid w:val="42664FBD"/>
    <w:rsid w:val="42796384"/>
    <w:rsid w:val="43141224"/>
    <w:rsid w:val="43804E78"/>
    <w:rsid w:val="439B0C97"/>
    <w:rsid w:val="446717B2"/>
    <w:rsid w:val="449308EA"/>
    <w:rsid w:val="44DF2E05"/>
    <w:rsid w:val="4508630E"/>
    <w:rsid w:val="45505AB1"/>
    <w:rsid w:val="469418BD"/>
    <w:rsid w:val="46BB335D"/>
    <w:rsid w:val="486A13EF"/>
    <w:rsid w:val="496409A7"/>
    <w:rsid w:val="4A396B13"/>
    <w:rsid w:val="4A7A3BB1"/>
    <w:rsid w:val="4B061818"/>
    <w:rsid w:val="4C724D60"/>
    <w:rsid w:val="4D5B1771"/>
    <w:rsid w:val="4E016FBE"/>
    <w:rsid w:val="4E8128E6"/>
    <w:rsid w:val="4E834801"/>
    <w:rsid w:val="4E9F1672"/>
    <w:rsid w:val="4F0C487A"/>
    <w:rsid w:val="4F20474C"/>
    <w:rsid w:val="4FFF40EF"/>
    <w:rsid w:val="50BC53A6"/>
    <w:rsid w:val="51491D32"/>
    <w:rsid w:val="51AC5384"/>
    <w:rsid w:val="52287B99"/>
    <w:rsid w:val="522B1438"/>
    <w:rsid w:val="52A00D45"/>
    <w:rsid w:val="53A72FD1"/>
    <w:rsid w:val="54913488"/>
    <w:rsid w:val="558B596C"/>
    <w:rsid w:val="56716AD1"/>
    <w:rsid w:val="56B2398C"/>
    <w:rsid w:val="56DF225E"/>
    <w:rsid w:val="56F02C50"/>
    <w:rsid w:val="572D3603"/>
    <w:rsid w:val="5751416C"/>
    <w:rsid w:val="57663953"/>
    <w:rsid w:val="577D023F"/>
    <w:rsid w:val="57A524DA"/>
    <w:rsid w:val="57A61E3F"/>
    <w:rsid w:val="58F3258A"/>
    <w:rsid w:val="594638DA"/>
    <w:rsid w:val="59D446EF"/>
    <w:rsid w:val="59EA0CA5"/>
    <w:rsid w:val="5B5F2152"/>
    <w:rsid w:val="5BED3C02"/>
    <w:rsid w:val="5CB176B6"/>
    <w:rsid w:val="5D400425"/>
    <w:rsid w:val="5D8660BC"/>
    <w:rsid w:val="5EB539D4"/>
    <w:rsid w:val="5F690D56"/>
    <w:rsid w:val="60634492"/>
    <w:rsid w:val="60A776BB"/>
    <w:rsid w:val="60E26EF2"/>
    <w:rsid w:val="60E40E0B"/>
    <w:rsid w:val="60E43825"/>
    <w:rsid w:val="61204131"/>
    <w:rsid w:val="612847F1"/>
    <w:rsid w:val="618D6C18"/>
    <w:rsid w:val="61AB4343"/>
    <w:rsid w:val="63367C3C"/>
    <w:rsid w:val="6373225F"/>
    <w:rsid w:val="63B35AA5"/>
    <w:rsid w:val="647E7AED"/>
    <w:rsid w:val="64947310"/>
    <w:rsid w:val="64B259E8"/>
    <w:rsid w:val="65C83D0E"/>
    <w:rsid w:val="65EE6530"/>
    <w:rsid w:val="6641232F"/>
    <w:rsid w:val="66C36130"/>
    <w:rsid w:val="66DC6071"/>
    <w:rsid w:val="6760797E"/>
    <w:rsid w:val="67802614"/>
    <w:rsid w:val="682D5AB2"/>
    <w:rsid w:val="69CB6724"/>
    <w:rsid w:val="69D16B06"/>
    <w:rsid w:val="69EC54F9"/>
    <w:rsid w:val="6A116F19"/>
    <w:rsid w:val="6B0213D8"/>
    <w:rsid w:val="6B046C57"/>
    <w:rsid w:val="6B963247"/>
    <w:rsid w:val="6CA20DBC"/>
    <w:rsid w:val="6CD52D07"/>
    <w:rsid w:val="6EF06378"/>
    <w:rsid w:val="6F2224AF"/>
    <w:rsid w:val="6F4057E2"/>
    <w:rsid w:val="6F502CF8"/>
    <w:rsid w:val="6F7559B0"/>
    <w:rsid w:val="6FFD54CC"/>
    <w:rsid w:val="6FFE6A23"/>
    <w:rsid w:val="70293AFD"/>
    <w:rsid w:val="703201DC"/>
    <w:rsid w:val="71957EDF"/>
    <w:rsid w:val="722717C4"/>
    <w:rsid w:val="72646574"/>
    <w:rsid w:val="73CD1EF7"/>
    <w:rsid w:val="74312841"/>
    <w:rsid w:val="74931D5C"/>
    <w:rsid w:val="74B10304"/>
    <w:rsid w:val="74DB2EA9"/>
    <w:rsid w:val="75495400"/>
    <w:rsid w:val="75751A18"/>
    <w:rsid w:val="7711649B"/>
    <w:rsid w:val="772946B2"/>
    <w:rsid w:val="775F5D11"/>
    <w:rsid w:val="77B0591B"/>
    <w:rsid w:val="788334CC"/>
    <w:rsid w:val="78A477E3"/>
    <w:rsid w:val="78A7420E"/>
    <w:rsid w:val="799A4E82"/>
    <w:rsid w:val="7B5D6256"/>
    <w:rsid w:val="7B937633"/>
    <w:rsid w:val="7BA45C33"/>
    <w:rsid w:val="7D317A4E"/>
    <w:rsid w:val="7D4C3D16"/>
    <w:rsid w:val="7DFA5F7A"/>
    <w:rsid w:val="7E374B3D"/>
    <w:rsid w:val="7E747B3F"/>
    <w:rsid w:val="7F4E4511"/>
    <w:rsid w:val="7FBD5807"/>
    <w:rsid w:val="7FEFEF2C"/>
    <w:rsid w:val="DDF5FD93"/>
    <w:rsid w:val="F9FD7F41"/>
    <w:rsid w:val="FAFEC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1"/>
    <w:pPr>
      <w:ind w:left="679"/>
      <w:outlineLvl w:val="2"/>
    </w:pPr>
    <w:rPr>
      <w:rFonts w:ascii="楷体" w:hAnsi="楷体" w:eastAsia="楷体"/>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index 8"/>
    <w:basedOn w:val="1"/>
    <w:next w:val="1"/>
    <w:qFormat/>
    <w:uiPriority w:val="0"/>
    <w:pPr>
      <w:ind w:left="2940"/>
    </w:pPr>
    <w:rPr>
      <w:rFonts w:ascii="Calibri" w:hAnsi="Calibri" w:eastAsia="宋体" w:cs="Arial"/>
    </w:rPr>
  </w:style>
  <w:style w:type="paragraph" w:styleId="5">
    <w:name w:val="annotation text"/>
    <w:basedOn w:val="1"/>
    <w:link w:val="37"/>
    <w:qFormat/>
    <w:uiPriority w:val="0"/>
    <w:pPr>
      <w:jc w:val="left"/>
    </w:pPr>
  </w:style>
  <w:style w:type="paragraph" w:styleId="6">
    <w:name w:val="Body Text"/>
    <w:basedOn w:val="1"/>
    <w:link w:val="31"/>
    <w:qFormat/>
    <w:uiPriority w:val="1"/>
    <w:pPr>
      <w:autoSpaceDE w:val="0"/>
      <w:autoSpaceDN w:val="0"/>
      <w:jc w:val="left"/>
    </w:pPr>
    <w:rPr>
      <w:rFonts w:ascii="宋体" w:hAnsi="宋体" w:eastAsia="宋体" w:cs="宋体"/>
      <w:kern w:val="0"/>
      <w:sz w:val="32"/>
      <w:szCs w:val="32"/>
      <w:lang w:val="zh-CN" w:bidi="zh-CN"/>
    </w:rPr>
  </w:style>
  <w:style w:type="paragraph" w:styleId="7">
    <w:name w:val="Balloon Text"/>
    <w:basedOn w:val="1"/>
    <w:link w:val="39"/>
    <w:semiHidden/>
    <w:unhideWhenUsed/>
    <w:qFormat/>
    <w:uiPriority w:val="0"/>
    <w:rPr>
      <w:sz w:val="18"/>
      <w:szCs w:val="18"/>
    </w:rPr>
  </w:style>
  <w:style w:type="paragraph" w:styleId="8">
    <w:name w:val="footer"/>
    <w:basedOn w:val="1"/>
    <w:link w:val="26"/>
    <w:qFormat/>
    <w:uiPriority w:val="99"/>
    <w:pPr>
      <w:tabs>
        <w:tab w:val="center" w:pos="4153"/>
        <w:tab w:val="right" w:pos="8306"/>
      </w:tabs>
      <w:snapToGrid w:val="0"/>
      <w:jc w:val="left"/>
    </w:pPr>
    <w:rPr>
      <w:sz w:val="18"/>
    </w:rPr>
  </w:style>
  <w:style w:type="paragraph" w:styleId="9">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0">
    <w:name w:val="index 9"/>
    <w:basedOn w:val="1"/>
    <w:next w:val="1"/>
    <w:qFormat/>
    <w:uiPriority w:val="0"/>
    <w:pPr>
      <w:ind w:left="3360"/>
    </w:pPr>
    <w:rPr>
      <w:rFonts w:ascii="Calibri" w:hAnsi="Calibri" w:eastAsia="宋体" w:cs="Arial"/>
    </w:rPr>
  </w:style>
  <w:style w:type="paragraph" w:styleId="11">
    <w:name w:val="Title"/>
    <w:basedOn w:val="1"/>
    <w:next w:val="1"/>
    <w:link w:val="24"/>
    <w:qFormat/>
    <w:uiPriority w:val="0"/>
    <w:pPr>
      <w:snapToGrid w:val="0"/>
      <w:spacing w:line="540" w:lineRule="exact"/>
      <w:jc w:val="center"/>
    </w:pPr>
    <w:rPr>
      <w:rFonts w:ascii="黑体" w:hAnsi="黑体" w:eastAsia="黑体" w:cs="Times New Roman"/>
      <w:b/>
      <w:kern w:val="0"/>
      <w:sz w:val="36"/>
      <w:szCs w:val="36"/>
    </w:rPr>
  </w:style>
  <w:style w:type="paragraph" w:styleId="12">
    <w:name w:val="annotation subject"/>
    <w:basedOn w:val="5"/>
    <w:next w:val="5"/>
    <w:link w:val="38"/>
    <w:semiHidden/>
    <w:unhideWhenUsed/>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rFonts w:ascii="Times New Roman" w:hAnsi="Times New Roman" w:eastAsia="宋体" w:cs="Times New Roman"/>
      <w:b/>
    </w:rPr>
  </w:style>
  <w:style w:type="character" w:styleId="17">
    <w:name w:val="Emphasis"/>
    <w:basedOn w:val="15"/>
    <w:qFormat/>
    <w:uiPriority w:val="20"/>
    <w:rPr>
      <w:i/>
      <w:iCs/>
    </w:rPr>
  </w:style>
  <w:style w:type="character" w:styleId="18">
    <w:name w:val="annotation reference"/>
    <w:basedOn w:val="15"/>
    <w:qFormat/>
    <w:uiPriority w:val="0"/>
    <w:rPr>
      <w:sz w:val="21"/>
      <w:szCs w:val="21"/>
    </w:rPr>
  </w:style>
  <w:style w:type="character" w:customStyle="1" w:styleId="19">
    <w:name w:val="标题 1 字符"/>
    <w:basedOn w:val="15"/>
    <w:link w:val="2"/>
    <w:qFormat/>
    <w:uiPriority w:val="0"/>
    <w:rPr>
      <w:rFonts w:asciiTheme="minorHAnsi" w:hAnsiTheme="minorHAnsi" w:eastAsiaTheme="minorEastAsia" w:cstheme="minorBidi"/>
      <w:b/>
      <w:bCs/>
      <w:kern w:val="44"/>
      <w:sz w:val="44"/>
      <w:szCs w:val="44"/>
    </w:rPr>
  </w:style>
  <w:style w:type="paragraph" w:customStyle="1" w:styleId="20">
    <w:name w:val="Normal_17"/>
    <w:next w:val="4"/>
    <w:qFormat/>
    <w:uiPriority w:val="0"/>
    <w:pPr>
      <w:spacing w:before="120" w:after="240"/>
      <w:jc w:val="both"/>
    </w:pPr>
    <w:rPr>
      <w:rFonts w:ascii="Calibri" w:hAnsi="Calibri" w:eastAsia="宋体" w:cs="Calibri"/>
      <w:sz w:val="22"/>
      <w:szCs w:val="22"/>
      <w:lang w:val="ru-RU" w:eastAsia="en-US" w:bidi="ar-SA"/>
    </w:rPr>
  </w:style>
  <w:style w:type="paragraph" w:customStyle="1" w:styleId="21">
    <w:name w:val="列出段落1"/>
    <w:next w:val="10"/>
    <w:qFormat/>
    <w:uiPriority w:val="0"/>
    <w:pPr>
      <w:widowControl w:val="0"/>
      <w:ind w:firstLine="200" w:firstLineChars="200"/>
      <w:jc w:val="both"/>
    </w:pPr>
    <w:rPr>
      <w:rFonts w:ascii="Calibri" w:hAnsi="Calibri" w:eastAsia="宋体" w:cs="Calibri"/>
      <w:kern w:val="2"/>
      <w:sz w:val="21"/>
      <w:szCs w:val="21"/>
      <w:lang w:val="en-US" w:eastAsia="zh-CN" w:bidi="ar-SA"/>
    </w:rPr>
  </w:style>
  <w:style w:type="character" w:customStyle="1" w:styleId="22">
    <w:name w:val="页眉 字符"/>
    <w:basedOn w:val="15"/>
    <w:link w:val="9"/>
    <w:qFormat/>
    <w:uiPriority w:val="0"/>
    <w:rPr>
      <w:rFonts w:asciiTheme="minorHAnsi" w:hAnsiTheme="minorHAnsi" w:eastAsiaTheme="minorEastAsia" w:cstheme="minorBidi"/>
      <w:kern w:val="2"/>
      <w:sz w:val="18"/>
      <w:szCs w:val="18"/>
    </w:rPr>
  </w:style>
  <w:style w:type="paragraph" w:customStyle="1" w:styleId="23">
    <w:name w:val="列出段落2"/>
    <w:basedOn w:val="1"/>
    <w:qFormat/>
    <w:uiPriority w:val="99"/>
    <w:pPr>
      <w:ind w:firstLine="420" w:firstLineChars="200"/>
    </w:pPr>
  </w:style>
  <w:style w:type="character" w:customStyle="1" w:styleId="24">
    <w:name w:val="标题 字符"/>
    <w:basedOn w:val="15"/>
    <w:link w:val="11"/>
    <w:qFormat/>
    <w:uiPriority w:val="0"/>
    <w:rPr>
      <w:rFonts w:ascii="黑体" w:hAnsi="黑体" w:eastAsia="黑体"/>
      <w:b/>
      <w:sz w:val="36"/>
      <w:szCs w:val="36"/>
    </w:rPr>
  </w:style>
  <w:style w:type="paragraph" w:customStyle="1" w:styleId="2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6">
    <w:name w:val="页脚 字符"/>
    <w:link w:val="8"/>
    <w:qFormat/>
    <w:uiPriority w:val="99"/>
    <w:rPr>
      <w:rFonts w:asciiTheme="minorHAnsi" w:hAnsiTheme="minorHAnsi" w:eastAsiaTheme="minorEastAsia" w:cstheme="minorBidi"/>
      <w:kern w:val="2"/>
      <w:sz w:val="18"/>
      <w:szCs w:val="24"/>
    </w:rPr>
  </w:style>
  <w:style w:type="character" w:customStyle="1" w:styleId="27">
    <w:name w:val="NormalCharacter"/>
    <w:semiHidden/>
    <w:qFormat/>
    <w:uiPriority w:val="0"/>
  </w:style>
  <w:style w:type="paragraph" w:customStyle="1" w:styleId="28">
    <w:name w:val="PlainText"/>
    <w:basedOn w:val="1"/>
    <w:qFormat/>
    <w:uiPriority w:val="0"/>
    <w:pPr>
      <w:jc w:val="left"/>
    </w:pPr>
    <w:rPr>
      <w:rFonts w:ascii="Calibri" w:hAnsi="Courier New"/>
      <w:kern w:val="0"/>
      <w:szCs w:val="21"/>
    </w:rPr>
  </w:style>
  <w:style w:type="paragraph" w:customStyle="1" w:styleId="29">
    <w:name w:val="Heading1"/>
    <w:basedOn w:val="1"/>
    <w:next w:val="1"/>
    <w:qFormat/>
    <w:uiPriority w:val="0"/>
    <w:pPr>
      <w:keepNext/>
      <w:keepLines/>
      <w:spacing w:before="340" w:after="330" w:line="578" w:lineRule="auto"/>
    </w:pPr>
    <w:rPr>
      <w:kern w:val="44"/>
      <w:sz w:val="44"/>
      <w:szCs w:val="44"/>
    </w:rPr>
  </w:style>
  <w:style w:type="paragraph" w:customStyle="1" w:styleId="30">
    <w:name w:val="UserStyle_5"/>
    <w:basedOn w:val="29"/>
    <w:qFormat/>
    <w:uiPriority w:val="0"/>
    <w:pPr>
      <w:spacing w:before="156" w:after="156" w:line="360" w:lineRule="auto"/>
    </w:pPr>
    <w:rPr>
      <w:rFonts w:eastAsia="黑体" w:cs="宋体"/>
      <w:sz w:val="32"/>
      <w:szCs w:val="20"/>
    </w:rPr>
  </w:style>
  <w:style w:type="character" w:customStyle="1" w:styleId="31">
    <w:name w:val="正文文本 字符"/>
    <w:basedOn w:val="15"/>
    <w:link w:val="6"/>
    <w:qFormat/>
    <w:uiPriority w:val="1"/>
    <w:rPr>
      <w:rFonts w:ascii="宋体" w:hAnsi="宋体" w:cs="宋体"/>
      <w:sz w:val="32"/>
      <w:szCs w:val="32"/>
      <w:lang w:val="zh-CN" w:bidi="zh-CN"/>
    </w:rPr>
  </w:style>
  <w:style w:type="paragraph" w:customStyle="1" w:styleId="32">
    <w:name w:val="样式 标题 1 + 段前: 0.5 行 段后: 0.5 行"/>
    <w:basedOn w:val="2"/>
    <w:qFormat/>
    <w:uiPriority w:val="0"/>
    <w:pPr>
      <w:widowControl/>
      <w:spacing w:before="156" w:after="156" w:line="360" w:lineRule="auto"/>
    </w:pPr>
    <w:rPr>
      <w:rFonts w:ascii="Times New Roman" w:hAnsi="Times New Roman" w:eastAsia="宋体" w:cs="宋体"/>
      <w:bCs w:val="0"/>
      <w:sz w:val="32"/>
      <w:szCs w:val="20"/>
    </w:rPr>
  </w:style>
  <w:style w:type="paragraph" w:customStyle="1" w:styleId="33">
    <w:name w:val="Table Paragraph"/>
    <w:basedOn w:val="1"/>
    <w:qFormat/>
    <w:uiPriority w:val="1"/>
  </w:style>
  <w:style w:type="table" w:customStyle="1" w:styleId="34">
    <w:name w:val="网格型1"/>
    <w:basedOn w:val="1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
    <w:name w:val="网格型2"/>
    <w:basedOn w:val="1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6">
    <w:name w:val="Revision"/>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7">
    <w:name w:val="批注文字 字符"/>
    <w:basedOn w:val="15"/>
    <w:link w:val="5"/>
    <w:qFormat/>
    <w:uiPriority w:val="0"/>
    <w:rPr>
      <w:rFonts w:asciiTheme="minorHAnsi" w:hAnsiTheme="minorHAnsi" w:eastAsiaTheme="minorEastAsia" w:cstheme="minorBidi"/>
      <w:kern w:val="2"/>
      <w:sz w:val="21"/>
      <w:szCs w:val="24"/>
    </w:rPr>
  </w:style>
  <w:style w:type="character" w:customStyle="1" w:styleId="38">
    <w:name w:val="批注主题 字符"/>
    <w:basedOn w:val="37"/>
    <w:link w:val="12"/>
    <w:semiHidden/>
    <w:qFormat/>
    <w:uiPriority w:val="0"/>
    <w:rPr>
      <w:rFonts w:asciiTheme="minorHAnsi" w:hAnsiTheme="minorHAnsi" w:eastAsiaTheme="minorEastAsia" w:cstheme="minorBidi"/>
      <w:b/>
      <w:bCs/>
      <w:kern w:val="2"/>
      <w:sz w:val="21"/>
      <w:szCs w:val="24"/>
    </w:rPr>
  </w:style>
  <w:style w:type="character" w:customStyle="1" w:styleId="39">
    <w:name w:val="批注框文本 字符"/>
    <w:basedOn w:val="15"/>
    <w:link w:val="7"/>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31</Pages>
  <Words>2424</Words>
  <Characters>13821</Characters>
  <Lines>115</Lines>
  <Paragraphs>32</Paragraphs>
  <TotalTime>33</TotalTime>
  <ScaleCrop>false</ScaleCrop>
  <LinksUpToDate>false</LinksUpToDate>
  <CharactersWithSpaces>16213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2023-05-19T03:24:00Z</dcterms:created>
  <dc:creator>刂\彗╮·訫</dc:creator>
  <cp:lastModifiedBy>蜜宝611</cp:lastModifiedBy>
  <dcterms:modified xsi:type="dcterms:W3CDTF">2023-11-25T02:55:09Z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F8DEABF941FD4AF897D6B383937C17BD</vt:lpwstr>
  </property>
</Properties>
</file>