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河南省高等职业教育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技能大赛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数字化设计与制造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赛项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教师赛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竞赛方案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  <w:r>
        <w:rPr>
          <w:rFonts w:ascii="Times New Roman" w:hAnsi="Times New Roman" w:eastAsia="黑体" w:cs="Times New Roman"/>
          <w:b w:val="0"/>
          <w:color w:val="auto"/>
          <w:szCs w:val="30"/>
        </w:rPr>
        <w:t>一、赛项名称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赛项名称：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数字化设计与制造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赛项组别：高职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组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竞赛形式：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赛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专业大类：装备制造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主办单位：河南省教育厅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承办单位：河南工业职业技术学院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报到及推荐住宿地点：另行通知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  <w:r>
        <w:rPr>
          <w:rFonts w:ascii="Times New Roman" w:hAnsi="Times New Roman" w:eastAsia="黑体" w:cs="Times New Roman"/>
          <w:b w:val="0"/>
          <w:color w:val="auto"/>
          <w:szCs w:val="30"/>
        </w:rPr>
        <w:t>二、竞赛目的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bookmarkStart w:id="0" w:name="_Hlk69776530"/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（一）产教融合，加快制造强国建设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赛项紧随制造业“智改数转”步伐，引入新知识、新技术、新工艺、新标准，以解决数字化生产的实际问题为导向，通过考察高职学生数字化设计与制造相关专业知识，数字化建模、创新设计、产品虚拟装配、协同设计与质量管理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增材制造设备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操作等能力，以及团队协作、质量、成本意识和职业道德规范等素养，全面提升高职学生服务建设制造强国、数字中国国家战略的能力，为推动经济社会绿色化、低碳化发展，构建新发展格局做出贡献。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（二）以赛促教，提高教育教学质量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赛项对接行业企业数字化设计与制造岗位实际工作过程，融入相关职业技能等级证书要求,“以赛促学、以赛促教”，培养学生数字化设计与制造实践能力和创新精神；深化“三教”改革，促进成果资源转化，提升“双师型”师资队伍建设水平，推动人才培养模式与课程体系改革，推动相关专业“岗课赛证”融通发展，促进校企合作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（三）对标立杆，看齐世界技能标准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赛项瞄准世界数字化设计与制造技术发展前沿，对接国际标准，借鉴世界技能大赛办赛机制，引导高职院校培养国家急需、国际水准、具有爱国情怀和具备精湛实践能力、创新能力的高质量、复合型技术技能人才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（四）营造氛围，大力弘扬工匠精神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赛项通过搭建公平公正、切磋技艺、展示技能的平台，表彰获奖选手，宣传技能人才的重要贡献和作用，引导全社会尊重、重视、关心技能人才的培养和成长，在全社会营造“人人出彩、技能强国”的时代风尚。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  <w:r>
        <w:rPr>
          <w:rFonts w:ascii="Times New Roman" w:hAnsi="Times New Roman" w:eastAsia="黑体" w:cs="Times New Roman"/>
          <w:b w:val="0"/>
          <w:color w:val="auto"/>
          <w:szCs w:val="30"/>
        </w:rPr>
        <w:t>三、参赛资格</w:t>
      </w:r>
    </w:p>
    <w:bookmarkEnd w:id="0"/>
    <w:p>
      <w:pPr>
        <w:pStyle w:val="24"/>
        <w:ind w:firstLine="560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参考国赛参赛规程要求，以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单人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方式进行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参赛（每队1人）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。每个参赛学校限报1队选手参赛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不设指导教师。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2.参赛选手为须为职业院校教龄2年以上（含）的在职教师。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3.凡在本赛项的往届全国职业院校技能大赛中获得一等奖的选手，不能再参加本次比赛。</w:t>
      </w:r>
    </w:p>
    <w:p>
      <w:pPr>
        <w:pStyle w:val="24"/>
        <w:ind w:firstLine="560"/>
        <w:jc w:val="distribut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人员变更：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0"/>
          <w:szCs w:val="30"/>
          <w:lang w:val="en-US" w:eastAsia="zh-CN" w:bidi="ar-SA"/>
        </w:rPr>
        <w:t>参赛选手报名获得确认后不得随意更换，如选手无法参赛，须于本赛项开赛10个工作日前出具书面说明并接受审核，竞赛开始后，不得更换参赛选手。</w:t>
      </w:r>
      <w:r>
        <w:rPr>
          <w:rFonts w:hint="eastAsia" w:ascii="仿宋_GB2312" w:hAnsi="仿宋_GB2312" w:eastAsia="仿宋_GB2312" w:cs="仿宋_GB2312"/>
          <w:sz w:val="30"/>
          <w:szCs w:val="30"/>
        </w:rPr>
        <w:t>若参赛选手个人因特殊原因不能参加比赛时，则视为自动放弃竞赛。报到时须携带学生证、身份证原件。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若参赛选手个人因特殊原因不能参加比赛时，则视为自动放弃竞赛。报到时须携带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工作证（或工作证明）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、身份证原件。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  <w:r>
        <w:rPr>
          <w:rFonts w:ascii="Times New Roman" w:hAnsi="Times New Roman" w:eastAsia="黑体" w:cs="Times New Roman"/>
          <w:b w:val="0"/>
          <w:color w:val="auto"/>
          <w:szCs w:val="30"/>
        </w:rPr>
        <w:t>四、参赛报名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TW"/>
          <w14:textFill>
            <w14:solidFill>
              <w14:schemeClr w14:val="tx1"/>
            </w14:solidFill>
          </w14:textFill>
        </w:rPr>
        <w:t>1.参赛院校须于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TW"/>
          <w14:textFill>
            <w14:solidFill>
              <w14:schemeClr w14:val="tx1"/>
            </w14:solidFill>
          </w14:textFill>
        </w:rPr>
        <w:t>日前登录河南省高职院校技能大赛报名系统（http://39.105.49.188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instrText xml:space="preserve"> HYPERLINK "http://39.105.49.188/" </w:instrTex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TW"/>
          <w14:textFill>
            <w14:solidFill>
              <w14:schemeClr w14:val="tx1"/>
            </w14:solidFill>
          </w14:textFill>
        </w:rPr>
        <w:t>），按要求填报并提交参赛信息。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各参赛校以学校为单位注册报名平台，专人负责报名工作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技术支持:张玺，电话:19837739696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0"/>
          <w:szCs w:val="30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0"/>
          <w:szCs w:val="30"/>
          <w:lang w:eastAsia="zh-TW"/>
          <w14:textFill>
            <w14:solidFill>
              <w14:schemeClr w14:val="tx1"/>
            </w14:solidFill>
          </w14:textFill>
        </w:rPr>
        <w:t>3.提交报名信息后，参赛院校从系统导出报名表、赛项汇总表，连同参赛选手身份证复印件、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工作证明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0"/>
          <w:szCs w:val="30"/>
          <w:lang w:eastAsia="zh-TW"/>
          <w14:textFill>
            <w14:solidFill>
              <w14:schemeClr w14:val="tx1"/>
            </w14:solidFill>
          </w14:textFill>
        </w:rPr>
        <w:t>并加盖公章报送或邮寄至承办学校（河南工业职业技术学院）。纸质报名材料接收截止时间为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TW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0"/>
          <w:szCs w:val="30"/>
          <w:lang w:eastAsia="zh-TW"/>
          <w14:textFill>
            <w14:solidFill>
              <w14:schemeClr w14:val="tx1"/>
            </w14:solidFill>
          </w14:textFill>
        </w:rPr>
        <w:t>，以邮戳时间为准。</w:t>
      </w:r>
      <w:bookmarkStart w:id="12" w:name="_GoBack"/>
      <w:bookmarkEnd w:id="12"/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  <w:t>邮寄地址：河南省南阳市杜诗路1666号河南工业职业技术学院；</w:t>
      </w:r>
      <w:bookmarkStart w:id="1" w:name="_Hlk85130474"/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  <w:t>邮编：473000；联系人：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徐佳辰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  <w:t>；联系电话：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15298370787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  <w:t>。</w:t>
      </w:r>
      <w:bookmarkEnd w:id="1"/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  <w:t>承办学校收到纸质报名材料，按国赛的要求认真审核参赛选手资格，审核通过报名成功。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  <w:r>
        <w:rPr>
          <w:rFonts w:ascii="Times New Roman" w:hAnsi="Times New Roman" w:eastAsia="黑体" w:cs="Times New Roman"/>
          <w:b w:val="0"/>
          <w:color w:val="auto"/>
          <w:szCs w:val="30"/>
        </w:rPr>
        <w:t>五、竞赛日程安排（具体以《参赛指南》为准）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  <w:t>竞赛时间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  <w:t>202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  <w:t>年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  <w:t>月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  <w:t>日报到，202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  <w:t>年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  <w:t>月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  <w:t>日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-11月26日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eastAsia="zh-TW"/>
        </w:rPr>
        <w:t>为竞赛时间。</w:t>
      </w:r>
    </w:p>
    <w:p>
      <w:pPr>
        <w:jc w:val="center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表1 竞赛日程安排表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3393"/>
        <w:gridCol w:w="4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339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55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1" w:type="dxa"/>
            <w:vMerge w:val="restart"/>
          </w:tcPr>
          <w:p>
            <w:pPr>
              <w:pStyle w:val="2"/>
              <w:ind w:left="0" w:leftChars="0" w:firstLine="0" w:firstLineChars="0"/>
              <w:rPr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339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10:00-15:30</w:t>
            </w:r>
          </w:p>
        </w:tc>
        <w:tc>
          <w:tcPr>
            <w:tcW w:w="4553" w:type="dxa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队伍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1" w:type="dxa"/>
            <w:vMerge w:val="continue"/>
          </w:tcPr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9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15:30-16:30</w:t>
            </w:r>
          </w:p>
        </w:tc>
        <w:tc>
          <w:tcPr>
            <w:tcW w:w="4553" w:type="dxa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领队会议及大赛场次抽签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1" w:type="dxa"/>
            <w:vMerge w:val="continue"/>
          </w:tcPr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9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16:30-17:30</w:t>
            </w:r>
          </w:p>
        </w:tc>
        <w:tc>
          <w:tcPr>
            <w:tcW w:w="4553" w:type="dxa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熟悉赛场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1" w:type="dxa"/>
            <w:vMerge w:val="restart"/>
          </w:tcPr>
          <w:p>
            <w:pPr>
              <w:pStyle w:val="2"/>
              <w:ind w:left="0" w:leftChars="0" w:firstLine="0" w:firstLineChars="0"/>
              <w:rPr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339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7:30-9:00</w:t>
            </w:r>
          </w:p>
        </w:tc>
        <w:tc>
          <w:tcPr>
            <w:tcW w:w="4553" w:type="dxa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参赛队到模块一赛场地集合、检录、加密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1" w:type="dxa"/>
            <w:vMerge w:val="continue"/>
          </w:tcPr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93" w:type="dxa"/>
          </w:tcPr>
          <w:p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4553" w:type="dxa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参赛选手完成模块一竞赛任务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1" w:type="dxa"/>
            <w:vMerge w:val="continue"/>
          </w:tcPr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93" w:type="dxa"/>
          </w:tcPr>
          <w:p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14:00-14:30</w:t>
            </w:r>
          </w:p>
        </w:tc>
        <w:tc>
          <w:tcPr>
            <w:tcW w:w="4553" w:type="dxa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参赛队到模块二赛场地集合、检录、加密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1" w:type="dxa"/>
            <w:vMerge w:val="continue"/>
          </w:tcPr>
          <w:p>
            <w:pPr>
              <w:pStyle w:val="2"/>
              <w:ind w:left="0" w:leftChars="0" w:firstLine="0" w:firstLineChars="0"/>
              <w:rPr>
                <w:vertAlign w:val="baseline"/>
              </w:rPr>
            </w:pPr>
          </w:p>
        </w:tc>
        <w:tc>
          <w:tcPr>
            <w:tcW w:w="3393" w:type="dxa"/>
            <w:vAlign w:val="top"/>
          </w:tcPr>
          <w:p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14:30-16:30</w:t>
            </w:r>
          </w:p>
        </w:tc>
        <w:tc>
          <w:tcPr>
            <w:tcW w:w="4553" w:type="dxa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模块二第1批次比赛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1" w:type="dxa"/>
            <w:vMerge w:val="continue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3393" w:type="dxa"/>
            <w:vAlign w:val="top"/>
          </w:tcPr>
          <w:p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17:00-19:00</w:t>
            </w:r>
          </w:p>
        </w:tc>
        <w:tc>
          <w:tcPr>
            <w:tcW w:w="4553" w:type="dxa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模块二第2批次比赛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1" w:type="dxa"/>
            <w:vMerge w:val="continue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3393" w:type="dxa"/>
            <w:vAlign w:val="top"/>
          </w:tcPr>
          <w:p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19:30-21:30</w:t>
            </w:r>
          </w:p>
        </w:tc>
        <w:tc>
          <w:tcPr>
            <w:tcW w:w="4553" w:type="dxa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评分、解密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41" w:type="dxa"/>
            <w:vMerge w:val="continue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3393" w:type="dxa"/>
            <w:vAlign w:val="top"/>
          </w:tcPr>
          <w:p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21:30-22:30</w:t>
            </w:r>
          </w:p>
        </w:tc>
        <w:tc>
          <w:tcPr>
            <w:tcW w:w="4553" w:type="dxa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成绩公示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楷体_GB2312" w:cs="Times New Roman"/>
          <w:sz w:val="30"/>
          <w:szCs w:val="30"/>
          <w:lang w:val="zh-TW"/>
        </w:rPr>
      </w:pP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注：模块二竞赛时间可视实际情况分批次完成，整体竞赛日程可按实际情况适当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延长，竞赛时间和地点安排以赛前发布赛项指南为准。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楷体_GB2312" w:cs="Times New Roman"/>
          <w:color w:val="auto"/>
          <w:sz w:val="30"/>
          <w:szCs w:val="30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</w:t>
      </w:r>
      <w:r>
        <w:rPr>
          <w:rFonts w:ascii="Times New Roman" w:hAnsi="Times New Roman" w:eastAsia="楷体_GB2312" w:cs="Times New Roman"/>
          <w:color w:val="auto"/>
          <w:sz w:val="30"/>
          <w:szCs w:val="30"/>
          <w:lang w:val="zh-TW"/>
        </w:rPr>
        <w:t>竞赛流程图</w:t>
      </w:r>
    </w:p>
    <w:p>
      <w:pPr>
        <w:spacing w:line="360" w:lineRule="auto"/>
        <w:ind w:firstLine="420" w:firstLineChars="200"/>
        <w:jc w:val="center"/>
        <w:rPr>
          <w:rFonts w:ascii="Times New Roman" w:hAnsi="Times New Roman" w:eastAsia="楷体_GB2312" w:cs="Times New Roman"/>
          <w:color w:val="auto"/>
          <w:sz w:val="30"/>
          <w:szCs w:val="30"/>
          <w:lang w:val="zh-TW"/>
        </w:rPr>
      </w:pPr>
      <w:r>
        <w:rPr>
          <w:color w:val="auto"/>
        </w:rPr>
        <w:drawing>
          <wp:inline distT="0" distB="0" distL="114300" distR="114300">
            <wp:extent cx="5265420" cy="4808855"/>
            <wp:effectExtent l="0" t="0" r="7620" b="698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rcRect r="856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8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  <w:r>
        <w:rPr>
          <w:rFonts w:ascii="Times New Roman" w:hAnsi="Times New Roman" w:eastAsia="黑体" w:cs="Times New Roman"/>
          <w:b w:val="0"/>
          <w:color w:val="auto"/>
          <w:szCs w:val="30"/>
        </w:rPr>
        <w:t>六、竞赛内容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1.竞赛内容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zh-TW" w:eastAsia="zh-TW" w:bidi="ar-SA"/>
        </w:rPr>
        <w:t>比赛共2个模块，分6个任务，总分为100分，竞赛总时长5小时。“模块一”为数字化设计，分为逆向建模与实物测量、创新设计与CAE分析、工程图绘制与产品展示3个竞赛任务，共计3个小时；“模块二”为数字化制造，主要完成协同设计与质量控制，产线运行与虚拟调试、3D打印与产品验证3个竞赛任务，共计2个小时。结合比赛过程，考核文明生产、规范操作、绿色环保、循环利用等职业素养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zh-TW" w:eastAsia="zh-TW" w:bidi="ar-SA"/>
        </w:rPr>
        <w:t>本赛项的所有电子图档均通过PLM系统进行提交，考核选手对信息化管理的应用能力。参赛选手登录PLM系统，根据提供的账号和密码下载资料，进行流程确立、设计管理，输出产品样机、虚拟装配仿真动画、图纸以及BOM信息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  <w:t>）模块一 数字化设计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  <w:t>任务1：逆向建模与实物测量（10分）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  <w:t>根据给定的STL文件，使用三维建模软件进行逆向建模，对给定产品的实物关键部位进行手工测量，获取产品重要尺寸信息。利用逆向建模和测绘建模的数据，对所有模型进行虚拟装配。考核选手对于STL的逆向建模能力和手工测量能力。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  <w:t>任务2：创新设计与CAE分析（30分）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  <w:t>根据任务1生成的三维模型、设计资料，结合机械设计相关知识，按任务书要求进行结构和功能创新设计与优化。然后对指定的零件进行CAE有限元力学分析，再对设计的产品进行虚拟装配与运动仿真，导出运动仿真动画。考核选手结构优化、功能创新设计和有限元力学分析能力。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  <w:t>任务3：工程图绘制与产品展示（20分）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  <w:t>根据数字化创新设计的最终结果模型，生成零件图和装配图，并输出爆炸图。选手从设计方案的人性化、美观性、合理性、可行性、工艺性、经济性等方面，根据设计任务要求采用图文结合的方式，阐述创新设计的思路及设计结果，编写设计方案说明书。考核选手绘制零件图、装配图和爆炸图的能力，以及展示产品特点的能力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  <w:t>）模块二 数字化制造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  <w:t>任务4：协同设计与质量控制（10分）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  <w:t>依托模块一成果文件进行产品BOM设计、图档管理和审批流程，输出图档（含产品样机）和BOM清单。依据产品中某个零件的数字化产线制造质量控制要求，开展SPC（统计过程控制）分析，形成质量控制分析报告。考核选手图档管理、数据分析和质量控制意识。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  <w:t>任务5：产线运行与虚拟调试（15分）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  <w:t>根据给定的企业制造部门生产线数字化模型，按照任务要求对生产线夹具进行改造，完成产线运行或机器人的虚拟调试。考核选手生产线的夹具改造和虚拟调试的能力。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  <w:t>任务6：3D打印与产品验证（15分）</w:t>
      </w:r>
    </w:p>
    <w:p>
      <w:pPr>
        <w:pStyle w:val="24"/>
        <w:ind w:firstLine="56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zh-TW" w:eastAsia="zh-TW" w:bidi="ar-SA"/>
        </w:rPr>
        <w:t>使用光固化3D打印设备和操作软件，对STL模型添加支撑，进行分层处理，输出3D打印数据文件。对打印设备进行调试，完成零件打印，对打印成型的产品进行后处理和装配验证。考核选手对3D打印数据处理能力、设备调试能力及装配验证能力。</w:t>
      </w:r>
    </w:p>
    <w:p>
      <w:pPr>
        <w:jc w:val="center"/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表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赛项模块、比赛时长及分值配比</w:t>
      </w:r>
    </w:p>
    <w:tbl>
      <w:tblPr>
        <w:tblStyle w:val="10"/>
        <w:tblW w:w="91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701"/>
        <w:gridCol w:w="4037"/>
        <w:gridCol w:w="989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模块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任务名称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主要内容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比赛时长(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>h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)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分值（分）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模块一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任务1：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逆向建模与实物测量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根据给定的STL文件，使用三维建模软件进行逆向建模，对给定产品的实物关键部位进行手工测量，获取产品重要尺寸信息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8"/>
              </w:rPr>
              <w:t>3h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任务2：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创新设计与CAE分析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对产品进行结构和功能创新设计与优化，对创新优化后的模型进行有限元力学分析，将优化后的三维零件重新虚拟装配，完成运动仿真并对产品创新设计进行验证</w:t>
            </w: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任务3：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工程图绘制与产品展示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根据数字化创新设计的最终模型，生成零件图和装配图，并输出爆炸图。编写设计方案说明书，突出创新设计和产品特点</w:t>
            </w: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模块二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任务4：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协同设计与质量控制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依托模块一成果文件进行产品BOM设计、图档管理和审批流程，输出图档（含产品样机）和BOM清单。依据数字化产线制造质量控制要求，开展SPC（统计过程控制）分析，形成质量控制分析报告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2h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任务5：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产线运行与虚拟调试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根据给定的企业制造部门生产线数字化模型，根据任务要求对生产线夹具改造，完成产线运行或机器人的虚拟调试</w:t>
            </w: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任务6：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3D打印与产品验证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使用光固化3D打印设备和操作软件，对STL模型添加支撑，进行分层处理，输出3D打印数据文件。对打印设备进行调试，完成零件打印，对打印成型的产品进行后处理和装配验证</w:t>
            </w: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  <w:t>素养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现场5S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文明生产、规范操作、绿色环保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  <w:t>2（倒扣分）</w:t>
            </w:r>
          </w:p>
        </w:tc>
      </w:tr>
    </w:tbl>
    <w:p>
      <w:pPr>
        <w:pStyle w:val="24"/>
        <w:ind w:left="0" w:leftChars="0" w:firstLine="0" w:firstLineChars="0"/>
        <w:rPr>
          <w:rFonts w:hint="eastAsia"/>
          <w:color w:val="auto"/>
        </w:rPr>
      </w:pP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  <w:r>
        <w:rPr>
          <w:rFonts w:ascii="Times New Roman" w:hAnsi="Times New Roman" w:eastAsia="黑体" w:cs="Times New Roman"/>
          <w:b w:val="0"/>
          <w:color w:val="auto"/>
          <w:szCs w:val="30"/>
        </w:rPr>
        <w:t>七、竞赛方式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竞赛模式：封闭式竞赛。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统一编制赛位号，参赛队须比赛前30分钟到赛项指定地点接受检录，抽取顺序号，进场抽签决定赛位号，抽签结束后，按照抽取的赛位号进场，在对应的赛位上完成竞赛任务。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比赛开始前 10 分钟进场完毕，选手检查所在比赛台位上的仪器设备是否完好、领取比赛任务书等材料。比赛结束后各参赛队停止操作，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比赛技术文档。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  <w:r>
        <w:rPr>
          <w:rFonts w:ascii="Times New Roman" w:hAnsi="Times New Roman" w:eastAsia="黑体" w:cs="Times New Roman"/>
          <w:b w:val="0"/>
          <w:color w:val="auto"/>
          <w:szCs w:val="30"/>
        </w:rPr>
        <w:t>八、竞赛规则</w:t>
      </w:r>
    </w:p>
    <w:p>
      <w:pPr>
        <w:snapToGrid w:val="0"/>
        <w:spacing w:before="156"/>
        <w:ind w:firstLine="600"/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</w:pPr>
      <w:bookmarkStart w:id="2" w:name="_Toc52626496"/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  <w:t>（一）赛题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赛项专家组负责本赛项赛题的编制工作。竞赛试题参照《202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年全国职业院校技能大赛（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数字化设计与制造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）赛项赛程》，具体详见《赛项规程》。</w:t>
      </w:r>
    </w:p>
    <w:bookmarkEnd w:id="2"/>
    <w:p>
      <w:pPr>
        <w:snapToGrid w:val="0"/>
        <w:spacing w:before="156"/>
        <w:ind w:firstLine="600"/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  <w:t>（二）赛前准备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1.熟悉场地：根据竞赛日程安排，参赛队在工作人员的带领下，携带有效身份证件，按照规定路线有序熟悉参赛场地。任何人员只得在指定区域观察，不得触碰赛位内物品。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2.领队会议：由各参赛队伍的领队参加，会议讲解竞赛注意事项并进行赛前答疑。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3.抽签仪式：领队会议上确定分批抽签，比赛前选手赛位抽签，通过抽签确定各参赛队的赛次工位。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参赛队入场：参赛选手应提前30分钟到达赛场，接受工作人员对选手身份、资格和有关证件的核验，赛位由抽签确定，不得擅自变更、调整；选手在竞赛过程中不得擅自离开赛场，如有特殊情况，须经裁判人员同意。选手不得将手机、无线上网卡、移动存储设备、资料等与竞赛无关的物品带入赛场。</w:t>
      </w:r>
    </w:p>
    <w:p>
      <w:pPr>
        <w:snapToGrid w:val="0"/>
        <w:spacing w:before="156"/>
        <w:ind w:firstLine="600"/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  <w:t>（三）赛场要求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bookmarkStart w:id="3" w:name="_Toc52626498"/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1.所有人员在赛场内不得有影响其他选手完成工作任务的行为，参赛选手不允许窜岗、窜位，使用文明用语，不得言语及人身攻击裁判和赛场工作人员。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选手须严格遵守安全操作规程，并接受裁判员的监督仲裁和警示，以确保参赛人身及设备安全。选手因个人误操作造成人身安全事故和设备故障时，裁判长有权中止该队比赛；如非选手个人因素出现设备故障而无法比赛，由裁判长视具体情况做出裁决（调换到备份赛位或调整至最后一场次参加比赛）；如裁判长确定设备故障可由技术支持人员排除故障后继续比赛，将给参赛选手补足所耽误的比赛时间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3.选手进入赛场后，不得擅自离开赛场，因病或其他原因离开赛场或终止比赛，应向裁判示意，须经赛场裁判长同意，并在赛场记录表上签字确认后，方可离开赛场并在赛场工作人员指引下到达指定地点。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4.选手须按照程序提交比赛结果，在比赛赛位的计算机规定文件夹内存储比赛文档，配合裁判做好赛场情况记录，并签字确认，裁判提出签名要求时，不得无故拒绝。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5.裁判长发布比赛结束指令后所有未完成任务参赛选手立即停止操作，按要求清理赛位，不得以任何理由拖延竞赛时间。</w:t>
      </w:r>
    </w:p>
    <w:p>
      <w:pPr>
        <w:snapToGrid w:val="0"/>
        <w:spacing w:before="156"/>
        <w:ind w:firstLine="600"/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  <w:t>（四）竞赛须知</w:t>
      </w:r>
      <w:bookmarkEnd w:id="3"/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模块一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  <w:t>赛段（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  <w:t>小时）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b/>
          <w:bCs/>
          <w:strike/>
          <w:dstrike w:val="0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（1）比赛结束前15分钟，裁判长提醒比赛即将结束，各参赛队应准备停止作业，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按照要求将技术文档提交指定位置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0"/>
          <w:szCs w:val="30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0"/>
          <w:szCs w:val="30"/>
          <w:lang w:val="zh-TW" w:eastAsia="zh-TW"/>
        </w:rPr>
        <w:t>提交后，选手回到原来工位进行现场清理工作，裁判员、技术人员检查文件是否完整后与各参赛队进行确认并签字。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（2）参赛选手不得将比赛任务书、图纸、草稿纸和工具等与比赛有关的物品带离赛场，选手必须经现场裁判员检查许可后方能离开赛。</w:t>
      </w:r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模块二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  <w:t>赛段（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TW" w:eastAsia="zh-TW"/>
        </w:rPr>
        <w:t>小时）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）参赛选手完成比赛任务时，应提请裁判员到比赛工位收取整套赛件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zh-TW" w:eastAsia="zh-TW"/>
        </w:rPr>
        <w:t>、U盘、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工艺文件及相关资料，并将以上赛件和文件装入专用袋密封；裁判员在规定位置写上参赛号，同时由参赛选手在比赛记录表上签字确认。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）参赛队结束比赛后，经竞赛工作人员现场清点检查仪器设备、工具等，并在完成现场清理后，参赛选手方可离开。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）参赛选手在竞赛期间未经组委会的批准，不得接受其他单位和个人进行的与竞赛内容相关的采访；参赛选手不得私自公开比赛相关资料。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）参赛选手不得将比赛任务书、图纸、草稿纸和工具等与比赛有关的物品带离赛场，选手必须经现场裁判员检查许可后方能离开赛场。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）参赛选手如对比赛裁决有异议，可以通过领队以书面形式向仲裁工作组提出申诉。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其他未尽事宜，将在赛前说明会向各领队做详细说明。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（五)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  <w:t>成绩评定及公布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比赛结束后由裁判组对各参赛队的竞赛任务逐项评分,裁判严格按照大赛制度要求和评分工作程序评定。记分员将解密后的各参赛队伍（选手）成绩汇总成比赛成绩，经裁判长、监督组签字后，向全体参赛队公布比赛结果。公布2小时无异议后，提交省教育厅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所有有关专家和裁判以及相关人员将签订保密协议，严格遵守保密纪律，不得私自透露比赛需保密的内容和比赛结果。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  <w:r>
        <w:rPr>
          <w:rFonts w:hint="eastAsia" w:ascii="Times New Roman" w:hAnsi="Times New Roman" w:eastAsia="黑体" w:cs="Times New Roman"/>
          <w:b w:val="0"/>
          <w:color w:val="auto"/>
          <w:szCs w:val="30"/>
          <w:lang w:val="en-US" w:eastAsia="zh-CN"/>
        </w:rPr>
        <w:t>九</w:t>
      </w:r>
      <w:r>
        <w:rPr>
          <w:rFonts w:ascii="Times New Roman" w:hAnsi="Times New Roman" w:eastAsia="黑体" w:cs="Times New Roman"/>
          <w:b w:val="0"/>
          <w:color w:val="auto"/>
          <w:szCs w:val="30"/>
        </w:rPr>
        <w:t>、竞赛环境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竞赛第一阶段赛场环境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每个赛位面积在3-4m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vertAlign w:val="superscript"/>
          <w:lang w:val="zh-TW" w:eastAsia="zh-TW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，赛位内布置电脑席1个（含计算机1台），赛位间进行隔离、互不干扰。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竞赛第二阶段赛场环境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每个赛位面积在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9-10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m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vertAlign w:val="superscript"/>
          <w:lang w:val="zh-TW" w:eastAsia="zh-TW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TW" w:eastAsia="zh-TW"/>
        </w:rPr>
        <w:t>赛位内布置电脑席1个（含计算机1台，LCD光固化3D打印机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1台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TW" w:eastAsia="zh-TW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TW" w:eastAsia="zh-TW"/>
        </w:rPr>
        <w:t>赛位间进行隔离、互不干扰。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赛场主通道宽2m，设有安全通道。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赛场提供稳定的水、电、气源和供电应急设备，并有设备维修和电力抢险人员待命。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赛场设维修服务、医疗、生活补给站等公共服务区，为选手和赛场人员提供服务。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赛事单元相对独立，确保选手独立开展比赛，不受外界影响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赛区内包括厕所、医疗点、维修服务站、生活补给站、垃圾分类收集点等都在警戒线范围内，确保大赛在相对安全的环境内进行。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  <w:r>
        <w:rPr>
          <w:rFonts w:ascii="Times New Roman" w:hAnsi="Times New Roman" w:eastAsia="黑体" w:cs="Times New Roman"/>
          <w:b w:val="0"/>
          <w:color w:val="auto"/>
          <w:szCs w:val="30"/>
        </w:rPr>
        <w:t>十、技术规范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本赛项设计符合以下国家标准，参赛队在实施竞赛项目中要求遵循如下规范：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  <w:t>职业标准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机械工程制图职业技能等级标准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机械数字化设计与制造职业技能等级标准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机器产品三维模型设计职业技能等级标准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精密数控加工职业技能等级标准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数控车铣加工职业技能等级标准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智能线运行与维护职业技能等级标准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智能制造生产管理与控制职业技能等级标准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数控设备维护与维修职业技能等级标准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增材制造模型设计职业技能等级标准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增材制造设备操作与维护职业技能等级标准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00" w:firstLineChars="1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  <w:t>教学标准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高等职业教育 工业设计专业教学标准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高等职业教育 数字化设计与制造专业教学标准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高等职业教育 机械设计与制造专业教学标准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高等职业教育 模具设计与制造专业教学标准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高等职业教育 机械制造与自动化专业教学标准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高等职业教育 内燃机制造与应用技术专业教学标准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高等职业教育 机械装备制造技术专业教学标准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高等职业教育 数控技术专业教学标准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高等职业教育 机电一体化技术教学标准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高等职业教育 工业工程技术教学标准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00" w:firstLineChars="1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  <w:t>技术标准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29310-2012 产品生命周期管理术语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29314-2012 产品生命周期管理数据交换格式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29320-2012 产品生命周期管理工具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26099.1-2010 机械产品三维建模通用规则 第1部分：通用要求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26099.2-2010 机械产品三维建模通用规则 第2部分：零件建模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26099.3-2010 机械产品三维建模通用规则 第3部分：装配建模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26100-2010 机械产品数字样机通用要求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33582-2017 机械产品结构有限元力学分析通用规则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 18568-2001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ab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加工中心 安全防护技术条件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15236-2008 职业安全卫生术语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1008-2008  机械加工工艺装备基本术语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6477-2008 金属切削机床 术语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4863-2008 机械制造工艺基本术语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12204-2010 金属切削 基本术语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18726-2011 现代设计工程集成技术的软件接口规范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30174-2013 机械安全 术语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35076-2018 机械安全 生产设备安全通则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39247-2020 增材制造 金属制件热处理工艺规范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39328-2020 增材制造 塑料材料挤出成形工艺规范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39329-2020 增材制造 测试方法 标准测试件精度检验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GB/T 39331-2020 增材制造 数据处理通则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  <w:r>
        <w:rPr>
          <w:rFonts w:ascii="Times New Roman" w:hAnsi="Times New Roman" w:eastAsia="黑体" w:cs="Times New Roman"/>
          <w:b w:val="0"/>
          <w:color w:val="auto"/>
          <w:szCs w:val="30"/>
        </w:rPr>
        <w:t>十</w:t>
      </w:r>
      <w:r>
        <w:rPr>
          <w:rFonts w:hint="eastAsia" w:ascii="Times New Roman" w:hAnsi="Times New Roman" w:eastAsia="黑体" w:cs="Times New Roman"/>
          <w:b w:val="0"/>
          <w:color w:val="auto"/>
          <w:szCs w:val="30"/>
          <w:lang w:val="en-US" w:eastAsia="zh-CN"/>
        </w:rPr>
        <w:t>一</w:t>
      </w:r>
      <w:r>
        <w:rPr>
          <w:rFonts w:ascii="Times New Roman" w:hAnsi="Times New Roman" w:eastAsia="黑体" w:cs="Times New Roman"/>
          <w:b w:val="0"/>
          <w:color w:val="auto"/>
          <w:szCs w:val="30"/>
        </w:rPr>
        <w:t>、技术平台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00" w:firstLineChars="1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</w:pPr>
      <w:bookmarkStart w:id="4" w:name="_Toc52618704"/>
      <w:bookmarkStart w:id="5" w:name="_Toc52626500"/>
      <w:bookmarkStart w:id="6" w:name="_Toc52618252"/>
      <w:bookmarkStart w:id="7" w:name="_Toc52618567"/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zh-TW" w:eastAsia="zh-TW"/>
        </w:rPr>
        <w:t>（一）竞赛软件平台</w:t>
      </w:r>
      <w:bookmarkEnd w:id="4"/>
      <w:bookmarkEnd w:id="5"/>
      <w:bookmarkEnd w:id="6"/>
      <w:bookmarkEnd w:id="7"/>
    </w:p>
    <w:p>
      <w:pPr>
        <w:adjustRightInd w:val="0"/>
        <w:snapToGrid w:val="0"/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TW" w:eastAsia="zh-TW"/>
        </w:rPr>
        <w:t>1.预装软件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TW"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1）操作系统：MS-Windows 10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TW"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zh-TW"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文字处理软件：MS-Office 2016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TW"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val="zh-TW"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模块一</w:t>
      </w:r>
      <w:r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软件：中望3D平台设计教育版软件V202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（含CAE)、中望CAD机械教育版软件V202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TW"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zh-TW"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模块二</w:t>
      </w:r>
      <w:r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软件：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ZWTeamworks V2023、</w:t>
      </w:r>
      <w:r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中望3D平台设计教育版软件V202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（含后处理）</w:t>
      </w:r>
      <w:bookmarkStart w:id="8" w:name="_Toc52618253"/>
      <w:bookmarkStart w:id="9" w:name="_Toc52618568"/>
      <w:bookmarkStart w:id="10" w:name="_Toc52618705"/>
      <w:bookmarkStart w:id="11" w:name="_Toc52626501"/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sz w:val="30"/>
          <w:szCs w:val="30"/>
          <w:lang w:val="zh-TW" w:eastAsia="zh-TW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zh-TW" w:eastAsia="zh-TW"/>
        </w:rPr>
        <w:t>（二）竞赛硬件平台</w:t>
      </w:r>
      <w:bookmarkEnd w:id="8"/>
      <w:bookmarkEnd w:id="9"/>
      <w:bookmarkEnd w:id="10"/>
      <w:bookmarkEnd w:id="11"/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1.计算机硬件配置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i7处理器/16G内存/120G硬盘/2G独显/21寸LED显示器。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光固化打印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设备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比赛用的LCD光固化3D打印机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，主要参数见表3。</w:t>
      </w:r>
    </w:p>
    <w:p>
      <w:pPr>
        <w:jc w:val="center"/>
        <w:rPr>
          <w:rFonts w:hint="eastAsia" w:ascii="Times New Roman" w:hAnsi="Times New Roman" w:eastAsia="黑体" w:cs="Times New Roman"/>
          <w:strike w:val="0"/>
          <w:dstrike w:val="0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strike w:val="0"/>
          <w:dstrike w:val="0"/>
          <w:color w:val="auto"/>
          <w:sz w:val="28"/>
          <w:szCs w:val="28"/>
        </w:rPr>
        <w:t>表</w:t>
      </w:r>
      <w:r>
        <w:rPr>
          <w:rFonts w:hint="eastAsia" w:ascii="Times New Roman" w:hAnsi="Times New Roman" w:eastAsia="黑体" w:cs="Times New Roman"/>
          <w:strike w:val="0"/>
          <w:dstrike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trike w:val="0"/>
          <w:dstrike w:val="0"/>
          <w:color w:val="auto"/>
          <w:sz w:val="28"/>
          <w:szCs w:val="28"/>
        </w:rPr>
        <w:t xml:space="preserve"> LCD光固化3D打印机主要参数一览表</w:t>
      </w:r>
    </w:p>
    <w:tbl>
      <w:tblPr>
        <w:tblStyle w:val="11"/>
        <w:tblW w:w="7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9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69" w:type="dxa"/>
          </w:tcPr>
          <w:p>
            <w:pPr>
              <w:spacing w:before="80"/>
              <w:ind w:firstLine="480" w:firstLineChars="200"/>
              <w:jc w:val="center"/>
              <w:rPr>
                <w:rFonts w:hint="default" w:ascii="Times New Roman" w:hAnsi="Times New Roman" w:eastAsia="黑体" w:cs="Times New Roman"/>
                <w:strike w:val="0"/>
                <w:dstrike w:val="0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trike w:val="0"/>
                <w:dstrike w:val="0"/>
                <w:color w:val="auto"/>
                <w:sz w:val="24"/>
              </w:rPr>
              <w:t>项目</w:t>
            </w:r>
          </w:p>
        </w:tc>
        <w:tc>
          <w:tcPr>
            <w:tcW w:w="3905" w:type="dxa"/>
          </w:tcPr>
          <w:p>
            <w:pPr>
              <w:spacing w:before="80"/>
              <w:jc w:val="center"/>
              <w:rPr>
                <w:rFonts w:hint="default" w:ascii="Times New Roman" w:hAnsi="Times New Roman" w:eastAsia="黑体" w:cs="Times New Roman"/>
                <w:strike w:val="0"/>
                <w:dstrike w:val="0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trike w:val="0"/>
                <w:dstrike w:val="0"/>
                <w:color w:val="auto"/>
                <w:sz w:val="24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成型空间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228mm（长）×135mm（宽）×248mm（高）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成型精度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±0.1mm（L≤100mm）或±0.1%×L（L＞100mm）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Z轴精度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0.0125mm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打印速度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≥20mm/h（Z轴）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打印层厚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0.01mm～0.2mm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支持的数据格式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STL/OBJ/SLC/CWS/CTB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成型耗材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405nm水洗光固化树脂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联机方式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 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机器尺寸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620mm（长）×500mm（宽）×1450mm（高）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包装尺寸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.比赛用的加工附品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zh-TW" w:eastAsia="zh-CN"/>
        </w:rPr>
        <w:t>（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zh-TW" w:eastAsia="zh-CN"/>
        </w:rPr>
        <w:t>）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光敏树脂；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（2）清洗箱；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（3）尖口钳、油灰刀及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zh-TW" w:eastAsia="zh-TW"/>
        </w:rPr>
        <w:t>手套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zh-TW" w:eastAsia="zh-CN"/>
        </w:rPr>
        <w:t>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TW" w:eastAsia="zh-TW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选手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自备量具、光固化后处理工具</w:t>
      </w:r>
      <w:r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，详细清单开赛前公布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。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  <w:r>
        <w:rPr>
          <w:rFonts w:ascii="Times New Roman" w:hAnsi="Times New Roman" w:eastAsia="黑体" w:cs="Times New Roman"/>
          <w:b w:val="0"/>
          <w:color w:val="auto"/>
          <w:szCs w:val="30"/>
        </w:rPr>
        <w:t>十</w:t>
      </w:r>
      <w:r>
        <w:rPr>
          <w:rFonts w:hint="eastAsia" w:ascii="Times New Roman" w:hAnsi="Times New Roman" w:eastAsia="黑体" w:cs="Times New Roman"/>
          <w:b w:val="0"/>
          <w:color w:val="auto"/>
          <w:szCs w:val="30"/>
          <w:lang w:val="en-US" w:eastAsia="zh-CN"/>
        </w:rPr>
        <w:t>二</w:t>
      </w:r>
      <w:r>
        <w:rPr>
          <w:rFonts w:ascii="Times New Roman" w:hAnsi="Times New Roman" w:eastAsia="黑体" w:cs="Times New Roman"/>
          <w:b w:val="0"/>
          <w:color w:val="auto"/>
          <w:szCs w:val="30"/>
        </w:rPr>
        <w:t>、成绩评定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（一）评分方法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裁判组实行“裁判长负责制”，设裁判长1名，全面负责赛项的裁判与管理工作。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裁判员根据比赛工作需要分为检录裁判、加密裁判、现场裁判和评分裁判，检录裁判、加密裁判、现场裁判不得参与评分工作。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检录裁判负责对参赛队伍（选手）进行点名登记、身份核对等工作；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加密裁判负责组织参赛队伍（选手）抽签并对参赛队伍（选手）的信息、产品、现场记录数据进行加密、解密；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现场裁判按规定做好赛场记录，维护赛场纪律；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评分裁判负责对参赛队伍（选手）的技能展示、现场记录数据、操作规范和竞赛作品等按赛项评分标准进行评定。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赛项裁判组负责赛项成绩评定工作，现场裁判由3位裁判员组成并设组长1名，组长协调，组员互助，现场裁判对操作行为进行记录，不予以评判；评分裁判员按3人一组，对现场裁判的记录、设计的参数、程序、产品质量进行流水线评判；赛前对裁判进行一定的培训，统一执裁标准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4.采取分步得分、错误不传递、累计总分的计分方式。分别计算环节得分，按规定比例计入总分。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5.在竞赛时段，参赛选手如有不服从裁判和监考、扰乱赛场秩序等不文明行为的，情节严重的取消比赛资格，参赛队比赛成绩以0分计。参赛选手有作弊行为的，参赛队比赛成绩以0分计。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（二）评分标准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根据赛题的竞赛内容设置评分标准，主要考察选手的基本知识，职业技能和职业素养等，具体评分标准见下表所示。</w:t>
      </w:r>
    </w:p>
    <w:p>
      <w:pPr>
        <w:jc w:val="center"/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表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评分标准</w:t>
      </w:r>
    </w:p>
    <w:tbl>
      <w:tblPr>
        <w:tblStyle w:val="10"/>
        <w:tblW w:w="0" w:type="auto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3120"/>
        <w:gridCol w:w="378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ind w:right="210" w:rightChars="10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8"/>
              </w:rPr>
              <w:t>序号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adjustRightInd w:val="0"/>
              <w:snapToGrid w:val="0"/>
              <w:ind w:right="210" w:rightChars="10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8"/>
              </w:rPr>
              <w:t>赛项任务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adjustRightInd w:val="0"/>
              <w:snapToGrid w:val="0"/>
              <w:ind w:right="210" w:rightChars="10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8"/>
              </w:rPr>
              <w:t>考核点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adjustRightInd w:val="0"/>
              <w:snapToGrid w:val="0"/>
              <w:ind w:right="210" w:rightChars="10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8"/>
              </w:rPr>
              <w:t>评分模式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pStyle w:val="2"/>
              <w:spacing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4"/>
              </w:rPr>
              <w:t>1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任务1：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逆向建模与实物测量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考核选手对于 STL 的逆向建模、虚拟装配、手工测量能力</w:t>
            </w: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pStyle w:val="2"/>
              <w:spacing w:line="240" w:lineRule="auto"/>
              <w:ind w:left="0" w:firstLine="0"/>
              <w:jc w:val="center"/>
              <w:rPr>
                <w:rFonts w:ascii="仿宋_GB2312" w:hAnsi="仿宋_GB2312" w:eastAsia="仿宋_GB2312" w:cs="仿宋_GB2312"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4"/>
              </w:rPr>
              <w:t>结果评分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pStyle w:val="2"/>
              <w:spacing w:line="240" w:lineRule="auto"/>
              <w:ind w:left="0" w:firstLine="0"/>
              <w:jc w:val="center"/>
              <w:rPr>
                <w:rFonts w:ascii="仿宋_GB2312" w:hAnsi="仿宋_GB2312" w:eastAsia="仿宋_GB2312" w:cs="仿宋_GB2312"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4"/>
              </w:rPr>
              <w:t>2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任务2：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创新设计与CAE分析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考核选手结构优化、功能创新的设计能力、有限元分析能力</w:t>
            </w: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ascii="仿宋_GB2312" w:hAnsi="仿宋_GB2312" w:eastAsia="仿宋_GB2312" w:cs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pStyle w:val="2"/>
              <w:spacing w:line="240" w:lineRule="auto"/>
              <w:ind w:left="0" w:firstLine="0"/>
              <w:jc w:val="center"/>
              <w:rPr>
                <w:rFonts w:ascii="仿宋_GB2312" w:hAnsi="仿宋_GB2312" w:eastAsia="仿宋_GB2312" w:cs="仿宋_GB2312"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4"/>
              </w:rPr>
              <w:t>3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任务3：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工程图绘制与产品展示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考核选手绘制零件图、装配图、爆炸图和产品渲染能力，以及展示产品特点的能力</w:t>
            </w: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ascii="仿宋_GB2312" w:hAnsi="仿宋_GB2312" w:eastAsia="仿宋_GB2312" w:cs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pStyle w:val="2"/>
              <w:spacing w:line="240" w:lineRule="auto"/>
              <w:ind w:left="0" w:firstLine="0"/>
              <w:jc w:val="center"/>
              <w:rPr>
                <w:rFonts w:ascii="仿宋_GB2312" w:hAnsi="仿宋_GB2312" w:eastAsia="仿宋_GB2312" w:cs="仿宋_GB2312"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4"/>
              </w:rPr>
              <w:t>4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任务4：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协同设计与质量控制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考核选手图档管理、数据分析和质量控制意识</w:t>
            </w: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ascii="仿宋_GB2312" w:hAnsi="仿宋_GB2312" w:eastAsia="仿宋_GB2312" w:cs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pStyle w:val="2"/>
              <w:spacing w:line="240" w:lineRule="auto"/>
              <w:ind w:left="0" w:firstLine="0"/>
              <w:jc w:val="center"/>
              <w:rPr>
                <w:rFonts w:ascii="仿宋_GB2312" w:hAnsi="仿宋_GB2312" w:eastAsia="仿宋_GB2312" w:cs="仿宋_GB2312"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4"/>
              </w:rPr>
              <w:t>5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任务5：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产线运行与虚拟调试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考核选手生产线的夹具改造和虚拟调试的能力</w:t>
            </w: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ind w:left="0" w:firstLine="0"/>
              <w:jc w:val="center"/>
              <w:rPr>
                <w:rFonts w:ascii="仿宋_GB2312" w:hAnsi="仿宋_GB2312" w:eastAsia="仿宋_GB2312" w:cs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pStyle w:val="2"/>
              <w:spacing w:line="240" w:lineRule="auto"/>
              <w:ind w:left="0" w:firstLine="0"/>
              <w:jc w:val="center"/>
              <w:rPr>
                <w:rFonts w:ascii="仿宋_GB2312" w:hAnsi="仿宋_GB2312" w:eastAsia="仿宋_GB2312" w:cs="仿宋_GB2312"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4"/>
              </w:rPr>
              <w:t>6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任务6：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3D打印与产品验证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right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考核选手对 3D 打印数据处理能力、设备调试能力及装配验证能力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pStyle w:val="2"/>
              <w:spacing w:line="240" w:lineRule="auto"/>
              <w:ind w:left="0" w:firstLine="0"/>
              <w:jc w:val="center"/>
              <w:rPr>
                <w:rFonts w:ascii="仿宋_GB2312" w:hAnsi="仿宋_GB2312" w:eastAsia="仿宋_GB2312" w:cs="仿宋_GB2312"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Cs w:val="24"/>
              </w:rPr>
              <w:t>结果评分+过程评分</w:t>
            </w:r>
          </w:p>
        </w:tc>
      </w:tr>
    </w:tbl>
    <w:p>
      <w:pPr>
        <w:pStyle w:val="7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560" w:lineRule="exact"/>
        <w:ind w:firstLine="600" w:firstLineChars="200"/>
        <w:jc w:val="left"/>
        <w:textAlignment w:val="auto"/>
        <w:rPr>
          <w:rFonts w:hint="eastAsia" w:ascii="Times New Roman" w:hAnsi="Times New Roman" w:eastAsia="黑体" w:cs="Times New Roman"/>
          <w:b w:val="0"/>
          <w:color w:val="auto"/>
          <w:szCs w:val="30"/>
        </w:rPr>
      </w:pPr>
      <w:r>
        <w:rPr>
          <w:rFonts w:hint="eastAsia" w:ascii="Times New Roman" w:hAnsi="Times New Roman" w:eastAsia="黑体" w:cs="Times New Roman"/>
          <w:b w:val="0"/>
          <w:color w:val="auto"/>
          <w:szCs w:val="30"/>
        </w:rPr>
        <w:t>十</w:t>
      </w:r>
      <w:r>
        <w:rPr>
          <w:rFonts w:hint="eastAsia" w:ascii="Times New Roman" w:hAnsi="Times New Roman" w:eastAsia="黑体" w:cs="Times New Roman"/>
          <w:b w:val="0"/>
          <w:color w:val="auto"/>
          <w:szCs w:val="30"/>
          <w:lang w:val="en-US" w:eastAsia="zh-CN"/>
        </w:rPr>
        <w:t>三</w:t>
      </w:r>
      <w:r>
        <w:rPr>
          <w:rFonts w:hint="eastAsia" w:ascii="Times New Roman" w:hAnsi="Times New Roman" w:eastAsia="黑体" w:cs="Times New Roman"/>
          <w:b w:val="0"/>
          <w:color w:val="auto"/>
          <w:szCs w:val="30"/>
        </w:rPr>
        <w:t>、奖项设置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按照2023年河南省高等职业教育技能大赛文件执行。</w:t>
      </w:r>
    </w:p>
    <w:p>
      <w:pPr>
        <w:pStyle w:val="7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kern w:val="0"/>
          <w:szCs w:val="30"/>
        </w:rPr>
      </w:pPr>
      <w:r>
        <w:rPr>
          <w:rFonts w:ascii="Times New Roman" w:hAnsi="Times New Roman" w:eastAsia="黑体" w:cs="Times New Roman"/>
          <w:b w:val="0"/>
          <w:color w:val="auto"/>
          <w:kern w:val="0"/>
          <w:szCs w:val="30"/>
        </w:rPr>
        <w:t>十</w:t>
      </w:r>
      <w:r>
        <w:rPr>
          <w:rFonts w:hint="eastAsia" w:ascii="Times New Roman" w:hAnsi="Times New Roman" w:eastAsia="黑体" w:cs="Times New Roman"/>
          <w:b w:val="0"/>
          <w:color w:val="auto"/>
          <w:szCs w:val="30"/>
          <w:lang w:val="en-US" w:eastAsia="zh-CN"/>
        </w:rPr>
        <w:t>四</w:t>
      </w:r>
      <w:r>
        <w:rPr>
          <w:rFonts w:ascii="Times New Roman" w:hAnsi="Times New Roman" w:eastAsia="黑体" w:cs="Times New Roman"/>
          <w:b w:val="0"/>
          <w:color w:val="auto"/>
          <w:szCs w:val="30"/>
        </w:rPr>
        <w:t>、赛项安全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赛事安全是技能竞赛一切工作顺利开展的先决条件，是赛事筹备和运行工作必须考虑的核心问题。赛项工作组采取切实有效措施，保证大赛期间的参赛选手、裁判员、工作人员的人身安全。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（一）比赛环境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1.赛前组织专人对比赛现场、住宿场所和交通保障进行考察，并对安全工作提出明确要求。赛场的布置，赛场内的器材、设备，符合国家有关安全规定。承办单位赛前将按照执委会要求排除安全隐患。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2.赛场周围设立警戒线，防止无关人员进入发生意外事件。比赛现场内的每个工位安全操作规范。选手进场后开赛前，裁判长将统一进行告知。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3.承办院校制定赛场用电预案。现场提供医疗和消防安全保障。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4.严格控制与参赛无关的易燃易爆以及各类危险品进入比赛场地，不许随便携带书包进入赛场。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5.大赛期间工作组须在比赛管理的关键岗位增加力量，建立安全管理机制。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（二）组队责任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1.各学校组织代表队时，须为参赛选手购买大赛期间的人身意外伤害保险，有效期必须为大赛举行期间，不得以其他长期保险代替。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2.各学校代表队组成后，须制定相关管理制度，并对所有选手进行安全教育。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3.各参赛队伍须加强对参与比赛人员的安全管理，实现与赛场安全管理的对接。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（三）应急处理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比赛期间发生意外事故，发现者应第一时间报告赛项执委会，同时采取措施避免事态扩大。赛项执委会应立即启动预案予以解决并报告赛区执委会。赛项出现重大安全问题可以停赛，是否停赛由赛区组委会决定。事后，赛区执委会应向大赛执委会报告详细情况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（四）处罚措施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1.因参赛队伍原因造成重大安全事故的，取消其获奖资格。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2.参赛队伍有发生重大安全事故隐患，经赛场工作人员提示、警告无效的，可取消其继续比赛的资格。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3.赛事工作人员违规的，按照相应的制度追究责任。情节恶劣并造成重大安全事故的，由司法机关追究相应法律责任。</w:t>
      </w:r>
    </w:p>
    <w:p>
      <w:pPr>
        <w:pStyle w:val="7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560" w:lineRule="exact"/>
        <w:ind w:firstLine="600" w:firstLineChars="200"/>
        <w:jc w:val="left"/>
        <w:textAlignment w:val="auto"/>
        <w:rPr>
          <w:rFonts w:ascii="Times New Roman" w:hAnsi="Times New Roman" w:eastAsia="黑体" w:cs="Times New Roman"/>
          <w:b w:val="0"/>
          <w:color w:val="auto"/>
          <w:szCs w:val="30"/>
        </w:rPr>
      </w:pPr>
      <w:r>
        <w:rPr>
          <w:rFonts w:ascii="Times New Roman" w:hAnsi="Times New Roman" w:eastAsia="黑体" w:cs="Times New Roman"/>
          <w:b w:val="0"/>
          <w:color w:val="auto"/>
          <w:szCs w:val="30"/>
        </w:rPr>
        <w:t>十</w:t>
      </w:r>
      <w:r>
        <w:rPr>
          <w:rFonts w:hint="eastAsia" w:ascii="Times New Roman" w:hAnsi="Times New Roman" w:eastAsia="黑体" w:cs="Times New Roman"/>
          <w:b w:val="0"/>
          <w:color w:val="auto"/>
          <w:szCs w:val="30"/>
          <w:lang w:val="en-US" w:eastAsia="zh-CN"/>
        </w:rPr>
        <w:t>五</w:t>
      </w:r>
      <w:r>
        <w:rPr>
          <w:rFonts w:ascii="Times New Roman" w:hAnsi="Times New Roman" w:eastAsia="黑体" w:cs="Times New Roman"/>
          <w:b w:val="0"/>
          <w:color w:val="auto"/>
          <w:szCs w:val="30"/>
        </w:rPr>
        <w:t>、申诉与仲裁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1.本赛项在竞赛过程中若出现有失公正或有关人员违规等现象，参赛队领队可在本场比赛结束后2小时之内向赛项仲裁组提出书面申诉。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2.书面申诉应对申诉事件的现象、发生时间、涉及人员、申诉依据等进行充分、实事求是的叙述，并由领队亲笔签名。非书面申诉不予受理。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赛项仲裁组在接到申诉报告后的2小时内组织复议仲裁，并及时将仲裁结果以书面形式通知申诉方。申诉方对复议结果仍有异议，可由各参赛校领队向大赛仲裁工作组提出申诉。大赛仲裁工作组的仲裁结果为最终结果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4.仲裁结果由申诉人签收，不能代收，如在约定时间和地点申诉人离开，视为自行放弃申诉。申诉方可随时提出放弃申诉。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5.申诉方不得以任何理由采取过激行为扰乱赛场秩序。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6.竞赛不因申诉事件而组织重赛。</w:t>
      </w:r>
    </w:p>
    <w:p>
      <w:pPr>
        <w:pStyle w:val="7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560" w:lineRule="exact"/>
        <w:ind w:firstLine="602" w:firstLineChars="200"/>
        <w:jc w:val="left"/>
        <w:textAlignment w:val="auto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六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、竞赛须知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（一）参赛队须知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1.本赛项为个人赛（每队1人），由参赛学校统一组织报名参赛，每校限报1队。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3.参赛选手在报名获得审核确认后，不得再行更换。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4.参赛队统一着装，须符合安全生产及竞赛要求。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5.参赛队应自觉遵守赛场纪律，服从裁判、听从指挥、文明竞赛；禁止将通讯工具、U 盘、自编电子或文字资料等带入赛场，允许携带水笔、计算器（不带储存功能）入场。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6.比赛过程中，参赛选手须严格遵守操作过程和相关准则，保证设备及人身安全，并接受裁判员的监督和警示；若因设备故障导致选手中断或终止比赛，由大赛裁判长视具体情况做出裁决。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7.在比赛过程中，参赛选手由于操作失误导致设备不能正常工作，或造成安全事故不能进行比赛的，将被终止比赛。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8.若参赛队欲提前结束比赛，应向裁判员举手示意，比赛终止时间由裁判员记录，参赛队结束比赛后不得再进行任何操作。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9.各参赛队的领队、随行人员谢绝进入比赛现场。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10.比赛过程中或比赛后发现问题，应由领队在当天向仲裁组提出陈述。领队、选手不得与大赛工作人员直接交涉。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11.领队全权负责参赛院校所有选手安全。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（二）参赛选手须知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ab/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1.不得携带移动电话及资料等与竞赛无关物品进入赛场，违规者取消本次比赛资格，成绩以0分计。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参赛选手按规定时间凭参赛证、身份证原件和工作证（工作证明）原件，进入候赛区。赛场工作人员负责对各参赛选手的身份进行确认检查。由现场工作人员组织选手到比赛场地，进入赛场后，各参赛选手对比赛物品进行检查确认，如有疑问，及时与赛场工作人员沟通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3.竞赛过程中，选手须严格遵守规程及规则。若因突发故障原因导致竞赛中断，应提请裁判确认其原因,并视具体情况做出裁决。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4.参赛选手需严格遵循竞赛时间，不得超时。选手在竞赛过程中不得擅自离开赛场，如有特殊情况，需经裁判同意后作特殊处理。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lang w:val="en-US" w:eastAsia="zh-CN"/>
        </w:rPr>
        <w:t>参赛选手必须将全部数据文件按要求提交到指定位置，不按要求存储，导致数据丢失者，责任自负。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6.裁判长在比赛结束前15分钟对选手做出时间提醒。裁判长宣布竞赛结束后，选手应立即停止比赛。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7.参赛选手赛场外的管理由各参赛队领队负责。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（三）工作人员须知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1.进入工作岗位，必须统一佩戴由竞赛委员会印制的相应证件，着装整齐。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2.除竞赛委员会成员、现场裁判、仲裁及赛场配备的工作人员外，其他人员未经竞赛委员会允许不得进入赛场。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3.服从统一指挥，严格执行赛项规程，认真履行职责，做好比赛各项服务工作，保证比赛顺利进行。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4.新闻媒体人员等进入赛场必须经过竞赛委员会允许，并且听从现场工作人员的安排，不得影响竞赛正常进行。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5.竞赛出现技术问题（包括设备、器材等）应及时向裁判组汇报，按照裁判要求进行相关处理。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6.如遇突发事件，要及时向执委会报告，同时做好疏导工作，避免重大事故发生。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7.坚守岗位，不做与工作无关的事情。裁判及工作人员手机关闭并集中保管。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（四）赛场管理须知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1.选手凭有效证件，按时参加竞赛，如不能按时参赛以自动弃权处理。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2.选手开赛5分钟后不准入场，开赛后未经允许不得擅自离开赛场。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3.选手进入赛场后到指定参赛地点准备竞赛。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4.选手在开赛信号发出后才能进行技能竞赛。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5.竞赛过程中，选手要严格按操作规程操作，若违反操作规程，取消竞赛资格。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6.不允许将手机、U盘等工具带入赛场，私自带入一经发现取消竞赛资格。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7.选手提问，经允许后，可以提问不清楚的问题，裁判人员须正面回答。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8.赛场内保持安静，禁止吸烟。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9.竞赛过程中，选手休息、饮水或去洗手间等所用时间，一律计算在操作时间内，饮用水由组委会统一准备。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10.如果选手提前结束竞赛，应向裁判员示意，竞赛终止时间由裁判员记录在案。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11.竞赛结束信号发出后，须听从裁判员指挥，待裁判允许后方可离开赛场。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12.赛务人员必须统一佩戴由大赛组委会签发的相应证件，着装整齐。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13.各赛场除现场裁判、工作人员以外，其他人员未经允许不得进入赛场。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14.各参赛队的领队及随行人员未经允许一律不得进入赛场。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15.负责各自赛区的裁判员和工作人员不得随意进入其它赛区。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（五）赛场纪律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1.选手不得在竞赛现场内吸烟，不听劝阻者给予通报批评或清退比赛现场，造成严重后果的将依法处理。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2.未经允许不得使用和移动竞赛场内的任何设施设备，工具使用后放回原处。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3.选手在竞赛中必须遵守赛场的各项规章制度和操作规程，安全、合理的使用各种设施设备和工具。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选手参加实际操作竞赛前，应由参赛学校进行安全教育。如发现问题应及时解决，无法解决的问题应及时向裁判员报告，裁判员视情况予以判定，并协调处理。对选手违规操作行为，裁判员应及时指出并予以纠正，因此造成设备损坏的，酌情赔偿处理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本实施方案未尽事宜，将按照大赛有关规定，根据赛项实际情况和需要，及时修正。</w:t>
      </w:r>
    </w:p>
    <w:sectPr>
      <w:footerReference r:id="rId3" w:type="default"/>
      <w:pgSz w:w="11906" w:h="16838"/>
      <w:pgMar w:top="1871" w:right="1361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仿宋" w:hAnsi="仿宋" w:eastAsia="仿宋"/>
        <w:sz w:val="24"/>
        <w:szCs w:val="24"/>
      </w:rPr>
    </w:pPr>
    <w:sdt>
      <w:sdtPr>
        <w:id w:val="-1493789868"/>
      </w:sdtPr>
      <w:sdtEndPr>
        <w:rPr>
          <w:rFonts w:ascii="仿宋" w:hAnsi="仿宋" w:eastAsia="仿宋"/>
          <w:sz w:val="24"/>
          <w:szCs w:val="24"/>
        </w:rPr>
      </w:sdtEndPr>
      <w:sdtContent>
        <w:r>
          <w:rPr>
            <w:rFonts w:hint="eastAsia" w:ascii="仿宋" w:hAnsi="仿宋" w:eastAsia="仿宋"/>
            <w:sz w:val="24"/>
            <w:szCs w:val="24"/>
          </w:rPr>
          <w:t>-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3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sdtContent>
    </w:sdt>
    <w:r>
      <w:rPr>
        <w:rFonts w:hint="eastAsia" w:ascii="仿宋" w:hAnsi="仿宋" w:eastAsia="仿宋"/>
        <w:sz w:val="24"/>
        <w:szCs w:val="24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OTlkZDczMWUxYzA3ODBkMDZlNGVlNGUxZjdiODUifQ=="/>
  </w:docVars>
  <w:rsids>
    <w:rsidRoot w:val="00386175"/>
    <w:rsid w:val="00014E7D"/>
    <w:rsid w:val="000201FD"/>
    <w:rsid w:val="00022426"/>
    <w:rsid w:val="00031404"/>
    <w:rsid w:val="0003229E"/>
    <w:rsid w:val="00052ADD"/>
    <w:rsid w:val="00065DBB"/>
    <w:rsid w:val="00067D20"/>
    <w:rsid w:val="00070084"/>
    <w:rsid w:val="00080439"/>
    <w:rsid w:val="000864D2"/>
    <w:rsid w:val="000B195E"/>
    <w:rsid w:val="000B19F1"/>
    <w:rsid w:val="000C7EAE"/>
    <w:rsid w:val="000D3F2E"/>
    <w:rsid w:val="000E2317"/>
    <w:rsid w:val="00134A71"/>
    <w:rsid w:val="0014269C"/>
    <w:rsid w:val="00172B9C"/>
    <w:rsid w:val="00181909"/>
    <w:rsid w:val="001A42E3"/>
    <w:rsid w:val="001C276D"/>
    <w:rsid w:val="001E2F27"/>
    <w:rsid w:val="0020014E"/>
    <w:rsid w:val="00206D18"/>
    <w:rsid w:val="00252B49"/>
    <w:rsid w:val="002607C9"/>
    <w:rsid w:val="00263A52"/>
    <w:rsid w:val="00270281"/>
    <w:rsid w:val="00284C8B"/>
    <w:rsid w:val="00287BB2"/>
    <w:rsid w:val="002B598E"/>
    <w:rsid w:val="002F18E8"/>
    <w:rsid w:val="00306652"/>
    <w:rsid w:val="00316FEA"/>
    <w:rsid w:val="00334503"/>
    <w:rsid w:val="0034453A"/>
    <w:rsid w:val="003501FA"/>
    <w:rsid w:val="0038052A"/>
    <w:rsid w:val="00386175"/>
    <w:rsid w:val="003D2D58"/>
    <w:rsid w:val="00406A2A"/>
    <w:rsid w:val="00416FEF"/>
    <w:rsid w:val="00420B5A"/>
    <w:rsid w:val="00494EEF"/>
    <w:rsid w:val="004A3340"/>
    <w:rsid w:val="004C07C5"/>
    <w:rsid w:val="004F03E2"/>
    <w:rsid w:val="00502A98"/>
    <w:rsid w:val="00506679"/>
    <w:rsid w:val="00513DB1"/>
    <w:rsid w:val="005256D8"/>
    <w:rsid w:val="00566327"/>
    <w:rsid w:val="00586454"/>
    <w:rsid w:val="005B1930"/>
    <w:rsid w:val="005E0FF1"/>
    <w:rsid w:val="005E648C"/>
    <w:rsid w:val="00606602"/>
    <w:rsid w:val="0063094F"/>
    <w:rsid w:val="006632A0"/>
    <w:rsid w:val="00667EBF"/>
    <w:rsid w:val="00681C6D"/>
    <w:rsid w:val="006B1D0A"/>
    <w:rsid w:val="0073336E"/>
    <w:rsid w:val="00763A71"/>
    <w:rsid w:val="0077315E"/>
    <w:rsid w:val="00776970"/>
    <w:rsid w:val="00790FB5"/>
    <w:rsid w:val="00795051"/>
    <w:rsid w:val="007E732B"/>
    <w:rsid w:val="00863720"/>
    <w:rsid w:val="00881E1F"/>
    <w:rsid w:val="00886C07"/>
    <w:rsid w:val="00892D0F"/>
    <w:rsid w:val="00900D0C"/>
    <w:rsid w:val="00915DCD"/>
    <w:rsid w:val="00926D8F"/>
    <w:rsid w:val="00944581"/>
    <w:rsid w:val="00955C73"/>
    <w:rsid w:val="009736B1"/>
    <w:rsid w:val="00981986"/>
    <w:rsid w:val="009B45C4"/>
    <w:rsid w:val="009C02A9"/>
    <w:rsid w:val="00A051FB"/>
    <w:rsid w:val="00A174BE"/>
    <w:rsid w:val="00A453C2"/>
    <w:rsid w:val="00AA4189"/>
    <w:rsid w:val="00AB7B1B"/>
    <w:rsid w:val="00AE740E"/>
    <w:rsid w:val="00B02581"/>
    <w:rsid w:val="00B05BE2"/>
    <w:rsid w:val="00B12462"/>
    <w:rsid w:val="00B468FD"/>
    <w:rsid w:val="00B63364"/>
    <w:rsid w:val="00B866AB"/>
    <w:rsid w:val="00B95F83"/>
    <w:rsid w:val="00BC41CD"/>
    <w:rsid w:val="00BE0227"/>
    <w:rsid w:val="00BE0490"/>
    <w:rsid w:val="00BF08D4"/>
    <w:rsid w:val="00C0337C"/>
    <w:rsid w:val="00C15991"/>
    <w:rsid w:val="00C35D7D"/>
    <w:rsid w:val="00C729A4"/>
    <w:rsid w:val="00C753AC"/>
    <w:rsid w:val="00C97E81"/>
    <w:rsid w:val="00CB4A29"/>
    <w:rsid w:val="00CF3381"/>
    <w:rsid w:val="00D04BE4"/>
    <w:rsid w:val="00D10555"/>
    <w:rsid w:val="00D17B02"/>
    <w:rsid w:val="00D4554F"/>
    <w:rsid w:val="00D73341"/>
    <w:rsid w:val="00D83749"/>
    <w:rsid w:val="00DC0624"/>
    <w:rsid w:val="00DC663F"/>
    <w:rsid w:val="00DD0F63"/>
    <w:rsid w:val="00DE3571"/>
    <w:rsid w:val="00E04AC5"/>
    <w:rsid w:val="00E36B7D"/>
    <w:rsid w:val="00E73383"/>
    <w:rsid w:val="00E8415C"/>
    <w:rsid w:val="00E959A8"/>
    <w:rsid w:val="00EC1678"/>
    <w:rsid w:val="00F06AE1"/>
    <w:rsid w:val="00F26E63"/>
    <w:rsid w:val="00F41C9F"/>
    <w:rsid w:val="00F8188D"/>
    <w:rsid w:val="00F85239"/>
    <w:rsid w:val="00F93B4D"/>
    <w:rsid w:val="00F96216"/>
    <w:rsid w:val="00FA21F4"/>
    <w:rsid w:val="00FE676F"/>
    <w:rsid w:val="00FF4F79"/>
    <w:rsid w:val="012D2227"/>
    <w:rsid w:val="017F7BAE"/>
    <w:rsid w:val="01DE1773"/>
    <w:rsid w:val="02985DC6"/>
    <w:rsid w:val="04267B2D"/>
    <w:rsid w:val="04FB6CB4"/>
    <w:rsid w:val="056F4631"/>
    <w:rsid w:val="05CB74A0"/>
    <w:rsid w:val="05E9686F"/>
    <w:rsid w:val="07014AE4"/>
    <w:rsid w:val="07A72670"/>
    <w:rsid w:val="07D478A0"/>
    <w:rsid w:val="085315FF"/>
    <w:rsid w:val="088E3EF3"/>
    <w:rsid w:val="09F33B15"/>
    <w:rsid w:val="0B9F3D21"/>
    <w:rsid w:val="0BBC48D3"/>
    <w:rsid w:val="0D3853BA"/>
    <w:rsid w:val="0E1C5AFD"/>
    <w:rsid w:val="0E2E2FB3"/>
    <w:rsid w:val="10693B2C"/>
    <w:rsid w:val="119B31DD"/>
    <w:rsid w:val="12570DFA"/>
    <w:rsid w:val="1326156F"/>
    <w:rsid w:val="135B70C7"/>
    <w:rsid w:val="136F64D2"/>
    <w:rsid w:val="13DA4490"/>
    <w:rsid w:val="13DC7CBE"/>
    <w:rsid w:val="15D23718"/>
    <w:rsid w:val="163F2158"/>
    <w:rsid w:val="16995FBA"/>
    <w:rsid w:val="1862033E"/>
    <w:rsid w:val="187C3D68"/>
    <w:rsid w:val="18BF3C55"/>
    <w:rsid w:val="19FD4A34"/>
    <w:rsid w:val="1AE71241"/>
    <w:rsid w:val="1B2304CB"/>
    <w:rsid w:val="1BDC0DBE"/>
    <w:rsid w:val="1D2D73DF"/>
    <w:rsid w:val="1E390005"/>
    <w:rsid w:val="1E9B0CC0"/>
    <w:rsid w:val="1EAE454F"/>
    <w:rsid w:val="1F0A4609"/>
    <w:rsid w:val="1F536EA5"/>
    <w:rsid w:val="1FEF6220"/>
    <w:rsid w:val="20DF4E94"/>
    <w:rsid w:val="222114DC"/>
    <w:rsid w:val="229E2B2D"/>
    <w:rsid w:val="22A00653"/>
    <w:rsid w:val="22A13903"/>
    <w:rsid w:val="24A24B03"/>
    <w:rsid w:val="24FF3D57"/>
    <w:rsid w:val="255E2328"/>
    <w:rsid w:val="25911BEE"/>
    <w:rsid w:val="281021BF"/>
    <w:rsid w:val="28D30BF8"/>
    <w:rsid w:val="2996455E"/>
    <w:rsid w:val="2A6D3510"/>
    <w:rsid w:val="2B102600"/>
    <w:rsid w:val="2B846C30"/>
    <w:rsid w:val="2BB42DCE"/>
    <w:rsid w:val="2E6136A4"/>
    <w:rsid w:val="2F840079"/>
    <w:rsid w:val="2FBF2DDD"/>
    <w:rsid w:val="30224D9D"/>
    <w:rsid w:val="31D24544"/>
    <w:rsid w:val="330A3B82"/>
    <w:rsid w:val="355E2E20"/>
    <w:rsid w:val="35A65B28"/>
    <w:rsid w:val="360B2B82"/>
    <w:rsid w:val="36AC53C0"/>
    <w:rsid w:val="37135007"/>
    <w:rsid w:val="37490E61"/>
    <w:rsid w:val="37C71905"/>
    <w:rsid w:val="381626BE"/>
    <w:rsid w:val="39455658"/>
    <w:rsid w:val="396374B9"/>
    <w:rsid w:val="3AF54406"/>
    <w:rsid w:val="3B561D9F"/>
    <w:rsid w:val="3C836D14"/>
    <w:rsid w:val="3C9A5CBB"/>
    <w:rsid w:val="3CC05722"/>
    <w:rsid w:val="3D313D2B"/>
    <w:rsid w:val="3D565ABF"/>
    <w:rsid w:val="3D7D7AB7"/>
    <w:rsid w:val="3EA01CAF"/>
    <w:rsid w:val="3EC51954"/>
    <w:rsid w:val="3F0D5703"/>
    <w:rsid w:val="3FF51B86"/>
    <w:rsid w:val="404C3770"/>
    <w:rsid w:val="4071000B"/>
    <w:rsid w:val="40D774DE"/>
    <w:rsid w:val="41847666"/>
    <w:rsid w:val="43ED0DC6"/>
    <w:rsid w:val="44F56185"/>
    <w:rsid w:val="45E579F8"/>
    <w:rsid w:val="47052AC7"/>
    <w:rsid w:val="474C3E2E"/>
    <w:rsid w:val="47AB5D4F"/>
    <w:rsid w:val="49AA29DE"/>
    <w:rsid w:val="49F17253"/>
    <w:rsid w:val="4AC328A1"/>
    <w:rsid w:val="4B1A1214"/>
    <w:rsid w:val="4C231829"/>
    <w:rsid w:val="4C2C4B82"/>
    <w:rsid w:val="4C3625B8"/>
    <w:rsid w:val="4CA62F98"/>
    <w:rsid w:val="4CC27BCF"/>
    <w:rsid w:val="4CE970E4"/>
    <w:rsid w:val="4D706CF0"/>
    <w:rsid w:val="4DB458CB"/>
    <w:rsid w:val="4DBE7B58"/>
    <w:rsid w:val="4DC96400"/>
    <w:rsid w:val="4E1B2C42"/>
    <w:rsid w:val="4E5C1022"/>
    <w:rsid w:val="4E5C54C6"/>
    <w:rsid w:val="4E9C5144"/>
    <w:rsid w:val="504B1DF9"/>
    <w:rsid w:val="50B85E77"/>
    <w:rsid w:val="51A772AE"/>
    <w:rsid w:val="52650DED"/>
    <w:rsid w:val="528D5C4E"/>
    <w:rsid w:val="52C378C2"/>
    <w:rsid w:val="53C0330D"/>
    <w:rsid w:val="53FE3AF5"/>
    <w:rsid w:val="5402441A"/>
    <w:rsid w:val="542E16B3"/>
    <w:rsid w:val="545B3F20"/>
    <w:rsid w:val="54757649"/>
    <w:rsid w:val="55A439DB"/>
    <w:rsid w:val="567A0BDF"/>
    <w:rsid w:val="57D94327"/>
    <w:rsid w:val="57EF2B36"/>
    <w:rsid w:val="5870229A"/>
    <w:rsid w:val="59300AF5"/>
    <w:rsid w:val="59B460A5"/>
    <w:rsid w:val="59B85CA7"/>
    <w:rsid w:val="59C4508E"/>
    <w:rsid w:val="59D44EC7"/>
    <w:rsid w:val="5A557999"/>
    <w:rsid w:val="5AAF3451"/>
    <w:rsid w:val="5AFA72D3"/>
    <w:rsid w:val="5BAD7361"/>
    <w:rsid w:val="5BB75BFE"/>
    <w:rsid w:val="5BED0805"/>
    <w:rsid w:val="5BF46D3E"/>
    <w:rsid w:val="5CCA3B0D"/>
    <w:rsid w:val="5D6B4F29"/>
    <w:rsid w:val="60D30936"/>
    <w:rsid w:val="61E00186"/>
    <w:rsid w:val="62422353"/>
    <w:rsid w:val="628D3A49"/>
    <w:rsid w:val="62D653F0"/>
    <w:rsid w:val="63844E4C"/>
    <w:rsid w:val="63D5639A"/>
    <w:rsid w:val="63E923DC"/>
    <w:rsid w:val="63EB489B"/>
    <w:rsid w:val="6467723F"/>
    <w:rsid w:val="64D62EE3"/>
    <w:rsid w:val="6679007B"/>
    <w:rsid w:val="6760172C"/>
    <w:rsid w:val="676236F6"/>
    <w:rsid w:val="676E5BF7"/>
    <w:rsid w:val="69474951"/>
    <w:rsid w:val="6BBC388B"/>
    <w:rsid w:val="6C021003"/>
    <w:rsid w:val="6C120BC7"/>
    <w:rsid w:val="6CA87DFD"/>
    <w:rsid w:val="6CBF6EF4"/>
    <w:rsid w:val="6D047801"/>
    <w:rsid w:val="6D633D24"/>
    <w:rsid w:val="6E09753D"/>
    <w:rsid w:val="6E5A6C16"/>
    <w:rsid w:val="6F59718C"/>
    <w:rsid w:val="6F9405C9"/>
    <w:rsid w:val="70271273"/>
    <w:rsid w:val="706B361B"/>
    <w:rsid w:val="70A80A96"/>
    <w:rsid w:val="7352461E"/>
    <w:rsid w:val="739369E5"/>
    <w:rsid w:val="740955DA"/>
    <w:rsid w:val="742E1EB1"/>
    <w:rsid w:val="745841E7"/>
    <w:rsid w:val="746459B2"/>
    <w:rsid w:val="74D032BD"/>
    <w:rsid w:val="74DD363C"/>
    <w:rsid w:val="74EC0E81"/>
    <w:rsid w:val="75747A8B"/>
    <w:rsid w:val="75852079"/>
    <w:rsid w:val="76824561"/>
    <w:rsid w:val="7727243A"/>
    <w:rsid w:val="778320D4"/>
    <w:rsid w:val="782028E2"/>
    <w:rsid w:val="78DE6F98"/>
    <w:rsid w:val="79164340"/>
    <w:rsid w:val="7BDB4D6D"/>
    <w:rsid w:val="7C8810B1"/>
    <w:rsid w:val="7D3D633F"/>
    <w:rsid w:val="7E052AE8"/>
    <w:rsid w:val="7EDC066C"/>
    <w:rsid w:val="7EF8341E"/>
    <w:rsid w:val="7FFA4074"/>
    <w:rsid w:val="F7B7D114"/>
    <w:rsid w:val="F9D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6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7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仿宋" w:hAnsi="仿宋" w:eastAsia="仿宋"/>
      <w:b/>
      <w:bCs/>
      <w:sz w:val="30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400" w:lineRule="atLeast"/>
      <w:ind w:firstLine="426"/>
    </w:pPr>
    <w:rPr>
      <w:szCs w:val="20"/>
    </w:rPr>
  </w:style>
  <w:style w:type="paragraph" w:styleId="3">
    <w:name w:val="Body Text"/>
    <w:basedOn w:val="1"/>
    <w:next w:val="4"/>
    <w:qFormat/>
    <w:uiPriority w:val="1"/>
    <w:pPr>
      <w:ind w:left="1220"/>
    </w:pPr>
    <w:rPr>
      <w:sz w:val="24"/>
      <w:szCs w:val="24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  <w:spacing w:line="260" w:lineRule="atLeast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2"/>
    <w:link w:val="5"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15">
    <w:name w:val="标题 2 字符"/>
    <w:basedOn w:val="12"/>
    <w:link w:val="6"/>
    <w:qFormat/>
    <w:uiPriority w:val="9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6">
    <w:name w:val="标题 3 字符"/>
    <w:basedOn w:val="12"/>
    <w:link w:val="7"/>
    <w:qFormat/>
    <w:uiPriority w:val="9"/>
    <w:rPr>
      <w:rFonts w:ascii="仿宋" w:hAnsi="仿宋" w:eastAsia="仿宋"/>
      <w:b/>
      <w:bCs/>
      <w:sz w:val="30"/>
      <w:szCs w:val="32"/>
    </w:rPr>
  </w:style>
  <w:style w:type="character" w:customStyle="1" w:styleId="17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8"/>
    <w:qFormat/>
    <w:uiPriority w:val="99"/>
    <w:rPr>
      <w:sz w:val="18"/>
      <w:szCs w:val="18"/>
    </w:rPr>
  </w:style>
  <w:style w:type="table" w:customStyle="1" w:styleId="19">
    <w:name w:val="网格型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网格型2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table" w:customStyle="1" w:styleId="22">
    <w:name w:val="网格型3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NormalCharacter"/>
    <w:semiHidden/>
    <w:qFormat/>
    <w:uiPriority w:val="0"/>
  </w:style>
  <w:style w:type="paragraph" w:customStyle="1" w:styleId="24">
    <w:name w:val="自定正文"/>
    <w:basedOn w:val="3"/>
    <w:qFormat/>
    <w:uiPriority w:val="0"/>
    <w:pPr>
      <w:spacing w:line="360" w:lineRule="auto"/>
      <w:ind w:left="0" w:firstLine="200" w:firstLineChars="200"/>
    </w:pPr>
    <w:rPr>
      <w:spacing w:val="-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10235</Words>
  <Characters>11060</Characters>
  <Lines>103</Lines>
  <Paragraphs>29</Paragraphs>
  <TotalTime>3</TotalTime>
  <ScaleCrop>false</ScaleCrop>
  <LinksUpToDate>false</LinksUpToDate>
  <CharactersWithSpaces>11156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2021-04-22T00:24:00Z</dcterms:created>
  <dc:creator>冰</dc:creator>
  <cp:lastModifiedBy>uos</cp:lastModifiedBy>
  <dcterms:modified xsi:type="dcterms:W3CDTF">2023-11-20T11:03:57Z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B6E3D4AA141F4054B26027B7E35D5CD7_13</vt:lpwstr>
  </property>
</Properties>
</file>