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hint="eastAsia" w:ascii="方正小标宋_GBK" w:hAnsi="方正小标宋_GBK" w:eastAsia="方正小标宋_GBK" w:cs="方正小标宋_GBK"/>
          <w:b w:val="0"/>
          <w:bCs w:val="0"/>
          <w:sz w:val="44"/>
          <w:szCs w:val="44"/>
        </w:rPr>
      </w:pPr>
      <w:bookmarkStart w:id="0" w:name="_Toc3498"/>
      <w:bookmarkStart w:id="1" w:name="_Toc2519"/>
      <w:bookmarkStart w:id="2" w:name="_Toc11538"/>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rPr>
        <w:t>年河南省高等职业教育技能大赛</w:t>
      </w:r>
    </w:p>
    <w:p>
      <w:pPr>
        <w:adjustRightInd w:val="0"/>
        <w:snapToGrid w:val="0"/>
        <w:spacing w:line="240" w:lineRule="atLeas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color w:val="auto"/>
          <w:sz w:val="44"/>
          <w:szCs w:val="44"/>
          <w:lang w:val="en-US" w:eastAsia="zh-CN"/>
        </w:rPr>
        <w:t>校园创编舞</w:t>
      </w:r>
      <w:r>
        <w:rPr>
          <w:rFonts w:hint="eastAsia" w:ascii="方正小标宋_GBK" w:hAnsi="方正小标宋_GBK" w:eastAsia="方正小标宋_GBK" w:cs="方正小标宋_GBK"/>
          <w:b w:val="0"/>
          <w:bCs w:val="0"/>
          <w:sz w:val="44"/>
          <w:szCs w:val="44"/>
        </w:rPr>
        <w:t>赛项竞赛方案</w:t>
      </w:r>
    </w:p>
    <w:p>
      <w:pPr>
        <w:pStyle w:val="2"/>
        <w:ind w:left="0" w:leftChars="0" w:firstLine="0" w:firstLineChars="0"/>
      </w:pPr>
    </w:p>
    <w:p>
      <w:pPr>
        <w:pStyle w:val="2"/>
      </w:pP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r>
        <w:rPr>
          <w:rFonts w:hint="eastAsia" w:ascii="黑体" w:hAnsi="黑体" w:eastAsia="黑体" w:cs="黑体"/>
          <w:b w:val="0"/>
          <w:bCs w:val="0"/>
          <w:sz w:val="30"/>
          <w:szCs w:val="30"/>
        </w:rPr>
        <w:t>一</w:t>
      </w:r>
      <w:r>
        <w:rPr>
          <w:rFonts w:hint="eastAsia" w:ascii="黑体" w:hAnsi="黑体" w:eastAsia="黑体" w:cs="黑体"/>
          <w:b w:val="0"/>
          <w:bCs w:val="0"/>
          <w:sz w:val="30"/>
          <w:szCs w:val="30"/>
          <w:lang w:eastAsia="zh-CN"/>
        </w:rPr>
        <w:t>、</w:t>
      </w:r>
      <w:r>
        <w:rPr>
          <w:rFonts w:hint="eastAsia" w:ascii="黑体" w:hAnsi="黑体" w:eastAsia="黑体" w:cs="黑体"/>
          <w:b w:val="0"/>
          <w:bCs w:val="0"/>
          <w:sz w:val="30"/>
          <w:szCs w:val="30"/>
        </w:rPr>
        <w:t>赛项名称</w:t>
      </w:r>
      <w:bookmarkEnd w:id="0"/>
      <w:bookmarkEnd w:id="1"/>
      <w:bookmarkEnd w:id="2"/>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rPr>
        <w:t>赛项名称：</w:t>
      </w:r>
      <w:r>
        <w:rPr>
          <w:rFonts w:hint="eastAsia" w:ascii="仿宋" w:hAnsi="仿宋" w:eastAsia="仿宋" w:cs="宋体"/>
          <w:kern w:val="0"/>
          <w:sz w:val="30"/>
          <w:szCs w:val="30"/>
          <w:lang w:val="en-US" w:eastAsia="zh-CN"/>
        </w:rPr>
        <w:t>校园创编舞</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竞赛形式：团体赛</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rPr>
        <w:t>赛项组别：高职组</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专业大类：</w:t>
      </w:r>
      <w:r>
        <w:rPr>
          <w:rFonts w:hint="eastAsia" w:ascii="仿宋" w:hAnsi="仿宋" w:eastAsia="仿宋" w:cs="宋体"/>
          <w:kern w:val="0"/>
          <w:sz w:val="30"/>
          <w:szCs w:val="30"/>
        </w:rPr>
        <w:t>第三产业—文化产业—演艺业</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rPr>
        <w:t>主办单位：河南省教育厅</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rPr>
        <w:t>承办单位：</w:t>
      </w:r>
      <w:r>
        <w:rPr>
          <w:rFonts w:hint="eastAsia" w:ascii="仿宋" w:hAnsi="仿宋" w:eastAsia="仿宋" w:cs="宋体"/>
          <w:kern w:val="0"/>
          <w:sz w:val="30"/>
          <w:szCs w:val="30"/>
          <w:lang w:val="en-US" w:eastAsia="zh-CN"/>
        </w:rPr>
        <w:t>新乡</w:t>
      </w:r>
      <w:r>
        <w:rPr>
          <w:rFonts w:hint="eastAsia" w:ascii="仿宋" w:hAnsi="仿宋" w:eastAsia="仿宋" w:cs="宋体"/>
          <w:kern w:val="0"/>
          <w:sz w:val="30"/>
          <w:szCs w:val="30"/>
        </w:rPr>
        <w:t>职业技术学院</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bookmarkStart w:id="3" w:name="_Toc15725"/>
      <w:bookmarkStart w:id="4" w:name="_Toc18090"/>
      <w:bookmarkStart w:id="5" w:name="_Toc24234"/>
      <w:r>
        <w:rPr>
          <w:rFonts w:hint="eastAsia" w:ascii="仿宋" w:hAnsi="仿宋" w:eastAsia="仿宋" w:cs="宋体"/>
          <w:kern w:val="0"/>
          <w:sz w:val="30"/>
          <w:szCs w:val="30"/>
          <w:lang w:val="en-US" w:eastAsia="zh-CN"/>
        </w:rPr>
        <w:t>报到及推荐住宿地点：另行通知</w:t>
      </w: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r>
        <w:rPr>
          <w:rFonts w:hint="eastAsia" w:ascii="黑体" w:hAnsi="黑体" w:eastAsia="黑体" w:cs="黑体"/>
          <w:b w:val="0"/>
          <w:bCs w:val="0"/>
          <w:sz w:val="30"/>
          <w:szCs w:val="30"/>
        </w:rPr>
        <w:t>二</w:t>
      </w:r>
      <w:r>
        <w:rPr>
          <w:rFonts w:hint="eastAsia" w:ascii="黑体" w:hAnsi="黑体" w:eastAsia="黑体" w:cs="黑体"/>
          <w:b w:val="0"/>
          <w:bCs w:val="0"/>
          <w:sz w:val="30"/>
          <w:szCs w:val="30"/>
          <w:lang w:eastAsia="zh-CN"/>
        </w:rPr>
        <w:t>、</w:t>
      </w:r>
      <w:r>
        <w:rPr>
          <w:rFonts w:hint="eastAsia" w:ascii="黑体" w:hAnsi="黑体" w:eastAsia="黑体" w:cs="黑体"/>
          <w:b w:val="0"/>
          <w:bCs w:val="0"/>
          <w:sz w:val="30"/>
          <w:szCs w:val="30"/>
        </w:rPr>
        <w:t>竞赛目的</w:t>
      </w:r>
      <w:bookmarkEnd w:id="3"/>
      <w:bookmarkEnd w:id="4"/>
      <w:bookmarkEnd w:id="5"/>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rPr>
      </w:pPr>
      <w:bookmarkStart w:id="6" w:name="_Toc12344"/>
      <w:bookmarkStart w:id="7" w:name="_Toc3366"/>
      <w:r>
        <w:rPr>
          <w:rFonts w:hint="eastAsia" w:ascii="仿宋" w:hAnsi="仿宋" w:eastAsia="仿宋" w:cs="宋体"/>
          <w:kern w:val="0"/>
          <w:sz w:val="30"/>
          <w:szCs w:val="30"/>
        </w:rPr>
        <w:t>深入贯彻落实《国务院关于加快发展现代职业教育的决定》有关要求，进一步发挥我省高等职业教育技能大赛的宏观指导和品牌作用。通过竞赛，全面考查和展示参赛选手的</w:t>
      </w:r>
      <w:r>
        <w:rPr>
          <w:rFonts w:hint="eastAsia" w:ascii="仿宋" w:hAnsi="仿宋" w:eastAsia="仿宋" w:cs="宋体"/>
          <w:kern w:val="0"/>
          <w:sz w:val="30"/>
          <w:szCs w:val="30"/>
          <w:lang w:val="en-US" w:eastAsia="zh-CN"/>
        </w:rPr>
        <w:t>舞蹈</w:t>
      </w:r>
      <w:r>
        <w:rPr>
          <w:rFonts w:hint="eastAsia" w:ascii="仿宋" w:hAnsi="仿宋" w:eastAsia="仿宋" w:cs="宋体"/>
          <w:kern w:val="0"/>
          <w:sz w:val="30"/>
          <w:szCs w:val="30"/>
        </w:rPr>
        <w:t>专业技能和</w:t>
      </w:r>
      <w:r>
        <w:rPr>
          <w:rFonts w:hint="eastAsia" w:ascii="仿宋" w:hAnsi="仿宋" w:eastAsia="仿宋" w:cs="宋体"/>
          <w:kern w:val="0"/>
          <w:sz w:val="30"/>
          <w:szCs w:val="30"/>
          <w:lang w:val="en-US" w:eastAsia="zh-CN"/>
        </w:rPr>
        <w:t>创编能力</w:t>
      </w:r>
      <w:r>
        <w:rPr>
          <w:rFonts w:hint="eastAsia" w:ascii="仿宋" w:hAnsi="仿宋" w:eastAsia="仿宋" w:cs="宋体"/>
          <w:kern w:val="0"/>
          <w:sz w:val="30"/>
          <w:szCs w:val="30"/>
        </w:rPr>
        <w:t>，促进院校之间、校企之间的互相学习与交流合作，发挥大赛的示范和引领作用，推进全省高等职业院校</w:t>
      </w:r>
      <w:r>
        <w:rPr>
          <w:rFonts w:hint="eastAsia" w:ascii="仿宋" w:hAnsi="仿宋" w:eastAsia="仿宋" w:cs="宋体"/>
          <w:kern w:val="0"/>
          <w:sz w:val="30"/>
          <w:szCs w:val="30"/>
          <w:lang w:val="en-US" w:eastAsia="zh-CN"/>
        </w:rPr>
        <w:t>舞蹈表演</w:t>
      </w:r>
      <w:r>
        <w:rPr>
          <w:rFonts w:hint="eastAsia" w:ascii="仿宋" w:hAnsi="仿宋" w:eastAsia="仿宋" w:cs="宋体"/>
          <w:kern w:val="0"/>
          <w:sz w:val="30"/>
          <w:szCs w:val="30"/>
        </w:rPr>
        <w:t>专业教育教学改革和创新发展，为推出优秀</w:t>
      </w:r>
      <w:r>
        <w:rPr>
          <w:rFonts w:hint="eastAsia" w:ascii="仿宋" w:hAnsi="仿宋" w:eastAsia="仿宋" w:cs="宋体"/>
          <w:kern w:val="0"/>
          <w:sz w:val="30"/>
          <w:szCs w:val="30"/>
          <w:lang w:val="en-US" w:eastAsia="zh-CN"/>
        </w:rPr>
        <w:t>舞蹈</w:t>
      </w:r>
      <w:r>
        <w:rPr>
          <w:rFonts w:hint="eastAsia" w:ascii="仿宋" w:hAnsi="仿宋" w:eastAsia="仿宋" w:cs="宋体"/>
          <w:kern w:val="0"/>
          <w:sz w:val="30"/>
          <w:szCs w:val="30"/>
        </w:rPr>
        <w:t>表演人才搭建平台，为繁荣发展社会主义文艺提供人才支撑。</w:t>
      </w:r>
      <w:bookmarkEnd w:id="6"/>
      <w:bookmarkEnd w:id="7"/>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三、参赛资格</w:t>
      </w:r>
    </w:p>
    <w:p>
      <w:pPr>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 w:hAnsi="仿宋" w:eastAsia="仿宋" w:cs="宋体"/>
          <w:kern w:val="0"/>
          <w:sz w:val="30"/>
          <w:szCs w:val="30"/>
          <w:lang w:val="en-US" w:eastAsia="zh-CN"/>
        </w:rPr>
        <w:t>（一）参赛选手必须是2023年度高等职业学校全日制在籍学生或五年制高职四至五年级（含四年级）全日制在籍的非体育专业学生。</w:t>
      </w:r>
    </w:p>
    <w:p>
      <w:pPr>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（二）竞赛队伍组成。以学校为单位组队参赛，不得跨校组队；指导教师须为本校专兼职教师。</w:t>
      </w:r>
    </w:p>
    <w:p>
      <w:pPr>
        <w:pStyle w:val="3"/>
        <w:rPr>
          <w:rFonts w:hint="default"/>
          <w:lang w:val="en-US" w:eastAsia="zh-CN"/>
        </w:rPr>
      </w:pPr>
      <w:r>
        <w:rPr>
          <w:rFonts w:hint="eastAsia" w:ascii="仿宋" w:hAnsi="仿宋" w:eastAsia="仿宋" w:cs="宋体"/>
          <w:kern w:val="0"/>
          <w:sz w:val="30"/>
          <w:szCs w:val="30"/>
          <w:lang w:val="en-US" w:eastAsia="zh-CN"/>
        </w:rPr>
        <w:t xml:space="preserve">    （三）凡在往届全国职业院校技能大赛中获一等奖的选手，不能再参加同一项目同一组别的省级比赛。</w:t>
      </w: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lang w:val="en-US" w:eastAsia="zh-CN"/>
        </w:rPr>
      </w:pPr>
      <w:bookmarkStart w:id="8" w:name="_Toc30963"/>
      <w:bookmarkStart w:id="9" w:name="_Toc12868"/>
      <w:bookmarkStart w:id="10" w:name="_Toc5640"/>
      <w:r>
        <w:rPr>
          <w:rFonts w:hint="eastAsia" w:ascii="黑体" w:hAnsi="黑体" w:eastAsia="黑体" w:cs="黑体"/>
          <w:b w:val="0"/>
          <w:bCs w:val="0"/>
          <w:sz w:val="30"/>
          <w:szCs w:val="30"/>
          <w:lang w:val="en-US" w:eastAsia="zh-CN"/>
        </w:rPr>
        <w:t>四、参赛报名</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宋体"/>
          <w:kern w:val="0"/>
          <w:sz w:val="30"/>
          <w:szCs w:val="30"/>
        </w:rPr>
      </w:pPr>
      <w:r>
        <w:rPr>
          <w:rFonts w:hint="eastAsia" w:ascii="仿宋" w:hAnsi="仿宋" w:eastAsia="仿宋" w:cs="宋体"/>
          <w:kern w:val="0"/>
          <w:sz w:val="30"/>
          <w:szCs w:val="30"/>
          <w:lang w:val="en-US" w:eastAsia="zh-CN"/>
        </w:rPr>
        <w:t>（一）</w:t>
      </w:r>
      <w:r>
        <w:rPr>
          <w:rFonts w:hint="default" w:ascii="仿宋" w:hAnsi="仿宋" w:eastAsia="仿宋" w:cs="宋体"/>
          <w:kern w:val="0"/>
          <w:sz w:val="30"/>
          <w:szCs w:val="30"/>
          <w:lang w:val="en-US" w:eastAsia="zh-CN"/>
        </w:rPr>
        <w:t>参赛院校须</w:t>
      </w:r>
      <w:r>
        <w:rPr>
          <w:rFonts w:hint="default" w:ascii="仿宋" w:hAnsi="仿宋" w:eastAsia="仿宋" w:cs="宋体"/>
          <w:kern w:val="0"/>
          <w:sz w:val="30"/>
          <w:szCs w:val="30"/>
          <w:highlight w:val="none"/>
          <w:lang w:val="en-US" w:eastAsia="zh-CN"/>
        </w:rPr>
        <w:t>于</w:t>
      </w:r>
      <w:r>
        <w:rPr>
          <w:rFonts w:hint="default" w:ascii="仿宋" w:hAnsi="仿宋" w:eastAsia="仿宋" w:cs="宋体"/>
          <w:kern w:val="0"/>
          <w:sz w:val="30"/>
          <w:szCs w:val="30"/>
          <w:highlight w:val="none"/>
          <w:lang w:eastAsia="zh-CN"/>
        </w:rPr>
        <w:t>11</w:t>
      </w:r>
      <w:r>
        <w:rPr>
          <w:rFonts w:hint="default" w:ascii="仿宋" w:hAnsi="仿宋" w:eastAsia="仿宋" w:cs="宋体"/>
          <w:kern w:val="0"/>
          <w:sz w:val="30"/>
          <w:szCs w:val="30"/>
          <w:highlight w:val="none"/>
          <w:lang w:val="en-US" w:eastAsia="zh-CN"/>
        </w:rPr>
        <w:t>月</w:t>
      </w:r>
      <w:r>
        <w:rPr>
          <w:rFonts w:hint="eastAsia" w:ascii="仿宋" w:hAnsi="仿宋" w:eastAsia="仿宋" w:cs="宋体"/>
          <w:kern w:val="0"/>
          <w:sz w:val="30"/>
          <w:szCs w:val="30"/>
          <w:highlight w:val="none"/>
          <w:lang w:val="en-US" w:eastAsia="zh-CN"/>
        </w:rPr>
        <w:t>26</w:t>
      </w:r>
      <w:r>
        <w:rPr>
          <w:rFonts w:hint="default" w:ascii="仿宋" w:hAnsi="仿宋" w:eastAsia="仿宋" w:cs="宋体"/>
          <w:kern w:val="0"/>
          <w:sz w:val="30"/>
          <w:szCs w:val="30"/>
          <w:highlight w:val="none"/>
          <w:lang w:val="en-US" w:eastAsia="zh-CN"/>
        </w:rPr>
        <w:t>日前登</w:t>
      </w:r>
      <w:r>
        <w:rPr>
          <w:rFonts w:hint="default" w:ascii="仿宋" w:hAnsi="仿宋" w:eastAsia="仿宋" w:cs="宋体"/>
          <w:kern w:val="0"/>
          <w:sz w:val="30"/>
          <w:szCs w:val="30"/>
          <w:lang w:val="en-US" w:eastAsia="zh-CN"/>
        </w:rPr>
        <w:t>录河南省高等职业教育技能大赛报名系统：http://39.105.49.188，按要求填报并提交参赛信息。</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宋体"/>
          <w:kern w:val="0"/>
          <w:sz w:val="30"/>
          <w:szCs w:val="30"/>
        </w:rPr>
      </w:pPr>
      <w:r>
        <w:rPr>
          <w:rFonts w:hint="eastAsia" w:ascii="仿宋" w:hAnsi="仿宋" w:eastAsia="仿宋" w:cs="宋体"/>
          <w:kern w:val="0"/>
          <w:sz w:val="30"/>
          <w:szCs w:val="30"/>
          <w:lang w:val="en-US" w:eastAsia="zh-CN"/>
        </w:rPr>
        <w:t>（二）</w:t>
      </w:r>
      <w:r>
        <w:rPr>
          <w:rFonts w:hint="default" w:ascii="仿宋" w:hAnsi="仿宋" w:eastAsia="仿宋" w:cs="宋体"/>
          <w:kern w:val="0"/>
          <w:sz w:val="30"/>
          <w:szCs w:val="30"/>
          <w:lang w:val="en-US" w:eastAsia="zh-CN"/>
        </w:rPr>
        <w:t>各参赛校以学校为单位注册报名平台，专人负责报名工作。（技术支持：张玺，电话：19837739696）。</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（三）</w:t>
      </w:r>
      <w:r>
        <w:rPr>
          <w:rFonts w:hint="default" w:ascii="仿宋" w:hAnsi="仿宋" w:eastAsia="仿宋" w:cs="宋体"/>
          <w:kern w:val="0"/>
          <w:sz w:val="30"/>
          <w:szCs w:val="30"/>
          <w:lang w:val="en-US" w:eastAsia="zh-CN"/>
        </w:rPr>
        <w:t>提交报名信息后，参赛院校从系统导出参赛选手报名表、参赛信息汇总表后，连同参赛选手身份证复印件和学信网“教育部学籍在线验证报告”或省招办录取名册复印件各1份并加盖院校公章，报送或邮寄到赛项承办院校（</w:t>
      </w:r>
      <w:r>
        <w:rPr>
          <w:rFonts w:hint="default" w:ascii="仿宋" w:hAnsi="仿宋" w:eastAsia="仿宋" w:cs="宋体"/>
          <w:kern w:val="0"/>
          <w:sz w:val="30"/>
          <w:szCs w:val="30"/>
          <w:lang w:eastAsia="zh-CN"/>
        </w:rPr>
        <w:t>新乡</w:t>
      </w:r>
      <w:r>
        <w:rPr>
          <w:rFonts w:hint="default" w:ascii="仿宋" w:hAnsi="仿宋" w:eastAsia="仿宋" w:cs="宋体"/>
          <w:kern w:val="0"/>
          <w:sz w:val="30"/>
          <w:szCs w:val="30"/>
          <w:lang w:val="en-US" w:eastAsia="zh-CN"/>
        </w:rPr>
        <w:t>职业技术学院）。纸质报名材料接收截止时间</w:t>
      </w:r>
      <w:r>
        <w:rPr>
          <w:rFonts w:hint="default" w:ascii="仿宋" w:hAnsi="仿宋" w:eastAsia="仿宋" w:cs="宋体"/>
          <w:kern w:val="0"/>
          <w:sz w:val="30"/>
          <w:szCs w:val="30"/>
          <w:highlight w:val="none"/>
          <w:lang w:val="en-US" w:eastAsia="zh-CN"/>
        </w:rPr>
        <w:t>为</w:t>
      </w:r>
      <w:r>
        <w:rPr>
          <w:rFonts w:hint="default" w:ascii="仿宋" w:hAnsi="仿宋" w:eastAsia="仿宋" w:cs="宋体"/>
          <w:kern w:val="0"/>
          <w:sz w:val="30"/>
          <w:szCs w:val="30"/>
          <w:highlight w:val="none"/>
          <w:lang w:eastAsia="zh-CN"/>
        </w:rPr>
        <w:t>11</w:t>
      </w:r>
      <w:r>
        <w:rPr>
          <w:rFonts w:hint="default" w:ascii="仿宋" w:hAnsi="仿宋" w:eastAsia="仿宋" w:cs="宋体"/>
          <w:kern w:val="0"/>
          <w:sz w:val="30"/>
          <w:szCs w:val="30"/>
          <w:highlight w:val="none"/>
          <w:lang w:val="en-US" w:eastAsia="zh-CN"/>
        </w:rPr>
        <w:t>月</w:t>
      </w:r>
      <w:r>
        <w:rPr>
          <w:rFonts w:hint="eastAsia" w:ascii="仿宋" w:hAnsi="仿宋" w:eastAsia="仿宋" w:cs="宋体"/>
          <w:kern w:val="0"/>
          <w:sz w:val="30"/>
          <w:szCs w:val="30"/>
          <w:highlight w:val="none"/>
          <w:lang w:val="en-US" w:eastAsia="zh-CN"/>
        </w:rPr>
        <w:t>28</w:t>
      </w:r>
      <w:r>
        <w:rPr>
          <w:rFonts w:hint="default" w:ascii="仿宋" w:hAnsi="仿宋" w:eastAsia="仿宋" w:cs="宋体"/>
          <w:kern w:val="0"/>
          <w:sz w:val="30"/>
          <w:szCs w:val="30"/>
          <w:highlight w:val="none"/>
          <w:lang w:val="en-US" w:eastAsia="zh-CN"/>
        </w:rPr>
        <w:t>日</w:t>
      </w:r>
      <w:r>
        <w:rPr>
          <w:rFonts w:hint="default" w:ascii="仿宋" w:hAnsi="仿宋" w:eastAsia="仿宋" w:cs="宋体"/>
          <w:kern w:val="0"/>
          <w:sz w:val="30"/>
          <w:szCs w:val="30"/>
          <w:lang w:val="en-US" w:eastAsia="zh-CN"/>
        </w:rPr>
        <w:t>，以邮戳时间为准，过期视为报名不成功。</w:t>
      </w:r>
      <w:r>
        <w:rPr>
          <w:rFonts w:hint="eastAsia" w:ascii="仿宋" w:hAnsi="仿宋" w:eastAsia="仿宋" w:cs="宋体"/>
          <w:kern w:val="0"/>
          <w:sz w:val="30"/>
          <w:szCs w:val="30"/>
        </w:rPr>
        <w:t>邮寄地址：河南省</w:t>
      </w:r>
      <w:r>
        <w:rPr>
          <w:rFonts w:hint="eastAsia" w:ascii="仿宋" w:hAnsi="仿宋" w:eastAsia="仿宋" w:cs="宋体"/>
          <w:kern w:val="0"/>
          <w:sz w:val="30"/>
          <w:szCs w:val="30"/>
          <w:lang w:val="en-US" w:eastAsia="zh-CN"/>
        </w:rPr>
        <w:t>新乡市经开区经三路6号新乡职业技术学院，联系人：张琦，电话：15838253517。</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（四）承办学校收到纸质报名材料，按省赛的要求认真审核参赛选手和指导教师资格，审核通过报名成功。</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五</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参赛学生报到时要持有医院出具的健康证明。</w:t>
      </w:r>
    </w:p>
    <w:p>
      <w:pPr>
        <w:spacing w:line="560" w:lineRule="exact"/>
        <w:ind w:firstLine="600" w:firstLineChars="200"/>
        <w:rPr>
          <w:rFonts w:hint="eastAsia" w:ascii="仿宋" w:hAnsi="仿宋" w:eastAsia="仿宋" w:cs="宋体"/>
          <w:kern w:val="0"/>
          <w:sz w:val="30"/>
          <w:szCs w:val="30"/>
        </w:rPr>
      </w:pP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六</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参加比赛的学生需提前办理比赛期间“人身意外伤害”保险并在报名时提交保险单。有效期必须为大赛举行期间，不得以其他长期保险代替。</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（七）报到时携带学生证和身份证原件。</w:t>
      </w: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五、竞赛日程</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（一）比赛时间、地点</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highlight w:val="none"/>
          <w:lang w:val="en-US" w:eastAsia="zh-CN"/>
        </w:rPr>
        <w:t>2023年12月8日报到，2023年12月9-10日为竞赛时间。</w:t>
      </w:r>
      <w:r>
        <w:rPr>
          <w:rFonts w:hint="eastAsia" w:ascii="仿宋" w:hAnsi="仿宋" w:eastAsia="仿宋" w:cs="宋体"/>
          <w:kern w:val="0"/>
          <w:sz w:val="30"/>
          <w:szCs w:val="30"/>
          <w:lang w:val="en-US" w:eastAsia="zh-CN"/>
        </w:rPr>
        <w:t>竞赛地点：</w:t>
      </w:r>
      <w:r>
        <w:rPr>
          <w:rFonts w:hint="default" w:ascii="仿宋" w:hAnsi="仿宋" w:eastAsia="仿宋" w:cs="宋体"/>
          <w:kern w:val="0"/>
          <w:sz w:val="30"/>
          <w:szCs w:val="30"/>
          <w:lang w:val="en-US" w:eastAsia="zh-CN"/>
        </w:rPr>
        <w:t>新乡市经开区经三路6号</w:t>
      </w:r>
      <w:r>
        <w:rPr>
          <w:rFonts w:hint="eastAsia" w:ascii="仿宋" w:hAnsi="仿宋" w:eastAsia="仿宋" w:cs="宋体"/>
          <w:kern w:val="0"/>
          <w:sz w:val="30"/>
          <w:szCs w:val="30"/>
          <w:lang w:val="en-US" w:eastAsia="zh-CN"/>
        </w:rPr>
        <w:t>（</w:t>
      </w:r>
      <w:r>
        <w:rPr>
          <w:rFonts w:hint="default" w:ascii="仿宋" w:hAnsi="仿宋" w:eastAsia="仿宋" w:cs="宋体"/>
          <w:kern w:val="0"/>
          <w:sz w:val="30"/>
          <w:szCs w:val="30"/>
          <w:lang w:val="en-US" w:eastAsia="zh-CN"/>
        </w:rPr>
        <w:t>新乡</w:t>
      </w:r>
      <w:r>
        <w:rPr>
          <w:rFonts w:hint="eastAsia" w:ascii="仿宋" w:hAnsi="仿宋" w:eastAsia="仿宋" w:cs="宋体"/>
          <w:kern w:val="0"/>
          <w:sz w:val="30"/>
          <w:szCs w:val="30"/>
          <w:lang w:val="en-US" w:eastAsia="zh-CN"/>
        </w:rPr>
        <w:t>市火车站乘坐</w:t>
      </w:r>
      <w:r>
        <w:rPr>
          <w:rFonts w:hint="default" w:ascii="仿宋" w:hAnsi="仿宋" w:eastAsia="仿宋" w:cs="宋体"/>
          <w:kern w:val="0"/>
          <w:sz w:val="30"/>
          <w:szCs w:val="30"/>
          <w:lang w:val="en-US" w:eastAsia="zh-CN"/>
        </w:rPr>
        <w:t>1</w:t>
      </w:r>
      <w:r>
        <w:rPr>
          <w:rFonts w:hint="eastAsia" w:ascii="仿宋" w:hAnsi="仿宋" w:eastAsia="仿宋" w:cs="宋体"/>
          <w:kern w:val="0"/>
          <w:sz w:val="30"/>
          <w:szCs w:val="30"/>
          <w:lang w:val="en-US" w:eastAsia="zh-CN"/>
        </w:rPr>
        <w:t>4</w:t>
      </w:r>
      <w:r>
        <w:rPr>
          <w:rFonts w:hint="default" w:ascii="仿宋" w:hAnsi="仿宋" w:eastAsia="仿宋" w:cs="宋体"/>
          <w:kern w:val="0"/>
          <w:sz w:val="30"/>
          <w:szCs w:val="30"/>
          <w:lang w:val="en-US" w:eastAsia="zh-CN"/>
        </w:rPr>
        <w:t>6</w:t>
      </w:r>
      <w:r>
        <w:rPr>
          <w:rFonts w:hint="eastAsia" w:ascii="仿宋" w:hAnsi="仿宋" w:eastAsia="仿宋" w:cs="宋体"/>
          <w:kern w:val="0"/>
          <w:sz w:val="30"/>
          <w:szCs w:val="30"/>
          <w:lang w:val="en-US" w:eastAsia="zh-CN"/>
        </w:rPr>
        <w:t>、126路至</w:t>
      </w:r>
      <w:r>
        <w:rPr>
          <w:rFonts w:hint="default" w:ascii="仿宋" w:hAnsi="仿宋" w:eastAsia="仿宋" w:cs="宋体"/>
          <w:kern w:val="0"/>
          <w:sz w:val="30"/>
          <w:szCs w:val="30"/>
          <w:lang w:val="en-US" w:eastAsia="zh-CN"/>
        </w:rPr>
        <w:t>新乡职业技术学院</w:t>
      </w:r>
      <w:r>
        <w:rPr>
          <w:rFonts w:hint="eastAsia" w:ascii="仿宋" w:hAnsi="仿宋" w:eastAsia="仿宋" w:cs="宋体"/>
          <w:kern w:val="0"/>
          <w:sz w:val="30"/>
          <w:szCs w:val="30"/>
          <w:lang w:val="en-US" w:eastAsia="zh-CN"/>
        </w:rPr>
        <w:t>站下车）。</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drawing>
          <wp:anchor distT="0" distB="0" distL="114300" distR="114300" simplePos="0" relativeHeight="251659264" behindDoc="0" locked="0" layoutInCell="1" allowOverlap="1">
            <wp:simplePos x="0" y="0"/>
            <wp:positionH relativeFrom="column">
              <wp:posOffset>4368165</wp:posOffset>
            </wp:positionH>
            <wp:positionV relativeFrom="paragraph">
              <wp:posOffset>151765</wp:posOffset>
            </wp:positionV>
            <wp:extent cx="1186180" cy="1657350"/>
            <wp:effectExtent l="0" t="0" r="0" b="0"/>
            <wp:wrapNone/>
            <wp:docPr id="4" name="图片 4" descr="lADPKIJfVV-qUMrNBf3NA6I_930_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ADPKIJfVV-qUMrNBf3NA6I_930_1533"/>
                    <pic:cNvPicPr>
                      <a:picLocks noChangeAspect="1"/>
                    </pic:cNvPicPr>
                  </pic:nvPicPr>
                  <pic:blipFill>
                    <a:blip r:embed="rId7"/>
                    <a:srcRect t="7502" b="7730"/>
                    <a:stretch>
                      <a:fillRect/>
                    </a:stretch>
                  </pic:blipFill>
                  <pic:spPr>
                    <a:xfrm>
                      <a:off x="0" y="0"/>
                      <a:ext cx="1186180" cy="1657350"/>
                    </a:xfrm>
                    <a:prstGeom prst="rect">
                      <a:avLst/>
                    </a:prstGeom>
                  </pic:spPr>
                </pic:pic>
              </a:graphicData>
            </a:graphic>
          </wp:anchor>
        </w:drawing>
      </w:r>
      <w:r>
        <w:rPr>
          <w:rFonts w:hint="eastAsia" w:ascii="仿宋" w:hAnsi="仿宋" w:eastAsia="仿宋" w:cs="宋体"/>
          <w:kern w:val="0"/>
          <w:sz w:val="30"/>
          <w:szCs w:val="30"/>
          <w:lang w:val="en-US" w:eastAsia="zh-CN"/>
        </w:rPr>
        <w:t>联系人及电话：周莉18537328983（赛务）</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办公电话：</w:t>
      </w:r>
      <w:r>
        <w:rPr>
          <w:rFonts w:hint="default" w:ascii="仿宋" w:hAnsi="仿宋" w:eastAsia="仿宋" w:cs="宋体"/>
          <w:kern w:val="0"/>
          <w:sz w:val="30"/>
          <w:szCs w:val="30"/>
          <w:lang w:val="en-US" w:eastAsia="zh-CN"/>
        </w:rPr>
        <w:t>0373</w:t>
      </w:r>
      <w:r>
        <w:rPr>
          <w:rFonts w:hint="eastAsia" w:ascii="仿宋" w:hAnsi="仿宋" w:eastAsia="仿宋" w:cs="宋体"/>
          <w:kern w:val="0"/>
          <w:sz w:val="30"/>
          <w:szCs w:val="30"/>
          <w:lang w:val="en-US" w:eastAsia="zh-CN"/>
        </w:rPr>
        <w:t>-</w:t>
      </w:r>
      <w:r>
        <w:rPr>
          <w:rFonts w:hint="default" w:ascii="仿宋" w:hAnsi="仿宋" w:eastAsia="仿宋" w:cs="宋体"/>
          <w:kern w:val="0"/>
          <w:sz w:val="30"/>
          <w:szCs w:val="30"/>
          <w:lang w:val="en-US" w:eastAsia="zh-CN"/>
        </w:rPr>
        <w:t>3720171</w:t>
      </w:r>
      <w:r>
        <w:rPr>
          <w:rFonts w:hint="eastAsia" w:ascii="仿宋" w:hAnsi="仿宋" w:eastAsia="仿宋" w:cs="宋体"/>
          <w:kern w:val="0"/>
          <w:sz w:val="30"/>
          <w:szCs w:val="30"/>
          <w:lang w:val="en-US" w:eastAsia="zh-CN"/>
        </w:rPr>
        <w:t xml:space="preserve">  赛事</w:t>
      </w:r>
      <w:r>
        <w:rPr>
          <w:rFonts w:hint="default" w:ascii="仿宋" w:hAnsi="仿宋" w:eastAsia="仿宋" w:cs="宋体"/>
          <w:kern w:val="0"/>
          <w:sz w:val="30"/>
          <w:szCs w:val="30"/>
          <w:lang w:val="en-US" w:eastAsia="zh-CN"/>
        </w:rPr>
        <w:t>微信</w:t>
      </w:r>
      <w:r>
        <w:rPr>
          <w:rFonts w:hint="eastAsia" w:ascii="仿宋" w:hAnsi="仿宋" w:eastAsia="仿宋" w:cs="宋体"/>
          <w:kern w:val="0"/>
          <w:sz w:val="30"/>
          <w:szCs w:val="30"/>
          <w:lang w:val="en-US" w:eastAsia="zh-CN"/>
        </w:rPr>
        <w:t>群：</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（二）竞赛日程表</w:t>
      </w:r>
    </w:p>
    <w:p>
      <w:pPr>
        <w:pStyle w:val="8"/>
        <w:keepNext w:val="0"/>
        <w:keepLines w:val="0"/>
        <w:pageBreakBefore w:val="0"/>
        <w:widowControl w:val="0"/>
        <w:kinsoku/>
        <w:wordWrap/>
        <w:overflowPunct/>
        <w:topLinePunct w:val="0"/>
        <w:bidi w:val="0"/>
        <w:snapToGrid/>
        <w:spacing w:line="560" w:lineRule="exact"/>
        <w:ind w:left="0" w:firstLine="600" w:firstLineChars="200"/>
        <w:textAlignment w:val="auto"/>
        <w:rPr>
          <w:rFonts w:hint="default" w:ascii="仿宋" w:hAnsi="仿宋" w:eastAsia="仿宋"/>
          <w:color w:val="000000"/>
          <w:sz w:val="30"/>
          <w:szCs w:val="30"/>
        </w:rPr>
      </w:pPr>
      <w:r>
        <w:rPr>
          <w:rFonts w:hint="eastAsia" w:ascii="仿宋" w:hAnsi="仿宋" w:eastAsia="仿宋" w:cstheme="minorBidi"/>
          <w:sz w:val="30"/>
          <w:szCs w:val="30"/>
        </w:rPr>
        <w:t>本项赛事持续进行</w:t>
      </w:r>
      <w:r>
        <w:rPr>
          <w:rFonts w:hint="eastAsia" w:ascii="仿宋" w:hAnsi="仿宋" w:eastAsia="仿宋" w:cstheme="minorBidi"/>
          <w:sz w:val="30"/>
          <w:szCs w:val="30"/>
          <w:lang w:val="en-US" w:eastAsia="zh-CN"/>
        </w:rPr>
        <w:t>3</w:t>
      </w:r>
      <w:r>
        <w:rPr>
          <w:rFonts w:hint="eastAsia" w:ascii="仿宋" w:hAnsi="仿宋" w:eastAsia="仿宋" w:cstheme="minorBidi"/>
          <w:sz w:val="30"/>
          <w:szCs w:val="30"/>
        </w:rPr>
        <w:t>天，选手第一天上午报道，下午召开赛前说明会和场次抽签活动、并安排选手熟悉赛场；第二天进行比赛</w:t>
      </w:r>
      <w:r>
        <w:rPr>
          <w:rFonts w:hint="eastAsia" w:ascii="仿宋" w:hAnsi="仿宋" w:eastAsia="仿宋"/>
          <w:color w:val="000000"/>
          <w:sz w:val="30"/>
          <w:szCs w:val="30"/>
        </w:rPr>
        <w:t>。比赛时间进度如下图所示。</w:t>
      </w:r>
      <w:r>
        <w:rPr>
          <w:rFonts w:hint="default" w:ascii="仿宋" w:hAnsi="仿宋" w:eastAsia="仿宋"/>
          <w:color w:val="000000"/>
          <w:sz w:val="30"/>
          <w:szCs w:val="30"/>
        </w:rPr>
        <w:t>（具体以赛务手册为准）</w:t>
      </w:r>
    </w:p>
    <w:p>
      <w:pPr>
        <w:rPr>
          <w:rFonts w:hint="eastAsia"/>
          <w:lang w:val="en-US" w:eastAsia="zh-CN"/>
        </w:rPr>
      </w:pPr>
    </w:p>
    <w:tbl>
      <w:tblPr>
        <w:tblStyle w:val="12"/>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03"/>
        <w:gridCol w:w="3151"/>
        <w:gridCol w:w="1582"/>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日期</w:t>
            </w: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时间</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事项</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对象</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restart"/>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第一天</w:t>
            </w: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9:00～15:00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报到、交材料及领取赛事资料等</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领队、选手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15:00～16:00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领队会议</w:t>
            </w:r>
          </w:p>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抽签</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领队</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综合楼报告厅门口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16:00～19:00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kern w:val="2"/>
                <w:sz w:val="21"/>
                <w:szCs w:val="21"/>
                <w:lang w:val="en-US" w:eastAsia="zh-CN" w:bidi="ar-SA"/>
              </w:rPr>
              <w:t>选手熟悉场地</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综合楼报告厅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rPr>
              <w:t>19</w:t>
            </w:r>
            <w:r>
              <w:rPr>
                <w:rFonts w:hint="eastAsia" w:ascii="方正仿宋_GB2312" w:hAnsi="方正仿宋_GB2312" w:eastAsia="方正仿宋_GB2312" w:cs="方正仿宋_GB2312"/>
                <w:b w:val="0"/>
                <w:bCs w:val="0"/>
                <w:sz w:val="21"/>
                <w:szCs w:val="21"/>
                <w:lang w:val="en-US" w:eastAsia="zh-CN"/>
              </w:rPr>
              <w:t>:</w:t>
            </w:r>
            <w:r>
              <w:rPr>
                <w:rFonts w:hint="eastAsia" w:ascii="方正仿宋_GB2312" w:hAnsi="方正仿宋_GB2312" w:eastAsia="方正仿宋_GB2312" w:cs="方正仿宋_GB2312"/>
                <w:b w:val="0"/>
                <w:bCs w:val="0"/>
                <w:sz w:val="21"/>
                <w:szCs w:val="21"/>
              </w:rPr>
              <w:t>00</w:t>
            </w:r>
            <w:r>
              <w:rPr>
                <w:rFonts w:hint="eastAsia" w:ascii="方正仿宋_GB2312" w:hAnsi="方正仿宋_GB2312" w:eastAsia="方正仿宋_GB2312" w:cs="方正仿宋_GB2312"/>
                <w:b w:val="0"/>
                <w:bCs w:val="0"/>
                <w:sz w:val="21"/>
                <w:szCs w:val="21"/>
                <w:lang w:val="en-US" w:eastAsia="zh-CN"/>
              </w:rPr>
              <w:t>～</w:t>
            </w:r>
            <w:r>
              <w:rPr>
                <w:rFonts w:hint="eastAsia" w:ascii="方正仿宋_GB2312" w:hAnsi="方正仿宋_GB2312" w:eastAsia="方正仿宋_GB2312" w:cs="方正仿宋_GB2312"/>
                <w:b w:val="0"/>
                <w:bCs w:val="0"/>
                <w:sz w:val="21"/>
                <w:szCs w:val="21"/>
              </w:rPr>
              <w:t>21</w:t>
            </w:r>
            <w:r>
              <w:rPr>
                <w:rFonts w:hint="eastAsia" w:ascii="方正仿宋_GB2312" w:hAnsi="方正仿宋_GB2312" w:eastAsia="方正仿宋_GB2312" w:cs="方正仿宋_GB2312"/>
                <w:b w:val="0"/>
                <w:bCs w:val="0"/>
                <w:sz w:val="21"/>
                <w:szCs w:val="21"/>
                <w:lang w:val="en-US" w:eastAsia="zh-CN"/>
              </w:rPr>
              <w:t>:</w:t>
            </w:r>
            <w:r>
              <w:rPr>
                <w:rFonts w:hint="eastAsia" w:ascii="方正仿宋_GB2312" w:hAnsi="方正仿宋_GB2312" w:eastAsia="方正仿宋_GB2312" w:cs="方正仿宋_GB2312"/>
                <w:b w:val="0"/>
                <w:bCs w:val="0"/>
                <w:sz w:val="21"/>
                <w:szCs w:val="21"/>
              </w:rPr>
              <w:t>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rPr>
              <w:t>明确竞赛流程、评分标准</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裁判组</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restart"/>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第二天</w:t>
            </w:r>
          </w:p>
        </w:tc>
        <w:tc>
          <w:tcPr>
            <w:tcW w:w="1403" w:type="dxa"/>
            <w:vMerge w:val="restart"/>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8:30～8:45</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检录</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综合楼报告厅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Merge w:val="continue"/>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裁判会议</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裁判组</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综合楼报告厅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8:45～12:00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中国舞组比赛</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综合楼报告厅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12:00～13:00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公布成绩</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Merge w:val="restart"/>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14:00～14:15</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检录</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Merge w:val="continue"/>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裁判会议</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裁判组</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14:15～18:00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拉丁舞组比赛</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18:00～19:00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公布成绩</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restart"/>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第三天</w:t>
            </w:r>
          </w:p>
        </w:tc>
        <w:tc>
          <w:tcPr>
            <w:tcW w:w="1403" w:type="dxa"/>
            <w:vMerge w:val="restart"/>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8:30～8:45</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检录</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Merge w:val="continue"/>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裁判会议</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裁判组</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8:45～12:00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街舞组比赛</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12:00～13:00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公布成绩</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Merge w:val="restart"/>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14:00～14:15</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检录</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Merge w:val="continue"/>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裁判会议</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裁判组</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综合楼报告厅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Merge w:val="continue"/>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tc>
        <w:tc>
          <w:tcPr>
            <w:tcW w:w="1403"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14:15～17:00</w:t>
            </w:r>
          </w:p>
        </w:tc>
        <w:tc>
          <w:tcPr>
            <w:tcW w:w="3151"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健美操组比赛</w:t>
            </w:r>
          </w:p>
        </w:tc>
        <w:tc>
          <w:tcPr>
            <w:tcW w:w="1582"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rPr>
              <w:t>当天比赛选手</w:t>
            </w:r>
          </w:p>
        </w:tc>
        <w:tc>
          <w:tcPr>
            <w:tcW w:w="2040" w:type="dxa"/>
            <w:vAlign w:val="center"/>
          </w:tcPr>
          <w:p>
            <w:pPr>
              <w:pStyle w:val="7"/>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sz w:val="21"/>
                <w:szCs w:val="21"/>
                <w:lang w:val="en-US" w:eastAsia="zh-CN"/>
              </w:rPr>
              <w:t>综合楼报告厅</w:t>
            </w:r>
          </w:p>
        </w:tc>
      </w:tr>
    </w:tbl>
    <w:p>
      <w:pPr>
        <w:keepNext w:val="0"/>
        <w:keepLines w:val="0"/>
        <w:pageBreakBefore w:val="0"/>
        <w:numPr>
          <w:ilvl w:val="0"/>
          <w:numId w:val="0"/>
        </w:numPr>
        <w:kinsoku/>
        <w:wordWrap/>
        <w:overflowPunct/>
        <w:topLinePunct w:val="0"/>
        <w:autoSpaceDE/>
        <w:autoSpaceDN/>
        <w:bidi w:val="0"/>
        <w:spacing w:line="560" w:lineRule="exact"/>
        <w:textAlignment w:val="auto"/>
        <w:outlineLvl w:val="1"/>
        <w:rPr>
          <w:rFonts w:hint="default" w:asciiTheme="minorEastAsia" w:hAnsiTheme="minorEastAsia" w:cstheme="minorEastAsia"/>
          <w:b/>
          <w:bCs/>
          <w:sz w:val="32"/>
          <w:szCs w:val="32"/>
          <w:highlight w:val="cyan"/>
          <w:lang w:eastAsia="zh-CN"/>
        </w:rPr>
      </w:pP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六、</w:t>
      </w:r>
      <w:r>
        <w:rPr>
          <w:rFonts w:hint="eastAsia" w:ascii="黑体" w:hAnsi="黑体" w:eastAsia="黑体" w:cs="黑体"/>
          <w:b w:val="0"/>
          <w:bCs w:val="0"/>
          <w:sz w:val="30"/>
          <w:szCs w:val="30"/>
        </w:rPr>
        <w:t>竞赛内容</w:t>
      </w:r>
      <w:bookmarkEnd w:id="8"/>
      <w:bookmarkEnd w:id="9"/>
      <w:bookmarkEnd w:id="10"/>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本赛项参赛形式为团体赛方式，分为四个舞种（拉丁舞、中国舞、健美操、街舞）。</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（一）创编要求：</w:t>
      </w:r>
      <w:r>
        <w:rPr>
          <w:rFonts w:hint="default" w:ascii="仿宋" w:hAnsi="仿宋" w:eastAsia="仿宋" w:cs="宋体"/>
          <w:kern w:val="0"/>
          <w:sz w:val="30"/>
          <w:szCs w:val="30"/>
          <w:lang w:eastAsia="zh-CN"/>
        </w:rPr>
        <w:t>尊重</w:t>
      </w:r>
      <w:r>
        <w:rPr>
          <w:rFonts w:hint="eastAsia" w:ascii="仿宋" w:hAnsi="仿宋" w:eastAsia="仿宋" w:cs="宋体"/>
          <w:kern w:val="0"/>
          <w:sz w:val="30"/>
          <w:szCs w:val="30"/>
          <w:lang w:val="en-US" w:eastAsia="zh-CN"/>
        </w:rPr>
        <w:t>原创，队形与方向的变化均为可创编空间和变化因素。创编内容要求设计巧妙、造型优美、完成流畅、要与音乐风格吻合，连接流畅、自然，鼓励创新，突出个性特点和风格；动作编排不得超出参赛选手的能力范围，不得编排可能造成参赛选手伤害的动作内容。</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（二）完成要求：参赛选手在指定音乐的伴奏下，完成作品的展示，充分展示运动技巧，体现青春活力、团队精神。</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三）着装仪容：男、女参赛选手着装应整洁美观，头发不遮脸,允许化淡妆，不得佩戴任何首饰；必须着合适内衣，不得过于暴露，不得显露纹身，不得造型怪异；服装上禁止描绘战争、暴力、宗教信仰或性爱主题的元素。</w:t>
      </w: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七、竞赛方式</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（一）竞赛形式：线下比赛。</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（二）组队方式：团体赛，每所学校配领队1人，每个作品限</w:t>
      </w:r>
      <w:r>
        <w:rPr>
          <w:rFonts w:hint="eastAsia" w:ascii="仿宋" w:hAnsi="仿宋" w:eastAsia="仿宋" w:cs="宋体"/>
          <w:kern w:val="0"/>
          <w:sz w:val="30"/>
          <w:szCs w:val="30"/>
          <w:highlight w:val="none"/>
          <w:lang w:val="en-US" w:eastAsia="zh-CN"/>
        </w:rPr>
        <w:t>报1-2名指导教师</w:t>
      </w:r>
      <w:r>
        <w:rPr>
          <w:rFonts w:hint="eastAsia" w:ascii="仿宋" w:hAnsi="仿宋" w:eastAsia="仿宋" w:cs="宋体"/>
          <w:kern w:val="0"/>
          <w:sz w:val="30"/>
          <w:szCs w:val="30"/>
          <w:lang w:val="en-US" w:eastAsia="zh-CN"/>
        </w:rPr>
        <w:t>，须为本校在职教师。</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三）参赛作品数量：同一院校报名参赛作品不超过2个（参赛队不超过2支），每个作品（参赛队）3-6人，参赛选手限报一个作品，不得兼报，报名时可报替补队员1人，只有报名的参赛队员和替补队员才有资格参加比赛。</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（四）赛制：四个项目的比赛均采用预决赛同场制，比赛出场顺序由赛前抽签决定。</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四）组织机构：在河南省高等职业教育技能大赛组委会的指导下，由新乡职业技术学院牵头成立2023年河南省高等职业教育技能大赛“校园创编舞”赛项执委会，下设本赛项专家组、监督组、裁判组、仲裁组等工作机构。</w:t>
      </w: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八、竞赛规则</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（一）赛题</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Theme="minorEastAsia" w:hAnsiTheme="minorEastAsia" w:cstheme="minorEastAsia"/>
          <w:color w:val="000000"/>
          <w:kern w:val="0"/>
          <w:sz w:val="32"/>
          <w:szCs w:val="32"/>
          <w:lang w:val="en-US" w:eastAsia="zh-CN"/>
        </w:rPr>
      </w:pPr>
      <w:r>
        <w:rPr>
          <w:rFonts w:hint="eastAsia" w:ascii="仿宋" w:hAnsi="仿宋" w:eastAsia="仿宋" w:cs="宋体"/>
          <w:kern w:val="0"/>
          <w:sz w:val="30"/>
          <w:szCs w:val="30"/>
          <w:lang w:val="en-US" w:eastAsia="zh-CN"/>
        </w:rPr>
        <w:t>赛项专家组负责本赛项赛题的编制工作，编制工作赛前保密。竞赛音乐由主办方统一提供，并于文件下发之日予以公布，各参赛单位根据规定音乐进行动作创编。</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 xml:space="preserve">（二）选手报名 </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 xml:space="preserve">1.通过“河南省高等职业院校技能大赛报名系统”报名参赛。 </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2.不符合参赛资格的学生不得参赛，一经发现即取消参赛资格，且大赛执委会有权责令其退回已经获得的有关荣誉和奖励，并予以通报。</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（三）熟悉场地</w:t>
      </w:r>
    </w:p>
    <w:p>
      <w:pPr>
        <w:keepNext w:val="0"/>
        <w:keepLines w:val="0"/>
        <w:pageBreakBefore w:val="0"/>
        <w:widowControl w:val="0"/>
        <w:kinsoku/>
        <w:wordWrap/>
        <w:overflowPunct/>
        <w:topLinePunct w:val="0"/>
        <w:bidi w:val="0"/>
        <w:snapToGrid w:val="0"/>
        <w:spacing w:line="560" w:lineRule="exact"/>
        <w:ind w:firstLine="600" w:firstLineChars="200"/>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 xml:space="preserve">比赛场地在比赛日前一天对选手开放，并安排参赛学校的具体试场地时间，限定在指定区域。 </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（四）入场规则</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 xml:space="preserve">1.选手按规定时间准时到达赛场检录区集合。 </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2.选手须提供本人的参赛证、身份证、学生证。</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3.参赛选手具体竞赛时间、顺序由抽签决定。须提前在规定时间内到达赛区现场检录；迟到超过15分钟的选手，视作弃权，不得入场竞赛。</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 xml:space="preserve">4.参赛人员禁止携带易燃易爆、有毒有害、管制刀具等危险品进入赛场。 </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（五）赛场规则</w:t>
      </w:r>
    </w:p>
    <w:p>
      <w:pPr>
        <w:keepNext w:val="0"/>
        <w:keepLines w:val="0"/>
        <w:pageBreakBefore w:val="0"/>
        <w:widowControl w:val="0"/>
        <w:kinsoku/>
        <w:wordWrap/>
        <w:overflowPunct/>
        <w:topLinePunct w:val="0"/>
        <w:bidi w:val="0"/>
        <w:spacing w:line="56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1.选手须严格遵守竞赛规程规定的安全操作流程，防止发生安全事故。</w:t>
      </w:r>
    </w:p>
    <w:p>
      <w:pPr>
        <w:keepNext w:val="0"/>
        <w:keepLines w:val="0"/>
        <w:pageBreakBefore w:val="0"/>
        <w:widowControl w:val="0"/>
        <w:kinsoku/>
        <w:wordWrap/>
        <w:overflowPunct/>
        <w:topLinePunct w:val="0"/>
        <w:bidi w:val="0"/>
        <w:spacing w:line="56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2.竞赛过程中接受裁判员的监督和警示。若因选手个人原因造成设备故障，裁判长有权中止比赛</w:t>
      </w:r>
      <w:r>
        <w:rPr>
          <w:rFonts w:hint="eastAsia" w:ascii="仿宋" w:hAnsi="仿宋" w:eastAsia="仿宋" w:cs="仿宋"/>
          <w:sz w:val="30"/>
          <w:szCs w:val="30"/>
          <w:lang w:eastAsia="zh-CN"/>
        </w:rPr>
        <w:t>，</w:t>
      </w:r>
      <w:r>
        <w:rPr>
          <w:rFonts w:hint="eastAsia" w:ascii="仿宋" w:hAnsi="仿宋" w:eastAsia="仿宋" w:cs="仿宋"/>
          <w:sz w:val="30"/>
          <w:szCs w:val="30"/>
          <w:u w:val="none" w:color="auto"/>
          <w:lang w:eastAsia="zh-CN"/>
        </w:rPr>
        <w:t>所造成后果由参赛队负责</w:t>
      </w:r>
      <w:r>
        <w:rPr>
          <w:rFonts w:hint="eastAsia" w:ascii="仿宋" w:hAnsi="仿宋" w:eastAsia="仿宋" w:cs="仿宋"/>
          <w:sz w:val="30"/>
          <w:szCs w:val="30"/>
        </w:rPr>
        <w:t>。</w:t>
      </w:r>
    </w:p>
    <w:p>
      <w:pPr>
        <w:keepNext w:val="0"/>
        <w:keepLines w:val="0"/>
        <w:pageBreakBefore w:val="0"/>
        <w:widowControl w:val="0"/>
        <w:kinsoku/>
        <w:wordWrap/>
        <w:overflowPunct/>
        <w:topLinePunct w:val="0"/>
        <w:bidi w:val="0"/>
        <w:spacing w:line="56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3.选手对于认为有影响个人比赛成绩的裁判行为或设备故障等，应向指导老师反映，由指导老师按大赛制度规定进行申诉。参赛选手不得利用微信群、QQ 群、自媒体等媒介发表虚假信息和不当言论。</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 xml:space="preserve">（六）离场规则 </w:t>
      </w:r>
    </w:p>
    <w:p>
      <w:pPr>
        <w:keepNext w:val="0"/>
        <w:keepLines w:val="0"/>
        <w:pageBreakBefore w:val="0"/>
        <w:widowControl w:val="0"/>
        <w:kinsoku/>
        <w:wordWrap/>
        <w:overflowPunct/>
        <w:topLinePunct w:val="0"/>
        <w:bidi w:val="0"/>
        <w:spacing w:line="56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 xml:space="preserve">1.选手在竞赛结束后，方可离开赛场。 </w:t>
      </w:r>
    </w:p>
    <w:p>
      <w:pPr>
        <w:keepNext w:val="0"/>
        <w:keepLines w:val="0"/>
        <w:pageBreakBefore w:val="0"/>
        <w:widowControl w:val="0"/>
        <w:kinsoku/>
        <w:wordWrap/>
        <w:overflowPunct/>
        <w:topLinePunct w:val="0"/>
        <w:bidi w:val="0"/>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2.裁判长宣布终止比赛时，选手应停止竞赛任务的操作。</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 xml:space="preserve">（七）成绩评定与结果公布 </w:t>
      </w:r>
    </w:p>
    <w:p>
      <w:pPr>
        <w:keepNext w:val="0"/>
        <w:keepLines w:val="0"/>
        <w:pageBreakBefore w:val="0"/>
        <w:widowControl w:val="0"/>
        <w:kinsoku/>
        <w:wordWrap/>
        <w:overflowPunct/>
        <w:topLinePunct w:val="0"/>
        <w:bidi w:val="0"/>
        <w:spacing w:line="560" w:lineRule="exact"/>
        <w:ind w:firstLine="600" w:firstLineChars="200"/>
        <w:textAlignment w:val="auto"/>
        <w:rPr>
          <w:rFonts w:hint="default" w:ascii="仿宋" w:hAnsi="仿宋" w:eastAsia="仿宋" w:cs="仿宋"/>
          <w:kern w:val="0"/>
          <w:sz w:val="30"/>
          <w:szCs w:val="30"/>
          <w:lang w:val="zh-CN" w:eastAsia="zh-CN" w:bidi="zh-CN"/>
        </w:rPr>
      </w:pPr>
      <w:r>
        <w:rPr>
          <w:rFonts w:hint="default" w:ascii="仿宋" w:hAnsi="仿宋" w:eastAsia="仿宋" w:cs="仿宋"/>
          <w:kern w:val="0"/>
          <w:sz w:val="30"/>
          <w:szCs w:val="30"/>
          <w:lang w:val="zh-CN" w:eastAsia="zh-CN" w:bidi="zh-CN"/>
        </w:rPr>
        <w:t>1.由裁判组成员进行执裁。</w:t>
      </w:r>
    </w:p>
    <w:p>
      <w:pPr>
        <w:keepNext w:val="0"/>
        <w:keepLines w:val="0"/>
        <w:pageBreakBefore w:val="0"/>
        <w:widowControl w:val="0"/>
        <w:kinsoku/>
        <w:wordWrap/>
        <w:overflowPunct/>
        <w:topLinePunct w:val="0"/>
        <w:bidi w:val="0"/>
        <w:spacing w:line="560" w:lineRule="exact"/>
        <w:ind w:firstLine="600" w:firstLineChars="200"/>
        <w:textAlignment w:val="auto"/>
        <w:rPr>
          <w:rFonts w:hint="eastAsia" w:ascii="仿宋" w:hAnsi="仿宋" w:eastAsia="仿宋" w:cs="仿宋"/>
          <w:kern w:val="0"/>
          <w:sz w:val="30"/>
          <w:szCs w:val="30"/>
          <w:lang w:val="zh-CN" w:eastAsia="zh-CN" w:bidi="zh-CN"/>
        </w:rPr>
      </w:pPr>
      <w:r>
        <w:rPr>
          <w:rFonts w:hint="eastAsia" w:ascii="仿宋" w:hAnsi="仿宋" w:eastAsia="仿宋" w:cs="仿宋"/>
          <w:kern w:val="0"/>
          <w:sz w:val="30"/>
          <w:szCs w:val="30"/>
          <w:lang w:val="zh-CN" w:eastAsia="zh-CN" w:bidi="zh-CN"/>
        </w:rPr>
        <w:t>2.各裁判根据最终提交竞赛结果进行评分。</w:t>
      </w:r>
    </w:p>
    <w:p>
      <w:pPr>
        <w:keepNext w:val="0"/>
        <w:keepLines w:val="0"/>
        <w:pageBreakBefore w:val="0"/>
        <w:widowControl w:val="0"/>
        <w:kinsoku/>
        <w:wordWrap/>
        <w:overflowPunct/>
        <w:topLinePunct w:val="0"/>
        <w:bidi w:val="0"/>
        <w:spacing w:line="560" w:lineRule="exact"/>
        <w:ind w:firstLine="600" w:firstLineChars="200"/>
        <w:textAlignment w:val="auto"/>
        <w:rPr>
          <w:rFonts w:hint="default" w:ascii="仿宋" w:hAnsi="仿宋" w:eastAsia="仿宋" w:cs="仿宋"/>
          <w:kern w:val="0"/>
          <w:sz w:val="30"/>
          <w:szCs w:val="30"/>
          <w:lang w:val="zh-CN" w:eastAsia="zh-CN" w:bidi="zh-CN"/>
        </w:rPr>
      </w:pPr>
      <w:r>
        <w:rPr>
          <w:rFonts w:hint="eastAsia" w:ascii="仿宋" w:hAnsi="仿宋" w:eastAsia="仿宋" w:cs="仿宋"/>
          <w:kern w:val="0"/>
          <w:sz w:val="30"/>
          <w:szCs w:val="30"/>
          <w:lang w:val="zh-CN" w:eastAsia="zh-CN" w:bidi="zh-CN"/>
        </w:rPr>
        <w:t>3.比赛成绩经专人复核后，经裁判组、监督仲裁组签字后进行公示。公示时间为2小时。</w:t>
      </w:r>
    </w:p>
    <w:p>
      <w:pPr>
        <w:keepNext w:val="0"/>
        <w:keepLines w:val="0"/>
        <w:pageBreakBefore w:val="0"/>
        <w:widowControl w:val="0"/>
        <w:kinsoku/>
        <w:wordWrap/>
        <w:overflowPunct/>
        <w:topLinePunct w:val="0"/>
        <w:bidi w:val="0"/>
        <w:spacing w:line="560" w:lineRule="exact"/>
        <w:ind w:firstLine="600" w:firstLineChars="200"/>
        <w:textAlignment w:val="auto"/>
        <w:rPr>
          <w:rFonts w:ascii="仿宋" w:hAnsi="仿宋" w:eastAsia="仿宋" w:cs="仿宋"/>
          <w:sz w:val="32"/>
          <w:szCs w:val="32"/>
        </w:rPr>
      </w:pPr>
      <w:r>
        <w:rPr>
          <w:rFonts w:hint="eastAsia" w:ascii="仿宋" w:hAnsi="仿宋" w:eastAsia="仿宋" w:cs="仿宋"/>
          <w:kern w:val="0"/>
          <w:sz w:val="30"/>
          <w:szCs w:val="30"/>
          <w:lang w:val="zh-CN" w:eastAsia="zh-CN" w:bidi="zh-CN"/>
        </w:rPr>
        <w:t>4.赛场裁判将数据进</w:t>
      </w:r>
      <w:r>
        <w:rPr>
          <w:rFonts w:hint="eastAsia" w:ascii="仿宋" w:hAnsi="仿宋" w:eastAsia="仿宋" w:cs="仿宋"/>
          <w:sz w:val="32"/>
          <w:szCs w:val="32"/>
        </w:rPr>
        <w:t>行备份和保存，成绩单提交给大赛执委会备案。</w:t>
      </w:r>
    </w:p>
    <w:p>
      <w:pPr>
        <w:keepNext w:val="0"/>
        <w:keepLines w:val="0"/>
        <w:pageBreakBefore w:val="0"/>
        <w:widowControl w:val="0"/>
        <w:kinsoku/>
        <w:wordWrap/>
        <w:overflowPunct/>
        <w:topLinePunct w:val="0"/>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5.参赛代表队若对赛事有异议，可由领队按规程提出书面申诉。</w:t>
      </w: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九、竞赛环境</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 xml:space="preserve">赛场采光、照明、通风和温控条件良好，划分为检录区、候赛区、竞赛区、裁判区、观摩区、休息区、选手通道、观摩通道等区域，区域之间有明显标志或警示带。 </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赛场有保安、消防、电力维修等人员待命，并设置安全应急通道，以防突发事件。赛场配备医疗等服务站点，为选手和工作人员提供服务。</w:t>
      </w: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bookmarkStart w:id="11" w:name="_Toc24921"/>
      <w:bookmarkStart w:id="12" w:name="_Toc3385"/>
      <w:bookmarkStart w:id="13" w:name="_Toc2391"/>
      <w:r>
        <w:rPr>
          <w:rFonts w:hint="eastAsia" w:ascii="黑体" w:hAnsi="黑体" w:eastAsia="黑体" w:cs="黑体"/>
          <w:b w:val="0"/>
          <w:bCs w:val="0"/>
          <w:sz w:val="30"/>
          <w:szCs w:val="30"/>
        </w:rPr>
        <w:t>十</w:t>
      </w:r>
      <w:r>
        <w:rPr>
          <w:rFonts w:hint="eastAsia" w:ascii="黑体" w:hAnsi="黑体" w:eastAsia="黑体" w:cs="黑体"/>
          <w:b w:val="0"/>
          <w:bCs w:val="0"/>
          <w:sz w:val="30"/>
          <w:szCs w:val="30"/>
          <w:lang w:eastAsia="zh-CN"/>
        </w:rPr>
        <w:t>、</w:t>
      </w:r>
      <w:r>
        <w:rPr>
          <w:rFonts w:hint="eastAsia" w:ascii="黑体" w:hAnsi="黑体" w:eastAsia="黑体" w:cs="黑体"/>
          <w:b w:val="0"/>
          <w:bCs w:val="0"/>
          <w:sz w:val="30"/>
          <w:szCs w:val="30"/>
        </w:rPr>
        <w:t>成绩评定</w:t>
      </w:r>
      <w:bookmarkEnd w:id="11"/>
      <w:bookmarkEnd w:id="12"/>
      <w:bookmarkEnd w:id="13"/>
      <w:bookmarkStart w:id="14" w:name="_Toc31407"/>
      <w:bookmarkStart w:id="15" w:name="_Toc15104"/>
      <w:bookmarkStart w:id="16" w:name="_Toc6201"/>
    </w:p>
    <w:bookmarkEnd w:id="14"/>
    <w:bookmarkEnd w:id="15"/>
    <w:bookmarkEnd w:id="16"/>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default"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（一）赛项评分标准</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 xml:space="preserve">成绩评定遵循科学合理、规范严谨、公平公正的原则，既全面衡量，又突出重点；既重视基础水平和质量，又重视综合表现和创造能力；专业性与职业性相融合。 </w:t>
      </w:r>
    </w:p>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1、中国舞</w:t>
      </w:r>
    </w:p>
    <w:tbl>
      <w:tblPr>
        <w:tblStyle w:val="12"/>
        <w:tblpPr w:leftFromText="180" w:rightFromText="180" w:vertAnchor="page" w:horzAnchor="page" w:tblpX="1525" w:tblpY="8067"/>
        <w:tblOverlap w:val="never"/>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646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04" w:type="dxa"/>
            <w:noWrap w:val="0"/>
            <w:vAlign w:val="center"/>
          </w:tcPr>
          <w:p>
            <w:pPr>
              <w:pStyle w:val="7"/>
              <w:spacing w:before="0" w:after="0" w:line="320" w:lineRule="exact"/>
              <w:jc w:val="center"/>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评分内容</w:t>
            </w:r>
          </w:p>
        </w:tc>
        <w:tc>
          <w:tcPr>
            <w:tcW w:w="6460" w:type="dxa"/>
            <w:noWrap w:val="0"/>
            <w:vAlign w:val="center"/>
          </w:tcPr>
          <w:p>
            <w:pPr>
              <w:pStyle w:val="7"/>
              <w:spacing w:before="0" w:after="0" w:line="320" w:lineRule="exact"/>
              <w:jc w:val="center"/>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评分标准</w:t>
            </w:r>
          </w:p>
        </w:tc>
        <w:tc>
          <w:tcPr>
            <w:tcW w:w="1013" w:type="dxa"/>
            <w:noWrap w:val="0"/>
            <w:vAlign w:val="center"/>
          </w:tcPr>
          <w:p>
            <w:pPr>
              <w:keepNext w:val="0"/>
              <w:keepLines w:val="0"/>
              <w:pageBreakBefore w:val="0"/>
              <w:widowControl/>
              <w:suppressLineNumbers w:val="0"/>
              <w:kinsoku/>
              <w:wordWrap/>
              <w:overflowPunct/>
              <w:topLinePunct w:val="0"/>
              <w:autoSpaceDE/>
              <w:autoSpaceDN/>
              <w:bidi w:val="0"/>
              <w:jc w:val="center"/>
              <w:textAlignment w:val="center"/>
              <w:rPr>
                <w:rFonts w:hint="eastAsia" w:ascii="方正黑体_GBK" w:hAnsi="方正黑体_GBK" w:eastAsia="方正黑体_GBK" w:cs="方正黑体_GBK"/>
                <w:i w:val="0"/>
                <w:iCs w:val="0"/>
                <w:color w:val="000000"/>
                <w:kern w:val="0"/>
                <w:sz w:val="21"/>
                <w:szCs w:val="21"/>
                <w:u w:val="none"/>
                <w:lang w:val="en-US" w:eastAsia="zh-CN" w:bidi="ar"/>
              </w:rPr>
            </w:pPr>
            <w:r>
              <w:rPr>
                <w:rFonts w:hint="eastAsia" w:ascii="方正黑体_GBK" w:hAnsi="方正黑体_GBK" w:eastAsia="方正黑体_GBK" w:cs="方正黑体_GBK"/>
                <w:i w:val="0"/>
                <w:iCs w:val="0"/>
                <w:color w:val="000000"/>
                <w:kern w:val="0"/>
                <w:sz w:val="21"/>
                <w:szCs w:val="21"/>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604"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主题内容</w:t>
            </w:r>
          </w:p>
        </w:tc>
        <w:tc>
          <w:tcPr>
            <w:tcW w:w="6460" w:type="dxa"/>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作品内容符合指定音乐，突出“希望”主题，健康向上，思想性强，格调高雅。</w:t>
            </w:r>
          </w:p>
        </w:tc>
        <w:tc>
          <w:tcPr>
            <w:tcW w:w="1013"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604"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表现力</w:t>
            </w:r>
          </w:p>
        </w:tc>
        <w:tc>
          <w:tcPr>
            <w:tcW w:w="6460" w:type="dxa"/>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感情真挚饱满，富有韵味和感染力，表现力和观赏性强。</w:t>
            </w:r>
          </w:p>
        </w:tc>
        <w:tc>
          <w:tcPr>
            <w:tcW w:w="1013"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604"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空间调度</w:t>
            </w:r>
          </w:p>
        </w:tc>
        <w:tc>
          <w:tcPr>
            <w:tcW w:w="6460" w:type="dxa"/>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整个剧目合理运用比赛场地，有效利用三维空间的变化，队形设计新颖合理变化清晰、流畅，体现团队配合意识。</w:t>
            </w:r>
          </w:p>
        </w:tc>
        <w:tc>
          <w:tcPr>
            <w:tcW w:w="1013"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604"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原创性</w:t>
            </w:r>
          </w:p>
        </w:tc>
        <w:tc>
          <w:tcPr>
            <w:tcW w:w="6460" w:type="dxa"/>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整个剧目围绕主题音乐进行动作创编，鼓励原创，动作内容新颖、多样，连接自然流畅，表现出艺术性和表演性。</w:t>
            </w:r>
          </w:p>
        </w:tc>
        <w:tc>
          <w:tcPr>
            <w:tcW w:w="1013"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604"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动作技巧</w:t>
            </w:r>
          </w:p>
        </w:tc>
        <w:tc>
          <w:tcPr>
            <w:tcW w:w="6460" w:type="dxa"/>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舞蹈动作与技巧表达合理，能正确反映作品的内涵。</w:t>
            </w:r>
          </w:p>
        </w:tc>
        <w:tc>
          <w:tcPr>
            <w:tcW w:w="1013" w:type="dxa"/>
            <w:noWrap w:val="0"/>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p>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10</w:t>
            </w:r>
          </w:p>
        </w:tc>
      </w:tr>
    </w:tbl>
    <w:p>
      <w:pPr>
        <w:ind w:firstLine="600" w:firstLineChars="200"/>
        <w:rPr>
          <w:rFonts w:hint="eastAsia" w:ascii="仿宋" w:hAnsi="仿宋" w:eastAsia="仿宋" w:cs="宋体"/>
          <w:kern w:val="0"/>
          <w:sz w:val="30"/>
          <w:szCs w:val="30"/>
          <w:lang w:val="en-US" w:eastAsia="zh-CN"/>
        </w:rPr>
      </w:pPr>
    </w:p>
    <w:p>
      <w:pPr>
        <w:pStyle w:val="3"/>
        <w:rPr>
          <w:rFonts w:hint="eastAsia" w:ascii="仿宋" w:hAnsi="仿宋" w:eastAsia="仿宋" w:cs="宋体"/>
          <w:kern w:val="0"/>
          <w:sz w:val="30"/>
          <w:szCs w:val="30"/>
          <w:lang w:val="en-US" w:eastAsia="zh-CN"/>
        </w:rPr>
      </w:pPr>
    </w:p>
    <w:p>
      <w:pPr>
        <w:pStyle w:val="3"/>
        <w:rPr>
          <w:rFonts w:hint="eastAsia" w:ascii="仿宋" w:hAnsi="仿宋" w:eastAsia="仿宋" w:cs="宋体"/>
          <w:kern w:val="0"/>
          <w:sz w:val="30"/>
          <w:szCs w:val="30"/>
          <w:lang w:val="en-US" w:eastAsia="zh-CN"/>
        </w:rPr>
      </w:pPr>
    </w:p>
    <w:p>
      <w:pPr>
        <w:numPr>
          <w:ilvl w:val="0"/>
          <w:numId w:val="0"/>
        </w:numPr>
        <w:rPr>
          <w:rFonts w:hint="eastAsia" w:ascii="仿宋" w:hAnsi="仿宋" w:eastAsia="仿宋" w:cs="宋体"/>
          <w:kern w:val="0"/>
          <w:sz w:val="30"/>
          <w:szCs w:val="30"/>
          <w:lang w:val="en-US" w:eastAsia="zh-CN"/>
        </w:rPr>
      </w:pPr>
    </w:p>
    <w:p>
      <w:pPr>
        <w:numPr>
          <w:ilvl w:val="0"/>
          <w:numId w:val="0"/>
        </w:numPr>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2、拉丁舞</w:t>
      </w:r>
    </w:p>
    <w:tbl>
      <w:tblPr>
        <w:tblStyle w:val="11"/>
        <w:tblpPr w:leftFromText="180" w:rightFromText="180" w:vertAnchor="text" w:horzAnchor="page" w:tblpX="1528" w:tblpY="49"/>
        <w:tblOverlap w:val="never"/>
        <w:tblW w:w="9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87"/>
        <w:gridCol w:w="6388"/>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jc w:val="center"/>
              <w:textAlignment w:val="center"/>
              <w:rPr>
                <w:rFonts w:hint="eastAsia" w:ascii="方正黑体_GBK" w:hAnsi="方正黑体_GBK" w:eastAsia="方正黑体_GBK" w:cs="方正黑体_GBK"/>
                <w:b w:val="0"/>
                <w:bCs w:val="0"/>
                <w:kern w:val="2"/>
                <w:sz w:val="21"/>
                <w:szCs w:val="21"/>
                <w:lang w:val="en-US" w:eastAsia="zh-CN" w:bidi="ar-SA"/>
              </w:rPr>
            </w:pPr>
            <w:r>
              <w:rPr>
                <w:rFonts w:hint="eastAsia" w:ascii="方正黑体_GBK" w:hAnsi="方正黑体_GBK" w:eastAsia="方正黑体_GBK" w:cs="方正黑体_GBK"/>
                <w:b w:val="0"/>
                <w:bCs w:val="0"/>
                <w:kern w:val="2"/>
                <w:sz w:val="21"/>
                <w:szCs w:val="21"/>
                <w:lang w:val="en-US" w:eastAsia="zh-CN" w:bidi="ar-SA"/>
              </w:rPr>
              <w:t>评分内容</w:t>
            </w:r>
          </w:p>
        </w:tc>
        <w:tc>
          <w:tcPr>
            <w:tcW w:w="63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center"/>
              <w:textAlignment w:val="center"/>
              <w:rPr>
                <w:rFonts w:hint="eastAsia" w:ascii="方正黑体_GBK" w:hAnsi="方正黑体_GBK" w:eastAsia="方正黑体_GBK" w:cs="方正黑体_GBK"/>
                <w:b w:val="0"/>
                <w:bCs w:val="0"/>
                <w:kern w:val="2"/>
                <w:sz w:val="21"/>
                <w:szCs w:val="21"/>
                <w:lang w:val="en-US" w:eastAsia="zh-CN" w:bidi="ar-SA"/>
              </w:rPr>
            </w:pPr>
            <w:r>
              <w:rPr>
                <w:rFonts w:hint="eastAsia" w:ascii="方正黑体_GBK" w:hAnsi="方正黑体_GBK" w:eastAsia="方正黑体_GBK" w:cs="方正黑体_GBK"/>
                <w:b w:val="0"/>
                <w:bCs w:val="0"/>
                <w:kern w:val="2"/>
                <w:sz w:val="21"/>
                <w:szCs w:val="21"/>
                <w:lang w:val="en-US" w:eastAsia="zh-CN" w:bidi="ar-SA"/>
              </w:rPr>
              <w:t>评分标准</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jc w:val="center"/>
              <w:textAlignment w:val="center"/>
              <w:rPr>
                <w:rFonts w:hint="eastAsia" w:ascii="方正黑体_GBK" w:hAnsi="方正黑体_GBK" w:eastAsia="方正黑体_GBK" w:cs="方正黑体_GBK"/>
                <w:b w:val="0"/>
                <w:bCs w:val="0"/>
                <w:kern w:val="2"/>
                <w:sz w:val="21"/>
                <w:szCs w:val="21"/>
                <w:lang w:val="en-US" w:eastAsia="zh-CN" w:bidi="ar-SA"/>
              </w:rPr>
            </w:pPr>
            <w:r>
              <w:rPr>
                <w:rFonts w:hint="eastAsia" w:ascii="方正黑体_GBK" w:hAnsi="方正黑体_GBK" w:eastAsia="方正黑体_GBK" w:cs="方正黑体_GBK"/>
                <w:b w:val="0"/>
                <w:bCs w:val="0"/>
                <w:kern w:val="2"/>
                <w:sz w:val="21"/>
                <w:szCs w:val="21"/>
                <w:lang w:val="en-US" w:eastAsia="zh-CN" w:bidi="ar-SA"/>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成套创编</w:t>
            </w:r>
          </w:p>
        </w:tc>
        <w:tc>
          <w:tcPr>
            <w:tcW w:w="63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成套编排主题突出，动作内容新颖、多样，连接自然流畅，动作设计风格特点突出；开始和结束动作创编应表现出艺术性和表演性。</w:t>
            </w:r>
          </w:p>
        </w:tc>
        <w:tc>
          <w:tcPr>
            <w:tcW w:w="9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jc w:val="center"/>
              <w:textAlignment w:val="center"/>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kern w:val="2"/>
                <w:sz w:val="21"/>
                <w:szCs w:val="21"/>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c>
          <w:tcPr>
            <w:tcW w:w="63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c>
          <w:tcPr>
            <w:tcW w:w="9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场地空间与队形</w:t>
            </w:r>
          </w:p>
        </w:tc>
        <w:tc>
          <w:tcPr>
            <w:tcW w:w="6388"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套路动作需最大限度地使用比赛的场地，有效利用三维空间的变化；队形设计新颖合理变化清晰、流畅，体现团队配合意识。</w:t>
            </w:r>
          </w:p>
        </w:tc>
        <w:tc>
          <w:tcPr>
            <w:tcW w:w="910"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音乐与表现</w:t>
            </w:r>
          </w:p>
        </w:tc>
        <w:tc>
          <w:tcPr>
            <w:tcW w:w="6388" w:type="dxa"/>
            <w:vMerge w:val="restart"/>
            <w:tcBorders>
              <w:top w:val="single" w:color="000000" w:sz="4" w:space="0"/>
              <w:left w:val="single" w:color="000000" w:sz="4" w:space="0"/>
              <w:bottom w:val="nil"/>
              <w:right w:val="single" w:color="000000" w:sz="4" w:space="0"/>
            </w:tcBorders>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套路动作与音乐的节奏、风格相吻合，表演热情洋溢，将舞蹈、激情、表演融为一体，表现出健康自信与活力，彰现团队表演的感染力。</w:t>
            </w:r>
          </w:p>
        </w:tc>
        <w:tc>
          <w:tcPr>
            <w:tcW w:w="910" w:type="dxa"/>
            <w:vMerge w:val="restart"/>
            <w:tcBorders>
              <w:top w:val="single" w:color="000000" w:sz="4" w:space="0"/>
              <w:left w:val="single" w:color="000000" w:sz="4" w:space="0"/>
              <w:bottom w:val="nil"/>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c>
          <w:tcPr>
            <w:tcW w:w="6388"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c>
          <w:tcPr>
            <w:tcW w:w="910" w:type="dxa"/>
            <w:vMerge w:val="continue"/>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技术技巧</w:t>
            </w:r>
          </w:p>
        </w:tc>
        <w:tc>
          <w:tcPr>
            <w:tcW w:w="63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选手合理运用身体能力(力量、柔韧、速度、耐力和灵敏性）表现动作具备正确的技术及流畅性；全体队员在完成成套动作过程中，必须表现出对动作的速度、方向及身体位置的整体控制能力。</w:t>
            </w:r>
          </w:p>
        </w:tc>
        <w:tc>
          <w:tcPr>
            <w:tcW w:w="9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jc w:val="center"/>
              <w:textAlignment w:val="center"/>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kern w:val="2"/>
                <w:sz w:val="21"/>
                <w:szCs w:val="21"/>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c>
          <w:tcPr>
            <w:tcW w:w="63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c>
          <w:tcPr>
            <w:tcW w:w="9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c>
          <w:tcPr>
            <w:tcW w:w="63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c>
          <w:tcPr>
            <w:tcW w:w="9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2312" w:hAnsi="方正仿宋_GB2312" w:eastAsia="方正仿宋_GB2312" w:cs="方正仿宋_GB2312"/>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8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一致性</w:t>
            </w:r>
          </w:p>
        </w:tc>
        <w:tc>
          <w:tcPr>
            <w:tcW w:w="63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集体动作整齐划一，全体队员必须同步完成动作，主要体现在动作的幅度、速度、轨迹、合拍，队形移动变化的一致性与表演能力的一致性等。</w:t>
            </w:r>
          </w:p>
        </w:tc>
        <w:tc>
          <w:tcPr>
            <w:tcW w:w="9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jc w:val="center"/>
              <w:textAlignment w:val="center"/>
              <w:rPr>
                <w:rFonts w:hint="eastAsia" w:ascii="方正仿宋_GB2312" w:hAnsi="方正仿宋_GB2312" w:eastAsia="方正仿宋_GB2312" w:cs="方正仿宋_GB2312"/>
                <w:b w:val="0"/>
                <w:bCs w:val="0"/>
                <w:kern w:val="2"/>
                <w:sz w:val="21"/>
                <w:szCs w:val="21"/>
                <w:lang w:val="en-US" w:eastAsia="zh-CN" w:bidi="ar-SA"/>
              </w:rPr>
            </w:pPr>
            <w:r>
              <w:rPr>
                <w:rFonts w:hint="eastAsia" w:ascii="方正仿宋_GB2312" w:hAnsi="方正仿宋_GB2312" w:eastAsia="方正仿宋_GB2312" w:cs="方正仿宋_GB2312"/>
                <w:b w:val="0"/>
                <w:bCs w:val="0"/>
                <w:kern w:val="2"/>
                <w:sz w:val="21"/>
                <w:szCs w:val="21"/>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78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K" w:hAnsi="方正仿宋_GBK" w:eastAsia="方正仿宋_GBK" w:cs="方正仿宋_GBK"/>
                <w:b w:val="0"/>
                <w:bCs w:val="0"/>
                <w:kern w:val="2"/>
                <w:sz w:val="21"/>
                <w:szCs w:val="21"/>
                <w:lang w:val="en-US" w:eastAsia="zh-CN" w:bidi="ar-SA"/>
              </w:rPr>
            </w:pPr>
          </w:p>
        </w:tc>
        <w:tc>
          <w:tcPr>
            <w:tcW w:w="63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K" w:hAnsi="方正仿宋_GBK" w:eastAsia="方正仿宋_GBK" w:cs="方正仿宋_GBK"/>
                <w:b w:val="0"/>
                <w:bCs w:val="0"/>
                <w:kern w:val="2"/>
                <w:sz w:val="21"/>
                <w:szCs w:val="21"/>
                <w:lang w:val="en-US" w:eastAsia="zh-CN" w:bidi="ar-SA"/>
              </w:rPr>
            </w:pPr>
          </w:p>
        </w:tc>
        <w:tc>
          <w:tcPr>
            <w:tcW w:w="9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K" w:hAnsi="方正仿宋_GBK" w:eastAsia="方正仿宋_GBK" w:cs="方正仿宋_GBK"/>
                <w:b w:val="0"/>
                <w:bCs w:val="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8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K" w:hAnsi="方正仿宋_GBK" w:eastAsia="方正仿宋_GBK" w:cs="方正仿宋_GBK"/>
                <w:b w:val="0"/>
                <w:bCs w:val="0"/>
                <w:kern w:val="2"/>
                <w:sz w:val="21"/>
                <w:szCs w:val="21"/>
                <w:lang w:val="en-US" w:eastAsia="zh-CN" w:bidi="ar-SA"/>
              </w:rPr>
            </w:pPr>
          </w:p>
        </w:tc>
        <w:tc>
          <w:tcPr>
            <w:tcW w:w="638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K" w:hAnsi="方正仿宋_GBK" w:eastAsia="方正仿宋_GBK" w:cs="方正仿宋_GBK"/>
                <w:b w:val="0"/>
                <w:bCs w:val="0"/>
                <w:kern w:val="2"/>
                <w:sz w:val="21"/>
                <w:szCs w:val="21"/>
                <w:lang w:val="en-US" w:eastAsia="zh-CN" w:bidi="ar-SA"/>
              </w:rPr>
            </w:pPr>
          </w:p>
        </w:tc>
        <w:tc>
          <w:tcPr>
            <w:tcW w:w="9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ind w:firstLine="420" w:firstLineChars="200"/>
              <w:jc w:val="left"/>
              <w:textAlignment w:val="center"/>
              <w:rPr>
                <w:rFonts w:hint="eastAsia" w:ascii="方正仿宋_GBK" w:hAnsi="方正仿宋_GBK" w:eastAsia="方正仿宋_GBK" w:cs="方正仿宋_GBK"/>
                <w:b w:val="0"/>
                <w:bCs w:val="0"/>
                <w:kern w:val="2"/>
                <w:sz w:val="21"/>
                <w:szCs w:val="21"/>
                <w:lang w:val="en-US" w:eastAsia="zh-CN" w:bidi="ar-SA"/>
              </w:rPr>
            </w:pPr>
          </w:p>
        </w:tc>
      </w:tr>
    </w:tbl>
    <w:p>
      <w:pPr>
        <w:keepNext w:val="0"/>
        <w:keepLines w:val="0"/>
        <w:pageBreakBefore w:val="0"/>
        <w:widowControl w:val="0"/>
        <w:kinsoku/>
        <w:wordWrap/>
        <w:overflowPunct/>
        <w:topLinePunct w:val="0"/>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3、健美操、街舞</w:t>
      </w:r>
    </w:p>
    <w:tbl>
      <w:tblPr>
        <w:tblStyle w:val="11"/>
        <w:tblW w:w="9082" w:type="dxa"/>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8"/>
        <w:gridCol w:w="6354"/>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28"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评分内容</w:t>
            </w:r>
          </w:p>
        </w:tc>
        <w:tc>
          <w:tcPr>
            <w:tcW w:w="6354"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评分标准</w:t>
            </w:r>
            <w:bookmarkStart w:id="37" w:name="_GoBack"/>
            <w:bookmarkEnd w:id="37"/>
          </w:p>
        </w:tc>
        <w:tc>
          <w:tcPr>
            <w:tcW w:w="900"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黑体_GBK" w:hAnsi="方正黑体_GBK" w:eastAsia="方正黑体_GBK" w:cs="方正黑体_GBK"/>
                <w:b w:val="0"/>
                <w:bCs w:val="0"/>
                <w:sz w:val="21"/>
                <w:szCs w:val="21"/>
                <w:lang w:val="en-US" w:eastAsia="zh-CN"/>
              </w:rPr>
            </w:pPr>
            <w:r>
              <w:rPr>
                <w:rFonts w:hint="eastAsia" w:ascii="方正黑体_GBK" w:hAnsi="方正黑体_GBK" w:eastAsia="方正黑体_GBK" w:cs="方正黑体_GBK"/>
                <w:b w:val="0"/>
                <w:bCs w:val="0"/>
                <w:sz w:val="21"/>
                <w:szCs w:val="21"/>
                <w:lang w:val="en-US" w:eastAsia="zh-CN"/>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28" w:type="dxa"/>
            <w:tcBorders>
              <w:top w:val="single" w:color="000000" w:sz="4" w:space="0"/>
              <w:left w:val="single" w:color="000000" w:sz="4" w:space="0"/>
              <w:bottom w:val="nil"/>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原创度</w:t>
            </w:r>
          </w:p>
        </w:tc>
        <w:tc>
          <w:tcPr>
            <w:tcW w:w="6354" w:type="dxa"/>
            <w:tcBorders>
              <w:top w:val="single" w:color="000000" w:sz="4" w:space="0"/>
              <w:left w:val="single" w:color="000000" w:sz="4" w:space="0"/>
              <w:bottom w:val="nil"/>
              <w:right w:val="single" w:color="000000" w:sz="4" w:space="0"/>
            </w:tcBorders>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动作的原创程度，是否有其他舞蹈动作的借鉴,与创编主题的贴合程度。</w:t>
            </w:r>
          </w:p>
        </w:tc>
        <w:tc>
          <w:tcPr>
            <w:tcW w:w="900" w:type="dxa"/>
            <w:tcBorders>
              <w:top w:val="single" w:color="000000" w:sz="4" w:space="0"/>
              <w:left w:val="single" w:color="000000" w:sz="4" w:space="0"/>
              <w:bottom w:val="nil"/>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28"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队形与音乐</w:t>
            </w:r>
          </w:p>
        </w:tc>
        <w:tc>
          <w:tcPr>
            <w:tcW w:w="6354"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舞蹈场地的运用程度，队形的变化方式。舞蹈动作与音乐的贴合程度，对于音乐的表现力、感染力。</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28"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动作内容</w:t>
            </w:r>
          </w:p>
        </w:tc>
        <w:tc>
          <w:tcPr>
            <w:tcW w:w="6354"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舞蹈动作的整体完成度、技术难度、动作的整齐度、肢体细节等方面的处理。</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828"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服装</w:t>
            </w:r>
          </w:p>
        </w:tc>
        <w:tc>
          <w:tcPr>
            <w:tcW w:w="6354" w:type="dxa"/>
            <w:tcBorders>
              <w:top w:val="single" w:color="000000" w:sz="4" w:space="0"/>
              <w:left w:val="single" w:color="000000" w:sz="4" w:space="0"/>
              <w:bottom w:val="single" w:color="000000" w:sz="4" w:space="0"/>
              <w:right w:val="single" w:color="000000" w:sz="4" w:space="0"/>
            </w:tcBorders>
            <w:noWrap w:val="0"/>
            <w:vAlign w:val="center"/>
          </w:tcPr>
          <w:p>
            <w:pPr>
              <w:pStyle w:val="7"/>
              <w:spacing w:before="0" w:after="0" w:line="320" w:lineRule="exact"/>
              <w:jc w:val="left"/>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舞台服装的运用度与音乐主题的贴合度。</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pStyle w:val="7"/>
              <w:spacing w:before="0" w:after="0" w:line="320" w:lineRule="exact"/>
              <w:jc w:val="center"/>
              <w:rPr>
                <w:rFonts w:hint="eastAsia" w:ascii="方正仿宋_GB2312" w:hAnsi="方正仿宋_GB2312" w:eastAsia="方正仿宋_GB2312" w:cs="方正仿宋_GB2312"/>
                <w:b w:val="0"/>
                <w:bCs w:val="0"/>
                <w:sz w:val="21"/>
                <w:szCs w:val="21"/>
                <w:lang w:val="en-US" w:eastAsia="zh-CN"/>
              </w:rPr>
            </w:pPr>
            <w:r>
              <w:rPr>
                <w:rFonts w:hint="eastAsia" w:ascii="方正仿宋_GB2312" w:hAnsi="方正仿宋_GB2312" w:eastAsia="方正仿宋_GB2312" w:cs="方正仿宋_GB2312"/>
                <w:b w:val="0"/>
                <w:bCs w:val="0"/>
                <w:sz w:val="21"/>
                <w:szCs w:val="21"/>
                <w:lang w:val="en-US" w:eastAsia="zh-CN"/>
              </w:rPr>
              <w:t>20</w:t>
            </w:r>
          </w:p>
        </w:tc>
      </w:tr>
    </w:tbl>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bookmarkStart w:id="17" w:name="_Toc18211"/>
      <w:bookmarkStart w:id="18" w:name="_Toc15642"/>
      <w:bookmarkStart w:id="19" w:name="_Toc5133"/>
      <w:r>
        <w:rPr>
          <w:rFonts w:hint="eastAsia" w:ascii="楷体_GB2312" w:hAnsi="楷体_GB2312" w:eastAsia="楷体_GB2312" w:cs="楷体_GB2312"/>
          <w:kern w:val="0"/>
          <w:sz w:val="30"/>
          <w:szCs w:val="30"/>
          <w:lang w:val="en-US" w:eastAsia="zh-CN"/>
        </w:rPr>
        <w:t>（二）评分</w:t>
      </w:r>
      <w:bookmarkEnd w:id="17"/>
      <w:bookmarkEnd w:id="18"/>
      <w:bookmarkEnd w:id="19"/>
      <w:r>
        <w:rPr>
          <w:rFonts w:hint="eastAsia" w:ascii="楷体_GB2312" w:hAnsi="楷体_GB2312" w:eastAsia="楷体_GB2312" w:cs="楷体_GB2312"/>
          <w:kern w:val="0"/>
          <w:sz w:val="30"/>
          <w:szCs w:val="30"/>
          <w:lang w:val="en-US" w:eastAsia="zh-CN"/>
        </w:rPr>
        <w:t>方式</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1.裁判组成条件</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由河南省职业技能大赛校园创编舞赛项专家库抽取。</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default"/>
          <w:lang w:val="en-US" w:eastAsia="zh-CN"/>
        </w:rPr>
      </w:pPr>
      <w:r>
        <w:rPr>
          <w:rFonts w:hint="eastAsia" w:ascii="仿宋" w:hAnsi="仿宋" w:eastAsia="仿宋" w:cs="宋体"/>
          <w:kern w:val="0"/>
          <w:sz w:val="30"/>
          <w:szCs w:val="30"/>
          <w:lang w:val="en-US" w:eastAsia="zh-CN"/>
        </w:rPr>
        <w:t>2.裁判组实行“裁判长负责制”，设裁判长1名，全面负责赛项的裁判与管理工作。</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3.成绩产生及评分方法</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（1）每位裁判依据选手的现场竞赛表现，按照评分标准独立评分。由专门计分人员在统一时间收取裁判评分表后统计分数。评分采用百分制，取小数点后两位。</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 xml:space="preserve">（2）去掉裁判评分一个最高分和一个最低分后，计算得出其它裁判评分的平均分；即为选手该项目的竞赛成绩。 </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highlight w:val="none"/>
          <w:lang w:val="en-US" w:eastAsia="zh-CN"/>
        </w:rPr>
      </w:pPr>
      <w:r>
        <w:rPr>
          <w:rFonts w:hint="eastAsia" w:ascii="仿宋" w:hAnsi="仿宋" w:eastAsia="仿宋" w:cs="宋体"/>
          <w:kern w:val="0"/>
          <w:sz w:val="30"/>
          <w:szCs w:val="30"/>
          <w:lang w:val="en-US" w:eastAsia="zh-CN"/>
        </w:rPr>
        <w:t>（3）最终成绩经复核无误后，由裁判组、监督仲裁组签字确认并公示</w:t>
      </w:r>
      <w:r>
        <w:rPr>
          <w:rFonts w:hint="eastAsia" w:ascii="仿宋" w:hAnsi="仿宋" w:eastAsia="仿宋" w:cs="宋体"/>
          <w:kern w:val="0"/>
          <w:sz w:val="30"/>
          <w:szCs w:val="30"/>
          <w:highlight w:val="none"/>
          <w:lang w:val="en-US" w:eastAsia="zh-CN"/>
        </w:rPr>
        <w:t>。成绩公示无异议后，由监督</w:t>
      </w:r>
      <w:r>
        <w:rPr>
          <w:rFonts w:hint="eastAsia" w:ascii="仿宋" w:hAnsi="仿宋" w:eastAsia="仿宋" w:cs="宋体"/>
          <w:kern w:val="0"/>
          <w:sz w:val="30"/>
          <w:szCs w:val="30"/>
          <w:lang w:val="en-US" w:eastAsia="zh-CN"/>
        </w:rPr>
        <w:t>仲裁组长在成绩单上签字，赛项</w:t>
      </w:r>
      <w:r>
        <w:rPr>
          <w:rFonts w:hint="eastAsia" w:ascii="仿宋" w:hAnsi="仿宋" w:eastAsia="仿宋" w:cs="宋体"/>
          <w:kern w:val="0"/>
          <w:sz w:val="30"/>
          <w:szCs w:val="30"/>
          <w:highlight w:val="none"/>
          <w:lang w:val="en-US" w:eastAsia="zh-CN"/>
        </w:rPr>
        <w:t xml:space="preserve">执委会审核后正式公布。 </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highlight w:val="none"/>
          <w:lang w:val="en-US" w:eastAsia="zh-CN"/>
        </w:rPr>
      </w:pPr>
      <w:r>
        <w:rPr>
          <w:rFonts w:hint="eastAsia" w:ascii="仿宋" w:hAnsi="仿宋" w:eastAsia="仿宋" w:cs="宋体"/>
          <w:kern w:val="0"/>
          <w:sz w:val="30"/>
          <w:szCs w:val="30"/>
          <w:highlight w:val="none"/>
          <w:lang w:val="en-US" w:eastAsia="zh-CN"/>
        </w:rPr>
        <w:t xml:space="preserve">（4）如果作品最终总成绩出现并列的情况下，以作品总分的成绩来评定。 </w:t>
      </w:r>
      <w:bookmarkStart w:id="20" w:name="_Toc19333"/>
      <w:bookmarkStart w:id="21" w:name="_Toc16065"/>
      <w:bookmarkStart w:id="22" w:name="_Toc28883"/>
    </w:p>
    <w:bookmarkEnd w:id="20"/>
    <w:bookmarkEnd w:id="21"/>
    <w:bookmarkEnd w:id="22"/>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4.违规行为分数判定</w:t>
      </w:r>
    </w:p>
    <w:p>
      <w:pPr>
        <w:keepNext w:val="0"/>
        <w:keepLines w:val="0"/>
        <w:pageBreakBefore w:val="0"/>
        <w:widowControl w:val="0"/>
        <w:kinsoku/>
        <w:wordWrap/>
        <w:overflowPunct/>
        <w:topLinePunct w:val="0"/>
        <w:autoSpaceDE/>
        <w:autoSpaceDN/>
        <w:bidi w:val="0"/>
        <w:spacing w:line="560" w:lineRule="exact"/>
        <w:ind w:firstLine="600" w:firstLineChars="200"/>
        <w:jc w:val="left"/>
        <w:textAlignment w:val="auto"/>
        <w:rPr>
          <w:rFonts w:ascii="仿宋" w:hAnsi="仿宋" w:eastAsia="仿宋" w:cs="仿宋_GB2312"/>
          <w:sz w:val="30"/>
          <w:szCs w:val="30"/>
          <w:highlight w:val="yellow"/>
        </w:rPr>
      </w:pPr>
      <w:r>
        <w:rPr>
          <w:rFonts w:hint="eastAsia" w:ascii="仿宋" w:hAnsi="仿宋" w:eastAsia="仿宋" w:cs="仿宋_GB2312"/>
          <w:sz w:val="30"/>
          <w:szCs w:val="30"/>
        </w:rPr>
        <w:t>在竞赛时段，参赛选手如出现扰乱赛场秩序、干扰裁判和</w:t>
      </w:r>
      <w:r>
        <w:rPr>
          <w:rFonts w:hint="eastAsia" w:ascii="仿宋" w:hAnsi="仿宋" w:eastAsia="仿宋" w:cs="仿宋_GB2312"/>
          <w:sz w:val="30"/>
          <w:szCs w:val="30"/>
          <w:lang w:eastAsia="zh-CN"/>
        </w:rPr>
        <w:t>比赛</w:t>
      </w:r>
      <w:r>
        <w:rPr>
          <w:rFonts w:hint="eastAsia" w:ascii="仿宋" w:hAnsi="仿宋" w:eastAsia="仿宋" w:cs="仿宋_GB2312"/>
          <w:sz w:val="30"/>
          <w:szCs w:val="30"/>
        </w:rPr>
        <w:t>正常工作等不文明行为的，由裁判长扣减该专项相应分数，情节严重的取消比赛资格，该专项成绩为0分。</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5.成绩公示</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最终成绩由裁判长、监督仲裁组长签字后进行公示，公示时间为2小时，在公示期间，对成绩有争议的参赛队，可按程序申请仲裁，由仲裁组长组织仲裁。</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bookmarkStart w:id="23" w:name="_Toc13381"/>
      <w:bookmarkStart w:id="24" w:name="_Toc24782"/>
      <w:bookmarkStart w:id="25" w:name="_Toc32177"/>
      <w:r>
        <w:rPr>
          <w:rFonts w:hint="eastAsia" w:ascii="黑体" w:hAnsi="黑体" w:eastAsia="黑体" w:cs="黑体"/>
          <w:b w:val="0"/>
          <w:bCs w:val="0"/>
          <w:sz w:val="30"/>
          <w:szCs w:val="30"/>
        </w:rPr>
        <w:t>十</w:t>
      </w:r>
      <w:r>
        <w:rPr>
          <w:rFonts w:hint="eastAsia" w:ascii="黑体" w:hAnsi="黑体" w:eastAsia="黑体" w:cs="黑体"/>
          <w:b w:val="0"/>
          <w:bCs w:val="0"/>
          <w:sz w:val="30"/>
          <w:szCs w:val="30"/>
          <w:lang w:val="en-US" w:eastAsia="zh-CN"/>
        </w:rPr>
        <w:t>一</w:t>
      </w:r>
      <w:r>
        <w:rPr>
          <w:rFonts w:hint="eastAsia" w:ascii="黑体" w:hAnsi="黑体" w:eastAsia="黑体" w:cs="黑体"/>
          <w:b w:val="0"/>
          <w:bCs w:val="0"/>
          <w:sz w:val="30"/>
          <w:szCs w:val="30"/>
          <w:lang w:eastAsia="zh-CN"/>
        </w:rPr>
        <w:t>、</w:t>
      </w:r>
      <w:r>
        <w:rPr>
          <w:rFonts w:hint="eastAsia" w:ascii="黑体" w:hAnsi="黑体" w:eastAsia="黑体" w:cs="黑体"/>
          <w:b w:val="0"/>
          <w:bCs w:val="0"/>
          <w:sz w:val="30"/>
          <w:szCs w:val="30"/>
        </w:rPr>
        <w:t>奖项设定</w:t>
      </w:r>
      <w:bookmarkEnd w:id="23"/>
      <w:bookmarkEnd w:id="24"/>
      <w:bookmarkEnd w:id="25"/>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 xml:space="preserve">按照《河南省教育厅办公室关于举办2023年河南省高等职业教育技能大赛的通知》（教办职成〔2023〕307号）文件要求。 </w:t>
      </w:r>
      <w:bookmarkStart w:id="26" w:name="_Toc32009"/>
      <w:bookmarkStart w:id="27" w:name="_Toc17572"/>
      <w:bookmarkStart w:id="28" w:name="_Toc20177"/>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省赛学生组设等级奖、指导教师奖；等级奖的获奖等次与比例分别为：一等奖15%、二等奖25%、三等奖30%。对参赛获奖学生的指导教师，颁发指导教师奖（每个作品限1-2名）。</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r>
        <w:rPr>
          <w:rFonts w:hint="eastAsia" w:ascii="黑体" w:hAnsi="黑体" w:eastAsia="黑体" w:cs="黑体"/>
          <w:b w:val="0"/>
          <w:bCs w:val="0"/>
          <w:sz w:val="30"/>
          <w:szCs w:val="30"/>
        </w:rPr>
        <w:t>十</w:t>
      </w:r>
      <w:r>
        <w:rPr>
          <w:rFonts w:hint="eastAsia" w:ascii="黑体" w:hAnsi="黑体" w:eastAsia="黑体" w:cs="黑体"/>
          <w:b w:val="0"/>
          <w:bCs w:val="0"/>
          <w:sz w:val="30"/>
          <w:szCs w:val="30"/>
          <w:lang w:val="en-US" w:eastAsia="zh-CN"/>
        </w:rPr>
        <w:t>二</w:t>
      </w:r>
      <w:r>
        <w:rPr>
          <w:rFonts w:hint="eastAsia" w:ascii="黑体" w:hAnsi="黑体" w:eastAsia="黑体" w:cs="黑体"/>
          <w:b w:val="0"/>
          <w:bCs w:val="0"/>
          <w:sz w:val="30"/>
          <w:szCs w:val="30"/>
          <w:lang w:eastAsia="zh-CN"/>
        </w:rPr>
        <w:t>、</w:t>
      </w:r>
      <w:r>
        <w:rPr>
          <w:rFonts w:hint="eastAsia" w:ascii="黑体" w:hAnsi="黑体" w:eastAsia="黑体" w:cs="黑体"/>
          <w:b w:val="0"/>
          <w:bCs w:val="0"/>
          <w:sz w:val="30"/>
          <w:szCs w:val="30"/>
        </w:rPr>
        <w:t>赛场预案</w:t>
      </w:r>
      <w:bookmarkEnd w:id="26"/>
      <w:bookmarkEnd w:id="27"/>
      <w:bookmarkEnd w:id="28"/>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根据校园创编舞赛项特点，竞赛过程中可能出现影响竞赛正常进行的设施设备事故，主要是电路故障和音响故障。</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Theme="minorEastAsia" w:hAnsiTheme="minorEastAsia" w:eastAsiaTheme="minorEastAsia" w:cstheme="minorEastAsia"/>
          <w:sz w:val="32"/>
          <w:szCs w:val="32"/>
        </w:rPr>
      </w:pPr>
      <w:r>
        <w:rPr>
          <w:rFonts w:hint="eastAsia" w:ascii="仿宋" w:hAnsi="仿宋" w:eastAsia="仿宋" w:cs="宋体"/>
          <w:kern w:val="0"/>
          <w:sz w:val="30"/>
          <w:szCs w:val="30"/>
          <w:lang w:val="en-US" w:eastAsia="zh-CN"/>
        </w:rPr>
        <w:t xml:space="preserve">（一）竞赛现场须配备竞赛所用设备的专业维修人员，话筒、音控台、音响等均应有备份。竞赛时如意外出现故障，立即更换或由维修人员抢修，竞赛暂停。故障排除，从暂停竞赛的作品开始重新竞赛，裁判（评委）重新评分。 </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 xml:space="preserve">（二）竞赛现场须配备专业医护人员，备有紧急通道。竞赛时如选手出现意外伤病，及时进行医治救护，或立即送往医院救治。 </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bookmarkStart w:id="29" w:name="_Toc28525"/>
      <w:bookmarkStart w:id="30" w:name="_Toc15220"/>
      <w:bookmarkStart w:id="31" w:name="_Toc15112"/>
      <w:r>
        <w:rPr>
          <w:rFonts w:hint="eastAsia" w:ascii="黑体" w:hAnsi="黑体" w:eastAsia="黑体" w:cs="黑体"/>
          <w:b w:val="0"/>
          <w:bCs w:val="0"/>
          <w:sz w:val="30"/>
          <w:szCs w:val="30"/>
        </w:rPr>
        <w:t>十</w:t>
      </w:r>
      <w:r>
        <w:rPr>
          <w:rFonts w:hint="eastAsia" w:ascii="黑体" w:hAnsi="黑体" w:eastAsia="黑体" w:cs="黑体"/>
          <w:b w:val="0"/>
          <w:bCs w:val="0"/>
          <w:sz w:val="30"/>
          <w:szCs w:val="30"/>
          <w:lang w:val="en-US" w:eastAsia="zh-CN"/>
        </w:rPr>
        <w:t>三</w:t>
      </w:r>
      <w:r>
        <w:rPr>
          <w:rFonts w:hint="eastAsia" w:ascii="黑体" w:hAnsi="黑体" w:eastAsia="黑体" w:cs="黑体"/>
          <w:b w:val="0"/>
          <w:bCs w:val="0"/>
          <w:sz w:val="30"/>
          <w:szCs w:val="30"/>
          <w:lang w:eastAsia="zh-CN"/>
        </w:rPr>
        <w:t>、</w:t>
      </w:r>
      <w:r>
        <w:rPr>
          <w:rFonts w:hint="eastAsia" w:ascii="黑体" w:hAnsi="黑体" w:eastAsia="黑体" w:cs="黑体"/>
          <w:b w:val="0"/>
          <w:bCs w:val="0"/>
          <w:sz w:val="30"/>
          <w:szCs w:val="30"/>
        </w:rPr>
        <w:t>赛项安全</w:t>
      </w:r>
      <w:bookmarkEnd w:id="29"/>
      <w:bookmarkEnd w:id="30"/>
      <w:bookmarkEnd w:id="31"/>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bookmarkStart w:id="32" w:name="_Toc8289"/>
      <w:bookmarkStart w:id="33" w:name="_Toc920"/>
      <w:bookmarkStart w:id="34" w:name="_Toc17659"/>
      <w:r>
        <w:rPr>
          <w:rFonts w:hint="eastAsia" w:ascii="仿宋" w:hAnsi="仿宋" w:eastAsia="仿宋" w:cs="仿宋"/>
          <w:bCs/>
          <w:sz w:val="30"/>
          <w:szCs w:val="30"/>
        </w:rPr>
        <w:t>赛事安全是技能竞赛一切工作顺利开展的先决条件，是赛事筹备和运行工作必须考虑的核心问题。</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（一）比赛环境</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1．赛场的布置，赛场内的器材、设备，应符合国家有关安全规定。如有必要，也可进行赛场仿真模拟测试，以发现可能出现的问题。承办单位赛前须按照执委会要求排除安全隐患。</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2．赛场周围要设立警戒线，防止无关人员进入发生意外事件。比赛现场内应参照相关职业岗位的要求为选手提供必要的劳动保护。在具有危险性的操作环节，裁判员要严防选手出现错误操作。</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3．承办单位应提供保证应急预案实施的条件。对于比赛内容涉及高空作业、可能有坠物、大用电量、易发生火灾等情况的赛项，必须明确制度和预案，并配备急救人员与设施。</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4．赛项执委会须会同承办单位制定开放赛场和体验区的人员疏导方案。赛场环境中存在人员密集的区域，除了设置齐全的指示标志外，须增加引导人员，并开辟备用通道。</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5．大赛期间，承办单位须在赛场管理的关键岗位，增加力量，建立安全管理日志。</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（二）生活条件</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1．比赛期间，原则上由赛项执委会统一安排参赛选手和指导教师食宿。承办单位须尊重少数民族的信仰及文化，根据国家相关的民族政策，安排好少数民族选手和教师的饮食起居。</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lang w:eastAsia="zh-CN"/>
        </w:rPr>
      </w:pPr>
      <w:r>
        <w:rPr>
          <w:rFonts w:hint="eastAsia" w:ascii="仿宋" w:hAnsi="仿宋" w:eastAsia="仿宋" w:cs="仿宋"/>
          <w:bCs/>
          <w:sz w:val="30"/>
          <w:szCs w:val="30"/>
        </w:rPr>
        <w:t>2．比赛期间安排的住宿地应具有宾馆/住宿经营许可资质</w:t>
      </w:r>
      <w:r>
        <w:rPr>
          <w:rFonts w:hint="eastAsia" w:ascii="仿宋" w:hAnsi="仿宋" w:eastAsia="仿宋" w:cs="仿宋"/>
          <w:bCs/>
          <w:sz w:val="30"/>
          <w:szCs w:val="30"/>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3．大赛期间有组织的参观和观摩活动的交通安全由执委会负责。执委会和承办单位须保证比赛期间选手、指导教师和裁判员、工作人员的交通安全。</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4．各赛项的安全管理，除了可以采取必要的安全隔离措施外，应严格遵守国家相关法律法规，保护个人隐私和人身自由。</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（三）组队责任</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1．各学校组织代表队时，须安排为参赛选手购买大赛期间的人身意外伤害保险。如果因未购买保险而出现的一切后果，由参赛院校自行承担。</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2．各学校代表队组成后，须制定相关管理制度，并对所有选手、指导教师进行安全教育。</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3．各参赛队伍须加强对参与比赛人员的安全管理，实现与赛场安全管理的对接。</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（四）应急处理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比赛期间发生意外事故，发现者应第一时间报告赛项执委会，同时采取措施避免事态扩大。赛项执委会应立即启动预案予以解决并上报大赛执委会。赛项出现重大安全问题可以停赛，是否停赛由赛项执委会决定。事后，赛项执委会应向大赛执委会报告详细情况。</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（五）处罚措施</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1．因参赛队伍原因造成重大安全事故的，取消其获奖资格。</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2．参赛队伍有发生重大安全事故隐患，经赛场工作人员提示、警告无效的，可取消其继续比赛的资格。</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3．赛事工作人员违规的，按照相应的制度追究责任。情节恶劣并造成重大安全事故的，由司法机关追究相应法律责任。</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十四、</w:t>
      </w:r>
      <w:r>
        <w:rPr>
          <w:rFonts w:hint="eastAsia" w:ascii="黑体" w:hAnsi="黑体" w:eastAsia="黑体" w:cs="黑体"/>
          <w:b w:val="0"/>
          <w:bCs w:val="0"/>
          <w:sz w:val="30"/>
          <w:szCs w:val="30"/>
        </w:rPr>
        <w:t>申诉与仲裁</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ascii="仿宋" w:hAnsi="仿宋" w:eastAsia="仿宋"/>
          <w:color w:val="000000"/>
          <w:sz w:val="30"/>
          <w:szCs w:val="30"/>
          <w:highlight w:val="none"/>
        </w:rPr>
      </w:pPr>
      <w:r>
        <w:rPr>
          <w:rFonts w:hint="eastAsia" w:ascii="仿宋" w:hAnsi="仿宋" w:eastAsia="仿宋"/>
          <w:color w:val="000000"/>
          <w:sz w:val="30"/>
          <w:szCs w:val="30"/>
          <w:lang w:eastAsia="zh-CN"/>
        </w:rPr>
        <w:t>（</w:t>
      </w:r>
      <w:r>
        <w:rPr>
          <w:rFonts w:hint="eastAsia" w:ascii="仿宋" w:hAnsi="仿宋" w:eastAsia="仿宋"/>
          <w:color w:val="000000"/>
          <w:sz w:val="30"/>
          <w:szCs w:val="30"/>
          <w:lang w:val="en-US" w:eastAsia="zh-CN"/>
        </w:rPr>
        <w:t>一</w:t>
      </w:r>
      <w:r>
        <w:rPr>
          <w:rFonts w:hint="eastAsia" w:ascii="仿宋" w:hAnsi="仿宋" w:eastAsia="仿宋"/>
          <w:color w:val="000000"/>
          <w:sz w:val="30"/>
          <w:szCs w:val="30"/>
          <w:lang w:eastAsia="zh-CN"/>
        </w:rPr>
        <w:t>）</w:t>
      </w:r>
      <w:r>
        <w:rPr>
          <w:rFonts w:hint="eastAsia" w:ascii="仿宋" w:hAnsi="仿宋" w:eastAsia="仿宋"/>
          <w:color w:val="000000"/>
          <w:sz w:val="30"/>
          <w:szCs w:val="30"/>
          <w:highlight w:val="none"/>
        </w:rPr>
        <w:t>各参赛队对不符合大赛和赛项规程规定的仪器、设备、材料、竞赛执裁、赛场管理、竞赛成绩以及工作人员的不规范行为等，可向赛项仲裁组提出申诉。</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二</w:t>
      </w:r>
      <w:r>
        <w:rPr>
          <w:rFonts w:hint="eastAsia" w:ascii="仿宋" w:hAnsi="仿宋" w:eastAsia="仿宋" w:cs="仿宋"/>
          <w:bCs/>
          <w:sz w:val="30"/>
          <w:szCs w:val="30"/>
          <w:lang w:eastAsia="zh-CN"/>
        </w:rPr>
        <w:t>）</w:t>
      </w:r>
      <w:r>
        <w:rPr>
          <w:rFonts w:hint="eastAsia" w:ascii="仿宋" w:hAnsi="仿宋" w:eastAsia="仿宋" w:cs="仿宋"/>
          <w:bCs/>
          <w:sz w:val="30"/>
          <w:szCs w:val="30"/>
        </w:rPr>
        <w:t>申诉主体为参赛队领队。</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三</w:t>
      </w:r>
      <w:r>
        <w:rPr>
          <w:rFonts w:hint="eastAsia" w:ascii="仿宋" w:hAnsi="仿宋" w:eastAsia="仿宋" w:cs="仿宋"/>
          <w:bCs/>
          <w:sz w:val="30"/>
          <w:szCs w:val="30"/>
          <w:lang w:eastAsia="zh-CN"/>
        </w:rPr>
        <w:t>）</w:t>
      </w:r>
      <w:r>
        <w:rPr>
          <w:rFonts w:hint="eastAsia" w:ascii="仿宋" w:hAnsi="仿宋" w:eastAsia="仿宋" w:cs="仿宋"/>
          <w:bCs/>
          <w:sz w:val="30"/>
          <w:szCs w:val="30"/>
        </w:rPr>
        <w:t>申诉启动时，参赛队向赛项仲裁工作组递交领队亲笔签字同意的书面报告。书面报告应对申诉事件的现象、发生时间、</w:t>
      </w:r>
      <w:r>
        <w:rPr>
          <w:rFonts w:hint="eastAsia" w:ascii="仿宋" w:hAnsi="仿宋" w:eastAsia="仿宋"/>
          <w:color w:val="000000"/>
          <w:sz w:val="32"/>
          <w:szCs w:val="32"/>
        </w:rPr>
        <w:t>涉</w:t>
      </w:r>
      <w:r>
        <w:rPr>
          <w:rFonts w:hint="eastAsia" w:ascii="仿宋" w:hAnsi="仿宋" w:eastAsia="仿宋" w:cs="仿宋"/>
          <w:bCs/>
          <w:sz w:val="30"/>
          <w:szCs w:val="30"/>
        </w:rPr>
        <w:t>及人员、申诉依据等进行充分、实事求是的叙述。非书面申诉不予受理。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四</w:t>
      </w:r>
      <w:r>
        <w:rPr>
          <w:rFonts w:hint="eastAsia" w:ascii="仿宋" w:hAnsi="仿宋" w:eastAsia="仿宋" w:cs="仿宋"/>
          <w:bCs/>
          <w:sz w:val="30"/>
          <w:szCs w:val="30"/>
          <w:lang w:eastAsia="zh-CN"/>
        </w:rPr>
        <w:t>）</w:t>
      </w:r>
      <w:r>
        <w:rPr>
          <w:rFonts w:hint="eastAsia" w:ascii="仿宋" w:hAnsi="仿宋" w:eastAsia="仿宋" w:cs="仿宋"/>
          <w:bCs/>
          <w:sz w:val="30"/>
          <w:szCs w:val="30"/>
        </w:rPr>
        <w:t>申诉应在比赛结束后2小时内向赛项仲裁工作组提出。超过时效不予受理。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olor w:val="000000"/>
          <w:sz w:val="32"/>
          <w:szCs w:val="32"/>
        </w:rPr>
      </w:pP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五</w:t>
      </w:r>
      <w:r>
        <w:rPr>
          <w:rFonts w:hint="eastAsia" w:ascii="仿宋" w:hAnsi="仿宋" w:eastAsia="仿宋" w:cs="仿宋"/>
          <w:bCs/>
          <w:sz w:val="30"/>
          <w:szCs w:val="30"/>
          <w:lang w:eastAsia="zh-CN"/>
        </w:rPr>
        <w:t>）</w:t>
      </w:r>
      <w:r>
        <w:rPr>
          <w:rFonts w:hint="eastAsia" w:ascii="仿宋" w:hAnsi="仿宋" w:eastAsia="仿宋" w:cs="仿宋"/>
          <w:bCs/>
          <w:sz w:val="30"/>
          <w:szCs w:val="30"/>
        </w:rPr>
        <w:t>赛项仲裁工作组在接到申诉报告后的2小时内组织复议，并及时将复议结果以书面形式告知申诉方。申诉方对复议结果仍有异议，可由领队向仲裁委员会提出申诉。</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六</w:t>
      </w:r>
      <w:r>
        <w:rPr>
          <w:rFonts w:hint="eastAsia" w:ascii="仿宋" w:hAnsi="仿宋" w:eastAsia="仿宋" w:cs="仿宋"/>
          <w:bCs/>
          <w:sz w:val="30"/>
          <w:szCs w:val="30"/>
          <w:lang w:eastAsia="zh-CN"/>
        </w:rPr>
        <w:t>）</w:t>
      </w:r>
      <w:r>
        <w:rPr>
          <w:rFonts w:hint="eastAsia" w:ascii="仿宋" w:hAnsi="仿宋" w:eastAsia="仿宋" w:cs="仿宋"/>
          <w:bCs/>
          <w:sz w:val="30"/>
          <w:szCs w:val="30"/>
        </w:rPr>
        <w:t>申诉方不得以任何理由拒绝接收仲裁结果，不得以任何理由采取过激行为扰乱赛场秩序。仲裁结果由申诉人签收，不能代收，如在约定时间和地点申诉人离开，视为自行放弃申诉。</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七</w:t>
      </w:r>
      <w:r>
        <w:rPr>
          <w:rFonts w:hint="eastAsia" w:ascii="仿宋" w:hAnsi="仿宋" w:eastAsia="仿宋" w:cs="仿宋"/>
          <w:bCs/>
          <w:sz w:val="30"/>
          <w:szCs w:val="30"/>
          <w:lang w:eastAsia="zh-CN"/>
        </w:rPr>
        <w:t>）</w:t>
      </w:r>
      <w:r>
        <w:rPr>
          <w:rFonts w:hint="eastAsia" w:ascii="仿宋" w:hAnsi="仿宋" w:eastAsia="仿宋" w:cs="仿宋"/>
          <w:bCs/>
          <w:sz w:val="30"/>
          <w:szCs w:val="30"/>
        </w:rPr>
        <w:t>申诉方可随时提出放弃申诉。</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r>
        <w:rPr>
          <w:rFonts w:hint="eastAsia" w:ascii="黑体" w:hAnsi="黑体" w:eastAsia="黑体" w:cs="黑体"/>
          <w:b w:val="0"/>
          <w:bCs w:val="0"/>
          <w:sz w:val="30"/>
          <w:szCs w:val="30"/>
        </w:rPr>
        <w:t>十</w:t>
      </w:r>
      <w:r>
        <w:rPr>
          <w:rFonts w:hint="eastAsia" w:ascii="黑体" w:hAnsi="黑体" w:eastAsia="黑体" w:cs="黑体"/>
          <w:b w:val="0"/>
          <w:bCs w:val="0"/>
          <w:sz w:val="30"/>
          <w:szCs w:val="30"/>
          <w:lang w:val="en-US" w:eastAsia="zh-CN"/>
        </w:rPr>
        <w:t>五</w:t>
      </w:r>
      <w:r>
        <w:rPr>
          <w:rFonts w:hint="eastAsia" w:ascii="黑体" w:hAnsi="黑体" w:eastAsia="黑体" w:cs="黑体"/>
          <w:b w:val="0"/>
          <w:bCs w:val="0"/>
          <w:sz w:val="30"/>
          <w:szCs w:val="30"/>
        </w:rPr>
        <w:t>、竞赛观摩</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竞赛现场设置观摩区，为保证比赛的公平公正，提供现场有限定的观摩。</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1"/>
        <w:rPr>
          <w:rFonts w:ascii="楷体" w:hAnsi="楷体" w:eastAsia="楷体" w:cs="方正楷体_GBK"/>
          <w:bCs/>
          <w:sz w:val="30"/>
          <w:szCs w:val="30"/>
        </w:rPr>
      </w:pPr>
      <w:r>
        <w:rPr>
          <w:rFonts w:hint="eastAsia" w:ascii="楷体_GB2312" w:hAnsi="楷体_GB2312" w:eastAsia="楷体_GB2312" w:cs="楷体_GB2312"/>
          <w:kern w:val="0"/>
          <w:sz w:val="30"/>
          <w:szCs w:val="30"/>
          <w:lang w:val="en-US" w:eastAsia="zh-CN"/>
        </w:rPr>
        <w:t>（一）观摩对象</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ascii="仿宋" w:hAnsi="仿宋" w:eastAsia="仿宋"/>
          <w:color w:val="000000"/>
          <w:sz w:val="32"/>
          <w:szCs w:val="32"/>
        </w:rPr>
      </w:pPr>
      <w:r>
        <w:rPr>
          <w:rFonts w:hint="eastAsia" w:ascii="仿宋" w:hAnsi="仿宋" w:eastAsia="仿宋"/>
          <w:color w:val="000000"/>
          <w:sz w:val="30"/>
          <w:szCs w:val="30"/>
        </w:rPr>
        <w:t>与赛项相关的企业、单位、学院、行业协会等专家、技术人员、指导教师等。</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（二）观摩方法</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hint="eastAsia" w:ascii="仿宋" w:hAnsi="仿宋" w:eastAsia="仿宋"/>
          <w:color w:val="000000"/>
          <w:sz w:val="30"/>
          <w:szCs w:val="30"/>
        </w:rPr>
      </w:pPr>
      <w:r>
        <w:rPr>
          <w:rFonts w:hint="eastAsia" w:ascii="仿宋" w:hAnsi="仿宋" w:eastAsia="仿宋"/>
          <w:color w:val="000000"/>
          <w:sz w:val="30"/>
          <w:szCs w:val="30"/>
        </w:rPr>
        <w:t>观摩人员可在规定时间，以小组为单位，在赛场引导员的引导下，有序进入</w:t>
      </w:r>
      <w:r>
        <w:rPr>
          <w:rFonts w:hint="eastAsia" w:ascii="仿宋" w:hAnsi="仿宋" w:eastAsia="仿宋"/>
          <w:color w:val="000000"/>
          <w:sz w:val="30"/>
          <w:szCs w:val="30"/>
          <w:lang w:eastAsia="zh-CN"/>
        </w:rPr>
        <w:t>观摩室</w:t>
      </w:r>
      <w:r>
        <w:rPr>
          <w:rFonts w:hint="eastAsia" w:ascii="仿宋" w:hAnsi="仿宋" w:eastAsia="仿宋"/>
          <w:color w:val="000000"/>
          <w:sz w:val="30"/>
          <w:szCs w:val="30"/>
        </w:rPr>
        <w:t>观摩。</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（三）观摩纪律</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hint="eastAsia" w:ascii="仿宋" w:hAnsi="仿宋" w:eastAsia="仿宋"/>
          <w:color w:val="000000"/>
          <w:sz w:val="30"/>
          <w:szCs w:val="30"/>
        </w:rPr>
      </w:pPr>
      <w:r>
        <w:rPr>
          <w:rFonts w:hint="eastAsia" w:ascii="仿宋" w:hAnsi="仿宋" w:eastAsia="仿宋"/>
          <w:color w:val="000000"/>
          <w:sz w:val="30"/>
          <w:szCs w:val="30"/>
        </w:rPr>
        <w:t>1.观摩时不得议论、交谈</w:t>
      </w:r>
      <w:r>
        <w:rPr>
          <w:rFonts w:hint="eastAsia" w:ascii="仿宋" w:hAnsi="仿宋" w:eastAsia="仿宋"/>
          <w:color w:val="000000"/>
          <w:sz w:val="30"/>
          <w:szCs w:val="30"/>
          <w:lang w:eastAsia="zh-CN"/>
        </w:rPr>
        <w:t>、</w:t>
      </w:r>
      <w:r>
        <w:rPr>
          <w:rFonts w:hint="eastAsia" w:ascii="仿宋" w:hAnsi="仿宋" w:eastAsia="仿宋"/>
          <w:color w:val="000000"/>
          <w:sz w:val="30"/>
          <w:szCs w:val="30"/>
          <w:lang w:val="en-US" w:eastAsia="zh-CN"/>
        </w:rPr>
        <w:t>大声喧哗</w:t>
      </w:r>
      <w:r>
        <w:rPr>
          <w:rFonts w:hint="eastAsia" w:ascii="仿宋" w:hAnsi="仿宋" w:eastAsia="仿宋"/>
          <w:color w:val="000000"/>
          <w:sz w:val="30"/>
          <w:szCs w:val="30"/>
        </w:rPr>
        <w:t>；</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hint="eastAsia" w:ascii="仿宋" w:hAnsi="仿宋" w:eastAsia="仿宋"/>
          <w:color w:val="000000"/>
          <w:sz w:val="30"/>
          <w:szCs w:val="30"/>
        </w:rPr>
      </w:pPr>
      <w:r>
        <w:rPr>
          <w:rFonts w:hint="eastAsia" w:ascii="仿宋" w:hAnsi="仿宋" w:eastAsia="仿宋"/>
          <w:color w:val="000000"/>
          <w:sz w:val="30"/>
          <w:szCs w:val="30"/>
        </w:rPr>
        <w:t>2.观摩时不得在赛场内停留，以免影响</w:t>
      </w:r>
      <w:r>
        <w:rPr>
          <w:rFonts w:hint="eastAsia" w:ascii="仿宋" w:hAnsi="仿宋" w:eastAsia="仿宋"/>
          <w:color w:val="000000"/>
          <w:sz w:val="30"/>
          <w:szCs w:val="30"/>
          <w:lang w:eastAsia="zh-CN"/>
        </w:rPr>
        <w:t>选手</w:t>
      </w:r>
      <w:r>
        <w:rPr>
          <w:rFonts w:hint="eastAsia" w:ascii="仿宋" w:hAnsi="仿宋" w:eastAsia="仿宋"/>
          <w:color w:val="000000"/>
          <w:sz w:val="30"/>
          <w:szCs w:val="30"/>
        </w:rPr>
        <w:t>比赛；</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hint="eastAsia" w:ascii="仿宋" w:hAnsi="仿宋" w:eastAsia="仿宋"/>
          <w:color w:val="000000"/>
          <w:sz w:val="30"/>
          <w:szCs w:val="30"/>
        </w:rPr>
      </w:pPr>
      <w:r>
        <w:rPr>
          <w:rFonts w:hint="eastAsia" w:ascii="仿宋" w:hAnsi="仿宋" w:eastAsia="仿宋"/>
          <w:color w:val="000000"/>
          <w:sz w:val="30"/>
          <w:szCs w:val="30"/>
        </w:rPr>
        <w:t>3.观摩时不准向场内裁判及工作人员提问；</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ascii="仿宋" w:hAnsi="仿宋" w:eastAsia="仿宋"/>
          <w:color w:val="000000"/>
          <w:sz w:val="30"/>
          <w:szCs w:val="30"/>
          <w:lang w:val="en-US" w:eastAsia="zh-CN"/>
        </w:rPr>
      </w:pPr>
      <w:r>
        <w:rPr>
          <w:rFonts w:hint="eastAsia" w:ascii="仿宋" w:hAnsi="仿宋" w:eastAsia="仿宋"/>
          <w:color w:val="000000"/>
          <w:sz w:val="30"/>
          <w:szCs w:val="30"/>
        </w:rPr>
        <w:t>4.</w:t>
      </w:r>
      <w:r>
        <w:rPr>
          <w:rFonts w:hint="eastAsia" w:ascii="仿宋" w:hAnsi="仿宋" w:eastAsia="仿宋"/>
          <w:color w:val="000000"/>
          <w:sz w:val="30"/>
          <w:szCs w:val="30"/>
          <w:lang w:val="en-US" w:eastAsia="zh-CN"/>
        </w:rPr>
        <w:t>不得违反2023-2024年全国职业院校技能大赛规定的各项纪律。</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rPr>
          <w:rFonts w:hint="eastAsia"/>
        </w:rPr>
      </w:pPr>
      <w:r>
        <w:rPr>
          <w:rFonts w:hint="eastAsia" w:ascii="仿宋" w:hAnsi="仿宋" w:eastAsia="仿宋"/>
          <w:color w:val="000000"/>
          <w:sz w:val="30"/>
          <w:szCs w:val="30"/>
          <w:lang w:val="en-US" w:eastAsia="zh-CN"/>
        </w:rPr>
        <w:t xml:space="preserve">5.保持观摩区清洁，将饮料食品包装及其他杂物扔进垃圾箱。 </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hint="eastAsia" w:ascii="仿宋" w:hAnsi="仿宋" w:eastAsia="仿宋"/>
          <w:color w:val="000000"/>
          <w:sz w:val="30"/>
          <w:szCs w:val="30"/>
        </w:rPr>
      </w:pPr>
      <w:r>
        <w:rPr>
          <w:rFonts w:hint="eastAsia" w:ascii="仿宋" w:hAnsi="仿宋" w:eastAsia="仿宋"/>
          <w:color w:val="000000"/>
          <w:sz w:val="30"/>
          <w:szCs w:val="30"/>
        </w:rPr>
        <w:t>凡违反以上规定者，立即取消观摩资格。</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bookmarkStart w:id="35" w:name="_Toc383039619"/>
      <w:r>
        <w:rPr>
          <w:rFonts w:hint="eastAsia" w:ascii="黑体" w:hAnsi="黑体" w:eastAsia="黑体" w:cs="黑体"/>
          <w:b w:val="0"/>
          <w:bCs w:val="0"/>
          <w:sz w:val="30"/>
          <w:szCs w:val="30"/>
        </w:rPr>
        <w:t>十</w:t>
      </w:r>
      <w:r>
        <w:rPr>
          <w:rFonts w:hint="eastAsia" w:ascii="黑体" w:hAnsi="黑体" w:eastAsia="黑体" w:cs="黑体"/>
          <w:b w:val="0"/>
          <w:bCs w:val="0"/>
          <w:sz w:val="30"/>
          <w:szCs w:val="30"/>
          <w:lang w:val="en-US" w:eastAsia="zh-CN"/>
        </w:rPr>
        <w:t>六</w:t>
      </w:r>
      <w:r>
        <w:rPr>
          <w:rFonts w:hint="eastAsia" w:ascii="黑体" w:hAnsi="黑体" w:eastAsia="黑体" w:cs="黑体"/>
          <w:b w:val="0"/>
          <w:bCs w:val="0"/>
          <w:sz w:val="30"/>
          <w:szCs w:val="30"/>
        </w:rPr>
        <w:t>、竞赛视频</w:t>
      </w:r>
      <w:bookmarkEnd w:id="35"/>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hint="eastAsia" w:ascii="仿宋" w:hAnsi="仿宋" w:eastAsia="仿宋"/>
          <w:color w:val="000000"/>
          <w:sz w:val="30"/>
          <w:szCs w:val="30"/>
        </w:rPr>
      </w:pPr>
      <w:bookmarkStart w:id="36" w:name="_Toc383039620"/>
      <w:r>
        <w:rPr>
          <w:rFonts w:hint="eastAsia" w:ascii="仿宋" w:hAnsi="仿宋" w:eastAsia="仿宋"/>
          <w:color w:val="000000"/>
          <w:sz w:val="30"/>
          <w:szCs w:val="30"/>
          <w:lang w:eastAsia="zh-CN"/>
        </w:rPr>
        <w:t>（</w:t>
      </w:r>
      <w:r>
        <w:rPr>
          <w:rFonts w:hint="eastAsia" w:ascii="仿宋" w:hAnsi="仿宋" w:eastAsia="仿宋"/>
          <w:color w:val="000000"/>
          <w:sz w:val="30"/>
          <w:szCs w:val="30"/>
          <w:lang w:val="en-US" w:eastAsia="zh-CN"/>
        </w:rPr>
        <w:t>一</w:t>
      </w:r>
      <w:r>
        <w:rPr>
          <w:rFonts w:hint="eastAsia" w:ascii="仿宋" w:hAnsi="仿宋" w:eastAsia="仿宋"/>
          <w:color w:val="000000"/>
          <w:sz w:val="30"/>
          <w:szCs w:val="30"/>
          <w:lang w:eastAsia="zh-CN"/>
        </w:rPr>
        <w:t>）</w:t>
      </w:r>
      <w:r>
        <w:rPr>
          <w:rFonts w:hint="eastAsia" w:ascii="仿宋" w:hAnsi="仿宋" w:eastAsia="仿宋"/>
          <w:color w:val="000000"/>
          <w:sz w:val="30"/>
          <w:szCs w:val="30"/>
        </w:rPr>
        <w:t>在赛项组委会的领导下，成立专业工作小组。</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ascii="仿宋" w:hAnsi="仿宋" w:eastAsia="仿宋"/>
          <w:color w:val="000000"/>
          <w:sz w:val="32"/>
          <w:szCs w:val="32"/>
        </w:rPr>
      </w:pPr>
      <w:r>
        <w:rPr>
          <w:rFonts w:hint="eastAsia" w:ascii="仿宋" w:hAnsi="仿宋" w:eastAsia="仿宋"/>
          <w:color w:val="000000"/>
          <w:sz w:val="30"/>
          <w:szCs w:val="30"/>
          <w:lang w:eastAsia="zh-CN"/>
        </w:rPr>
        <w:t>（</w:t>
      </w:r>
      <w:r>
        <w:rPr>
          <w:rFonts w:hint="eastAsia" w:ascii="仿宋" w:hAnsi="仿宋" w:eastAsia="仿宋"/>
          <w:color w:val="000000"/>
          <w:sz w:val="30"/>
          <w:szCs w:val="30"/>
          <w:lang w:val="en-US" w:eastAsia="zh-CN"/>
        </w:rPr>
        <w:t>二</w:t>
      </w:r>
      <w:r>
        <w:rPr>
          <w:rFonts w:hint="eastAsia" w:ascii="仿宋" w:hAnsi="仿宋" w:eastAsia="仿宋"/>
          <w:color w:val="000000"/>
          <w:sz w:val="30"/>
          <w:szCs w:val="30"/>
          <w:lang w:eastAsia="zh-CN"/>
        </w:rPr>
        <w:t>）</w:t>
      </w:r>
      <w:r>
        <w:rPr>
          <w:rFonts w:hint="eastAsia" w:ascii="仿宋" w:hAnsi="仿宋" w:eastAsia="仿宋"/>
          <w:color w:val="000000"/>
          <w:sz w:val="30"/>
          <w:szCs w:val="30"/>
        </w:rPr>
        <w:t>利用多媒体技术及设备录制视频资料，记录竞赛全过程，为宣传、仲裁、资源转化提供全面的信息资料，赛后制作课程流媒体资源。</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r>
        <w:rPr>
          <w:rFonts w:hint="eastAsia" w:ascii="黑体" w:hAnsi="黑体" w:eastAsia="黑体" w:cs="黑体"/>
          <w:b w:val="0"/>
          <w:bCs w:val="0"/>
          <w:sz w:val="30"/>
          <w:szCs w:val="30"/>
        </w:rPr>
        <w:t>十</w:t>
      </w:r>
      <w:r>
        <w:rPr>
          <w:rFonts w:hint="eastAsia" w:ascii="黑体" w:hAnsi="黑体" w:eastAsia="黑体" w:cs="黑体"/>
          <w:b w:val="0"/>
          <w:bCs w:val="0"/>
          <w:sz w:val="30"/>
          <w:szCs w:val="30"/>
          <w:lang w:val="en-US" w:eastAsia="zh-CN"/>
        </w:rPr>
        <w:t>七</w:t>
      </w:r>
      <w:r>
        <w:rPr>
          <w:rFonts w:hint="eastAsia" w:ascii="黑体" w:hAnsi="黑体" w:eastAsia="黑体" w:cs="黑体"/>
          <w:b w:val="0"/>
          <w:bCs w:val="0"/>
          <w:sz w:val="30"/>
          <w:szCs w:val="30"/>
        </w:rPr>
        <w:t>、竞赛须知</w:t>
      </w:r>
      <w:bookmarkEnd w:id="36"/>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（一）参赛队须知</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1．各参赛代表队要发扬良好道德风尚，听从指挥，服从裁判，不弄虚作假。如发现弄虚作假者，取消参赛资格，名次无效。</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2．</w:t>
      </w:r>
      <w:r>
        <w:rPr>
          <w:rFonts w:hint="default" w:ascii="仿宋" w:hAnsi="仿宋" w:eastAsia="仿宋" w:cs="仿宋"/>
          <w:bCs/>
          <w:sz w:val="30"/>
          <w:szCs w:val="30"/>
        </w:rPr>
        <w:t>参赛队名称统一使用学校代表队名称，不使用</w:t>
      </w:r>
      <w:r>
        <w:rPr>
          <w:rFonts w:hint="eastAsia" w:ascii="仿宋" w:hAnsi="仿宋" w:eastAsia="仿宋" w:cs="仿宋"/>
          <w:bCs/>
          <w:sz w:val="30"/>
          <w:szCs w:val="30"/>
        </w:rPr>
        <w:t>其他组织、团体名称；不接受跨校组队报名。</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lang w:val="en-US" w:eastAsia="zh-CN"/>
        </w:rPr>
        <w:t>3</w:t>
      </w:r>
      <w:r>
        <w:rPr>
          <w:rFonts w:hint="eastAsia" w:ascii="仿宋" w:hAnsi="仿宋" w:eastAsia="仿宋" w:cs="仿宋"/>
          <w:bCs/>
          <w:sz w:val="30"/>
          <w:szCs w:val="30"/>
        </w:rPr>
        <w:t>．参赛队按照大赛赛程安排，凭大赛组委会颁发的参赛证及标识和有效身份证件参加比赛及相关活动。</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lang w:val="en-US" w:eastAsia="zh-CN"/>
        </w:rPr>
        <w:t>4</w:t>
      </w:r>
      <w:r>
        <w:rPr>
          <w:rFonts w:hint="eastAsia" w:ascii="仿宋" w:hAnsi="仿宋" w:eastAsia="仿宋" w:cs="仿宋"/>
          <w:bCs/>
          <w:sz w:val="30"/>
          <w:szCs w:val="30"/>
        </w:rPr>
        <w:t>．参赛队员需要购买保险。</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（二）指导教师须知</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1．各代表队领队要坚决执行竞赛的各项规定，加强对参赛人员的管理，做好赛前准备工作，督促选手带好证件等竞赛相关材料。</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2．竞赛过程中，除参加当场次竞赛的选手、执行裁判员、现场工作人员和经批准的人员外，领队、指导教师及其他人员一律不得进入竞赛场地。</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3．参赛代表队若对竞赛过程有异议，在规定的时间内由领队向赛项监督仲裁组提出书面报告。</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4．对申诉的仲裁结果，领队要带头服从和执行，并做好选手工作。参赛选手不得因申诉或对处理意见不服而停止竞赛，否则以弃权处理。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olor w:val="000000"/>
          <w:sz w:val="32"/>
          <w:szCs w:val="32"/>
        </w:rPr>
      </w:pPr>
      <w:r>
        <w:rPr>
          <w:rFonts w:hint="eastAsia" w:ascii="仿宋" w:hAnsi="仿宋" w:eastAsia="仿宋" w:cs="仿宋"/>
          <w:bCs/>
          <w:sz w:val="30"/>
          <w:szCs w:val="30"/>
        </w:rPr>
        <w:t>5．指导老师应及时查看省教育厅大赛官网、微信群有关赛项的通知和内容，认真研究和掌握本赛项竞赛的规程、技术规范和赛场要求，指导选手做好赛前的一切技术准备和竞赛准备。</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（三）参赛选手须知</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1．参赛选手应按有关要求如实填报个人信息，否则取消竞赛资格。</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2．参赛选手凭统一印制的参赛证和有效身份证件参加竞赛。</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3．参赛选手应认真学习领会本次竞赛相关文件，自觉遵守大赛纪律，服从指挥，听从安排，文明参赛。</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rPr>
        <w:t>4．参赛选手应按照规定时间抵达赛场，凭参赛证、</w:t>
      </w:r>
      <w:r>
        <w:rPr>
          <w:rFonts w:hint="eastAsia" w:ascii="仿宋" w:hAnsi="仿宋" w:eastAsia="仿宋" w:cs="仿宋"/>
          <w:bCs/>
          <w:sz w:val="30"/>
          <w:szCs w:val="30"/>
          <w:lang w:eastAsia="zh-CN"/>
        </w:rPr>
        <w:t>学生证、</w:t>
      </w:r>
      <w:r>
        <w:rPr>
          <w:rFonts w:hint="eastAsia" w:ascii="仿宋" w:hAnsi="仿宋" w:eastAsia="仿宋" w:cs="仿宋"/>
          <w:bCs/>
          <w:sz w:val="30"/>
          <w:szCs w:val="30"/>
        </w:rPr>
        <w:t>身份证件检录，按要求入场，不得迟到早退。</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lang w:val="en-US" w:eastAsia="zh-CN"/>
        </w:rPr>
        <w:t>5</w:t>
      </w:r>
      <w:r>
        <w:rPr>
          <w:rFonts w:hint="eastAsia" w:ascii="仿宋" w:hAnsi="仿宋" w:eastAsia="仿宋" w:cs="仿宋"/>
          <w:bCs/>
          <w:sz w:val="30"/>
          <w:szCs w:val="30"/>
        </w:rPr>
        <w:t>．参赛选手须在确认竞赛内容和现场设备等无误后开始竞赛。在竞赛过程中，如有疑问，参赛选手可举手示意，项目裁判长应按照有关要求及时予以答疑。如遇设备或软件等故障，参赛选手应举手示意，项目裁判长、技术人员等应及时予以解决。</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lang w:val="en-US" w:eastAsia="zh-CN"/>
        </w:rPr>
        <w:t>6</w:t>
      </w:r>
      <w:r>
        <w:rPr>
          <w:rFonts w:hint="eastAsia" w:ascii="仿宋" w:hAnsi="仿宋" w:eastAsia="仿宋" w:cs="仿宋"/>
          <w:bCs/>
          <w:sz w:val="30"/>
          <w:szCs w:val="30"/>
        </w:rPr>
        <w:t>．各参赛选手必须按规范要求</w:t>
      </w:r>
      <w:r>
        <w:rPr>
          <w:rFonts w:hint="eastAsia" w:ascii="仿宋" w:hAnsi="仿宋" w:eastAsia="仿宋" w:cs="仿宋"/>
          <w:bCs/>
          <w:sz w:val="30"/>
          <w:szCs w:val="30"/>
          <w:lang w:eastAsia="zh-CN"/>
        </w:rPr>
        <w:t>进行参赛</w:t>
      </w:r>
      <w:r>
        <w:rPr>
          <w:rFonts w:hint="eastAsia" w:ascii="仿宋" w:hAnsi="仿宋" w:eastAsia="仿宋" w:cs="仿宋"/>
          <w:bCs/>
          <w:sz w:val="30"/>
          <w:szCs w:val="30"/>
        </w:rPr>
        <w:t>。一旦出现较严重的安全事故，经裁判长批准后将立即取消其参赛资格。</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rPr>
          <w:rFonts w:ascii="仿宋" w:hAnsi="仿宋" w:eastAsia="仿宋" w:cs="仿宋"/>
          <w:bCs/>
          <w:sz w:val="30"/>
          <w:szCs w:val="30"/>
        </w:rPr>
      </w:pPr>
      <w:r>
        <w:rPr>
          <w:rFonts w:hint="eastAsia" w:ascii="仿宋" w:hAnsi="仿宋" w:eastAsia="仿宋" w:cs="仿宋"/>
          <w:bCs/>
          <w:sz w:val="30"/>
          <w:szCs w:val="30"/>
          <w:lang w:val="en-US" w:eastAsia="zh-CN"/>
        </w:rPr>
        <w:t>7</w:t>
      </w:r>
      <w:r>
        <w:rPr>
          <w:rFonts w:hint="eastAsia" w:ascii="仿宋" w:hAnsi="仿宋" w:eastAsia="仿宋" w:cs="仿宋"/>
          <w:bCs/>
          <w:sz w:val="30"/>
          <w:szCs w:val="30"/>
        </w:rPr>
        <w:t>．在竞赛期间，未经执委会的批准，参赛选手不得接受其他单位和个人进行的与竞赛内容相关的采访。参赛选手不得将竞赛的相关信息私自公布。</w:t>
      </w:r>
    </w:p>
    <w:p>
      <w:pPr>
        <w:keepNext w:val="0"/>
        <w:keepLines w:val="0"/>
        <w:pageBreakBefore w:val="0"/>
        <w:widowControl w:val="0"/>
        <w:shd w:val="clear" w:color="auto" w:fill="FFFFFF"/>
        <w:kinsoku/>
        <w:wordWrap/>
        <w:overflowPunct/>
        <w:topLinePunct w:val="0"/>
        <w:autoSpaceDE/>
        <w:autoSpaceDN/>
        <w:bidi w:val="0"/>
        <w:adjustRightInd w:val="0"/>
        <w:spacing w:line="560" w:lineRule="exact"/>
        <w:ind w:firstLine="602" w:firstLineChars="201"/>
        <w:textAlignment w:val="auto"/>
        <w:rPr>
          <w:rFonts w:ascii="仿宋" w:hAnsi="仿宋" w:eastAsia="仿宋"/>
          <w:color w:val="000000"/>
          <w:sz w:val="30"/>
          <w:szCs w:val="30"/>
        </w:rPr>
      </w:pPr>
      <w:r>
        <w:rPr>
          <w:rFonts w:hint="eastAsia" w:ascii="仿宋" w:hAnsi="仿宋" w:eastAsia="仿宋" w:cs="仿宋"/>
          <w:bCs/>
          <w:sz w:val="30"/>
          <w:szCs w:val="30"/>
          <w:lang w:val="en-US" w:eastAsia="zh-CN"/>
        </w:rPr>
        <w:t>8</w:t>
      </w:r>
      <w:r>
        <w:rPr>
          <w:rFonts w:hint="eastAsia" w:ascii="仿宋" w:hAnsi="仿宋" w:eastAsia="仿宋" w:cs="仿宋"/>
          <w:bCs/>
          <w:sz w:val="30"/>
          <w:szCs w:val="30"/>
        </w:rPr>
        <w:t>．如遇身体不适，参赛选手可求助现场医务人员予以救治</w:t>
      </w:r>
      <w:r>
        <w:rPr>
          <w:rFonts w:hint="eastAsia" w:ascii="仿宋" w:hAnsi="仿宋" w:eastAsia="仿宋"/>
          <w:color w:val="000000"/>
          <w:sz w:val="30"/>
          <w:szCs w:val="30"/>
        </w:rPr>
        <w:t>。</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楷体_GB2312" w:hAnsi="楷体_GB2312" w:eastAsia="楷体_GB2312" w:cs="楷体_GB2312"/>
          <w:kern w:val="0"/>
          <w:sz w:val="30"/>
          <w:szCs w:val="30"/>
          <w:lang w:val="en-US" w:eastAsia="zh-CN"/>
        </w:rPr>
      </w:pPr>
      <w:r>
        <w:rPr>
          <w:rFonts w:hint="eastAsia" w:ascii="楷体_GB2312" w:hAnsi="楷体_GB2312" w:eastAsia="楷体_GB2312" w:cs="楷体_GB2312"/>
          <w:kern w:val="0"/>
          <w:sz w:val="30"/>
          <w:szCs w:val="30"/>
          <w:lang w:val="en-US" w:eastAsia="zh-CN"/>
        </w:rPr>
        <w:t>（四）工作人员须知</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1．工作人员必须统一佩戴由大赛组委会签发的相应证件，着装整齐。</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2．工作人员不得影响参赛选手比赛，不允许有影响比赛公平的行为。</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3．服从领导，听从指挥，以高度负责的精神、严肃认真的态度做好各项工作。</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4．熟悉比赛规程，认真遵守各项比赛规则和工作要求。</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5．坚守岗位，如有急事需要离开岗位时，应经领导同意，并做好工作衔接。</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6．严格遵守比赛纪律，如发现其他人员有违反比赛纪律的行为，应予以制止。情节严重的，应向竞赛组委会反映。</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7．发扬无私奉献和团结协作的精神，提供热情、优质服务。</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1"/>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十八</w:t>
      </w:r>
      <w:r>
        <w:rPr>
          <w:rFonts w:hint="eastAsia" w:ascii="黑体" w:hAnsi="黑体" w:eastAsia="黑体" w:cs="黑体"/>
          <w:b w:val="0"/>
          <w:bCs w:val="0"/>
          <w:sz w:val="30"/>
          <w:szCs w:val="30"/>
        </w:rPr>
        <w:t>、其他</w:t>
      </w:r>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本次选拔赛不收取参赛费用与报名费用，大赛期间食宿统一安排，费用由参赛单位自理。</w:t>
      </w:r>
    </w:p>
    <w:bookmarkEnd w:id="32"/>
    <w:bookmarkEnd w:id="33"/>
    <w:bookmarkEnd w:id="34"/>
    <w:p>
      <w:pPr>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highlight w:val="yellow"/>
          <w:lang w:eastAsia="zh-CN"/>
        </w:rPr>
      </w:pPr>
    </w:p>
    <w:sectPr>
      <w:footerReference r:id="rId5" w:type="first"/>
      <w:footerReference r:id="rId4" w:type="default"/>
      <w:headerReference r:id="rId3" w:type="even"/>
      <w:pgSz w:w="11906" w:h="16838"/>
      <w:pgMar w:top="1644" w:right="1474" w:bottom="17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822A84-1B78-4198-AB38-F6339D7275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embedRegular r:id="rId2" w:fontKey="{390B4CE2-AEED-4829-BD14-15068EFF999C}"/>
  </w:font>
  <w:font w:name="方正小标宋_GBK">
    <w:panose1 w:val="02000000000000000000"/>
    <w:charset w:val="86"/>
    <w:family w:val="auto"/>
    <w:pitch w:val="default"/>
    <w:sig w:usb0="A00002BF" w:usb1="38CF7CFA" w:usb2="00082016" w:usb3="00000000" w:csb0="00040001" w:csb1="00000000"/>
    <w:embedRegular r:id="rId3" w:fontKey="{43E21F98-B47B-4802-A3A1-60A6E16C6CBA}"/>
  </w:font>
  <w:font w:name="仿宋">
    <w:panose1 w:val="02010609060101010101"/>
    <w:charset w:val="86"/>
    <w:family w:val="modern"/>
    <w:pitch w:val="default"/>
    <w:sig w:usb0="800002BF" w:usb1="38CF7CFA" w:usb2="00000016" w:usb3="00000000" w:csb0="00040001" w:csb1="00000000"/>
    <w:embedRegular r:id="rId4" w:fontKey="{2BFA89FF-A60B-4E32-99DE-068A7AC981C3}"/>
  </w:font>
  <w:font w:name="楷体_GB2312">
    <w:altName w:val="楷体"/>
    <w:panose1 w:val="02010609030101010101"/>
    <w:charset w:val="86"/>
    <w:family w:val="auto"/>
    <w:pitch w:val="default"/>
    <w:sig w:usb0="00000000" w:usb1="00000000" w:usb2="00000000" w:usb3="00000000" w:csb0="00040000" w:csb1="00000000"/>
    <w:embedRegular r:id="rId5" w:fontKey="{2CCAFD08-81C0-4538-B0B4-554C118548A9}"/>
  </w:font>
  <w:font w:name="方正黑体_GBK">
    <w:altName w:val="微软雅黑"/>
    <w:panose1 w:val="02000000000000000000"/>
    <w:charset w:val="86"/>
    <w:family w:val="auto"/>
    <w:pitch w:val="default"/>
    <w:sig w:usb0="00000000" w:usb1="00000000" w:usb2="00000000" w:usb3="00000000" w:csb0="00040000" w:csb1="00000000"/>
    <w:embedRegular r:id="rId6" w:fontKey="{D9E1CC79-8CA2-4883-8F0F-21FB6A499447}"/>
  </w:font>
  <w:font w:name="方正仿宋_GBK">
    <w:altName w:val="微软雅黑"/>
    <w:panose1 w:val="02000000000000000000"/>
    <w:charset w:val="86"/>
    <w:family w:val="auto"/>
    <w:pitch w:val="default"/>
    <w:sig w:usb0="00000000" w:usb1="00000000" w:usb2="00000000" w:usb3="00000000" w:csb0="00040000" w:csb1="00000000"/>
    <w:embedRegular r:id="rId7" w:fontKey="{312A6F1B-6019-4B99-9F0A-5E188BE02EFB}"/>
  </w:font>
  <w:font w:name="楷体">
    <w:panose1 w:val="02010609060101010101"/>
    <w:charset w:val="86"/>
    <w:family w:val="auto"/>
    <w:pitch w:val="default"/>
    <w:sig w:usb0="800002BF" w:usb1="38CF7CFA" w:usb2="00000016" w:usb3="00000000" w:csb0="00040001" w:csb1="00000000"/>
    <w:embedRegular r:id="rId8" w:fontKey="{4B11855C-1E1C-439A-8070-074F5590D10C}"/>
  </w:font>
  <w:font w:name="方正楷体_GBK">
    <w:panose1 w:val="02000000000000000000"/>
    <w:charset w:val="86"/>
    <w:family w:val="auto"/>
    <w:pitch w:val="default"/>
    <w:sig w:usb0="800002BF" w:usb1="38CF7CFA" w:usb2="00000016" w:usb3="00000000" w:csb0="00040000" w:csb1="00000000"/>
    <w:embedRegular r:id="rId9" w:fontKey="{E6D0D877-4D7B-4909-800A-79425B555AAC}"/>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10" w:fontKey="{2313C22B-5417-4009-938C-835AC151BF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spacing w:val="68"/>
        <w:sz w:val="22"/>
        <w:szCs w:val="36"/>
        <w:u w:val="single"/>
      </w:rPr>
    </w:pPr>
    <w:r>
      <w:rPr>
        <w:rFonts w:hint="eastAsia"/>
        <w:spacing w:val="11"/>
        <w:u w:val="single"/>
      </w:rPr>
      <w:drawing>
        <wp:anchor distT="0" distB="0" distL="114300" distR="114300" simplePos="0" relativeHeight="251660288" behindDoc="1" locked="0" layoutInCell="1" allowOverlap="1">
          <wp:simplePos x="0" y="0"/>
          <wp:positionH relativeFrom="column">
            <wp:posOffset>5483860</wp:posOffset>
          </wp:positionH>
          <wp:positionV relativeFrom="paragraph">
            <wp:posOffset>-3810</wp:posOffset>
          </wp:positionV>
          <wp:extent cx="507365" cy="438785"/>
          <wp:effectExtent l="0" t="0" r="6985" b="8890"/>
          <wp:wrapTight wrapText="bothSides">
            <wp:wrapPolygon>
              <wp:start x="0" y="0"/>
              <wp:lineTo x="0" y="21600"/>
              <wp:lineTo x="21600" y="21600"/>
              <wp:lineTo x="21600" y="0"/>
              <wp:lineTo x="0" y="0"/>
            </wp:wrapPolygon>
          </wp:wrapTight>
          <wp:docPr id="167" name="图片 167" descr="赛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赛标4"/>
                  <pic:cNvPicPr>
                    <a:picLocks noChangeAspect="1"/>
                  </pic:cNvPicPr>
                </pic:nvPicPr>
                <pic:blipFill>
                  <a:blip r:embed="rId1"/>
                  <a:stretch>
                    <a:fillRect/>
                  </a:stretch>
                </pic:blipFill>
                <pic:spPr>
                  <a:xfrm>
                    <a:off x="0" y="0"/>
                    <a:ext cx="507365" cy="438785"/>
                  </a:xfrm>
                  <a:prstGeom prst="rect">
                    <a:avLst/>
                  </a:prstGeom>
                </pic:spPr>
              </pic:pic>
            </a:graphicData>
          </a:graphic>
        </wp:anchor>
      </w:drawing>
    </w:r>
    <w:r>
      <w:rPr>
        <w:rFonts w:hint="eastAsia" w:ascii="仿宋" w:hAnsi="仿宋" w:eastAsia="仿宋" w:cs="仿宋"/>
        <w:spacing w:val="11"/>
        <w:sz w:val="28"/>
        <w:szCs w:val="44"/>
      </w:rPr>
      <w:t xml:space="preserve">2022 </w:t>
    </w:r>
    <w:r>
      <w:rPr>
        <w:rFonts w:hint="eastAsia" w:ascii="仿宋" w:hAnsi="仿宋" w:eastAsia="仿宋" w:cs="仿宋"/>
        <w:spacing w:val="79"/>
        <w:sz w:val="28"/>
        <w:szCs w:val="44"/>
      </w:rPr>
      <w:t>年全国职业院校技能大赛</w:t>
    </w:r>
    <w:r>
      <w:rPr>
        <w:rFonts w:hint="eastAsia" w:ascii="仿宋" w:hAnsi="仿宋" w:eastAsia="仿宋" w:cs="仿宋"/>
        <w:spacing w:val="11"/>
        <w:sz w:val="28"/>
        <w:szCs w:val="44"/>
      </w:rPr>
      <w:t xml:space="preserve"> </w:t>
    </w:r>
    <w:r>
      <w:rPr>
        <w:rFonts w:hint="eastAsia" w:ascii="仿宋" w:hAnsi="仿宋" w:eastAsia="仿宋" w:cs="仿宋"/>
        <w:spacing w:val="68"/>
        <w:sz w:val="28"/>
        <w:szCs w:val="44"/>
      </w:rPr>
      <w:t xml:space="preserve"> </w:t>
    </w:r>
  </w:p>
  <w:p>
    <w:pPr>
      <w:pStyle w:val="10"/>
    </w:pPr>
    <w:r>
      <w:rPr>
        <w:rFonts w:hint="eastAsia" w:ascii="微软雅黑 Light" w:hAnsi="微软雅黑 Light" w:eastAsia="微软雅黑 Light" w:cs="微软雅黑 Light"/>
        <w:spacing w:val="11"/>
        <w:sz w:val="20"/>
        <w:szCs w:val="28"/>
        <w:u w:val="single"/>
      </w:rPr>
      <w:t>National Competition for Skills of Vocational Education</w:t>
    </w:r>
    <w:r>
      <w:rPr>
        <w:rFonts w:hint="eastAsia" w:ascii="微软雅黑" w:hAnsi="微软雅黑" w:eastAsia="微软雅黑" w:cs="微软雅黑"/>
        <w:spacing w:val="11"/>
        <w:u w:val="single"/>
      </w:rPr>
      <w:t xml:space="preserve"> </w:t>
    </w:r>
    <w:r>
      <w:rPr>
        <w:rFonts w:hint="eastAsia" w:ascii="等线 Light" w:hAnsi="等线 Light" w:eastAsia="等线 Light" w:cs="等线 Light"/>
        <w:spacing w:val="11"/>
        <w:sz w:val="20"/>
        <w:szCs w:val="28"/>
        <w:u w:val="single"/>
      </w:rPr>
      <w:t xml:space="preserve"> </w:t>
    </w:r>
    <w:r>
      <w:rPr>
        <w:rFonts w:hint="eastAsia" w:ascii="等线 Light" w:hAnsi="等线 Light" w:eastAsia="等线 Light" w:cs="等线 Light"/>
        <w:spacing w:val="57"/>
        <w:u w:val="single"/>
      </w:rPr>
      <w:t xml:space="preserve"> </w:t>
    </w:r>
    <w:r>
      <w:rPr>
        <w:rFonts w:hint="eastAsia"/>
        <w:spacing w:val="57"/>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ODJhZDQ1NjIzMmEwNDY5ZTA3ZjQ3Yjc4ZGY0MjAifQ=="/>
  </w:docVars>
  <w:rsids>
    <w:rsidRoot w:val="71B408E4"/>
    <w:rsid w:val="000539E4"/>
    <w:rsid w:val="001C7FEB"/>
    <w:rsid w:val="002305EC"/>
    <w:rsid w:val="002F0D1E"/>
    <w:rsid w:val="00476242"/>
    <w:rsid w:val="00746EB6"/>
    <w:rsid w:val="008412B9"/>
    <w:rsid w:val="00923016"/>
    <w:rsid w:val="00945947"/>
    <w:rsid w:val="00956F61"/>
    <w:rsid w:val="00980BB7"/>
    <w:rsid w:val="00C05F2D"/>
    <w:rsid w:val="00EB7179"/>
    <w:rsid w:val="012375FA"/>
    <w:rsid w:val="01EF4956"/>
    <w:rsid w:val="03031491"/>
    <w:rsid w:val="04043713"/>
    <w:rsid w:val="04FF3EDA"/>
    <w:rsid w:val="0571302A"/>
    <w:rsid w:val="05B80C59"/>
    <w:rsid w:val="05D718D4"/>
    <w:rsid w:val="05F629B8"/>
    <w:rsid w:val="06FD61DE"/>
    <w:rsid w:val="071F0864"/>
    <w:rsid w:val="07862691"/>
    <w:rsid w:val="07CC69A4"/>
    <w:rsid w:val="094D790A"/>
    <w:rsid w:val="09F2489E"/>
    <w:rsid w:val="0FFD5B91"/>
    <w:rsid w:val="103E279A"/>
    <w:rsid w:val="10C20BDE"/>
    <w:rsid w:val="11022891"/>
    <w:rsid w:val="12483364"/>
    <w:rsid w:val="12E3308D"/>
    <w:rsid w:val="14ED71AA"/>
    <w:rsid w:val="1517701E"/>
    <w:rsid w:val="17CE7E68"/>
    <w:rsid w:val="17FB7D80"/>
    <w:rsid w:val="1A7B2E87"/>
    <w:rsid w:val="1B8B42C2"/>
    <w:rsid w:val="1C8E230A"/>
    <w:rsid w:val="1F8B663F"/>
    <w:rsid w:val="1FBA4B30"/>
    <w:rsid w:val="1FEF48F2"/>
    <w:rsid w:val="206550E2"/>
    <w:rsid w:val="20E424AA"/>
    <w:rsid w:val="220626FF"/>
    <w:rsid w:val="228467E3"/>
    <w:rsid w:val="23360FB7"/>
    <w:rsid w:val="234C2589"/>
    <w:rsid w:val="23ED25BA"/>
    <w:rsid w:val="24B63416"/>
    <w:rsid w:val="24C73E65"/>
    <w:rsid w:val="24F24ED8"/>
    <w:rsid w:val="254A2AF8"/>
    <w:rsid w:val="26054D70"/>
    <w:rsid w:val="26307F40"/>
    <w:rsid w:val="26AE548D"/>
    <w:rsid w:val="26E252B9"/>
    <w:rsid w:val="28A52672"/>
    <w:rsid w:val="29915199"/>
    <w:rsid w:val="2A293624"/>
    <w:rsid w:val="2C2C435B"/>
    <w:rsid w:val="2CBC42DB"/>
    <w:rsid w:val="2DB8647D"/>
    <w:rsid w:val="2DE6266F"/>
    <w:rsid w:val="2DFD6962"/>
    <w:rsid w:val="2F0A6D05"/>
    <w:rsid w:val="2F5E78CC"/>
    <w:rsid w:val="2F9E23BE"/>
    <w:rsid w:val="30FB119E"/>
    <w:rsid w:val="330859A4"/>
    <w:rsid w:val="334260FF"/>
    <w:rsid w:val="336E5337"/>
    <w:rsid w:val="33916868"/>
    <w:rsid w:val="33E76EC2"/>
    <w:rsid w:val="33EF143A"/>
    <w:rsid w:val="354E2190"/>
    <w:rsid w:val="356B689E"/>
    <w:rsid w:val="35F5260C"/>
    <w:rsid w:val="35FC7E3E"/>
    <w:rsid w:val="36FE3C02"/>
    <w:rsid w:val="37310D12"/>
    <w:rsid w:val="37906A90"/>
    <w:rsid w:val="3AAC5463"/>
    <w:rsid w:val="3B135A0E"/>
    <w:rsid w:val="3C8D359E"/>
    <w:rsid w:val="3CB70040"/>
    <w:rsid w:val="3D2C725B"/>
    <w:rsid w:val="3D8F39C6"/>
    <w:rsid w:val="3EF9316D"/>
    <w:rsid w:val="3F1E0E25"/>
    <w:rsid w:val="42AB0797"/>
    <w:rsid w:val="43427A14"/>
    <w:rsid w:val="43C57AC2"/>
    <w:rsid w:val="450F36EA"/>
    <w:rsid w:val="452F5B3A"/>
    <w:rsid w:val="45FE550D"/>
    <w:rsid w:val="476A2E5A"/>
    <w:rsid w:val="49AA1C33"/>
    <w:rsid w:val="4A767D68"/>
    <w:rsid w:val="4AAA5C63"/>
    <w:rsid w:val="4B7324F9"/>
    <w:rsid w:val="4BA45905"/>
    <w:rsid w:val="4BA97CC9"/>
    <w:rsid w:val="4BE86A43"/>
    <w:rsid w:val="4DFA0CB0"/>
    <w:rsid w:val="4F275AD4"/>
    <w:rsid w:val="501F0559"/>
    <w:rsid w:val="503C65DF"/>
    <w:rsid w:val="50BE5FC4"/>
    <w:rsid w:val="50DD469C"/>
    <w:rsid w:val="52707792"/>
    <w:rsid w:val="52A64F62"/>
    <w:rsid w:val="54FB1595"/>
    <w:rsid w:val="55C55FE9"/>
    <w:rsid w:val="55DB38E9"/>
    <w:rsid w:val="56097CE2"/>
    <w:rsid w:val="57F5388F"/>
    <w:rsid w:val="581C66AF"/>
    <w:rsid w:val="596A58FA"/>
    <w:rsid w:val="5981381D"/>
    <w:rsid w:val="5A9963EA"/>
    <w:rsid w:val="5ADC59C5"/>
    <w:rsid w:val="5BCE4089"/>
    <w:rsid w:val="5C5E00E8"/>
    <w:rsid w:val="5CAC586B"/>
    <w:rsid w:val="5EAE598D"/>
    <w:rsid w:val="5FAD026D"/>
    <w:rsid w:val="608A7028"/>
    <w:rsid w:val="60CC64DC"/>
    <w:rsid w:val="61CB56CD"/>
    <w:rsid w:val="62B3192D"/>
    <w:rsid w:val="638704EC"/>
    <w:rsid w:val="64085A88"/>
    <w:rsid w:val="67753429"/>
    <w:rsid w:val="67F17CAA"/>
    <w:rsid w:val="697E6525"/>
    <w:rsid w:val="6B2C2051"/>
    <w:rsid w:val="6B305A80"/>
    <w:rsid w:val="6CCB2736"/>
    <w:rsid w:val="6D8A12B0"/>
    <w:rsid w:val="6DCC7B1B"/>
    <w:rsid w:val="6E5024FA"/>
    <w:rsid w:val="6FC82564"/>
    <w:rsid w:val="716F2C97"/>
    <w:rsid w:val="71B408E4"/>
    <w:rsid w:val="74082339"/>
    <w:rsid w:val="74220495"/>
    <w:rsid w:val="74774012"/>
    <w:rsid w:val="753F331F"/>
    <w:rsid w:val="75AE489D"/>
    <w:rsid w:val="75F554C5"/>
    <w:rsid w:val="78DF4BA6"/>
    <w:rsid w:val="794C6FE9"/>
    <w:rsid w:val="79D2791F"/>
    <w:rsid w:val="79FFAB96"/>
    <w:rsid w:val="7A306492"/>
    <w:rsid w:val="7A835A05"/>
    <w:rsid w:val="7B0F54EB"/>
    <w:rsid w:val="7B9F23CB"/>
    <w:rsid w:val="7BF00E78"/>
    <w:rsid w:val="7BF22E42"/>
    <w:rsid w:val="7CEA1D6C"/>
    <w:rsid w:val="7D253442"/>
    <w:rsid w:val="7DBB2C3C"/>
    <w:rsid w:val="7E123328"/>
    <w:rsid w:val="7E5F7664"/>
    <w:rsid w:val="7ECF3F9F"/>
    <w:rsid w:val="7EF23159"/>
    <w:rsid w:val="7F0013D2"/>
    <w:rsid w:val="7F233313"/>
    <w:rsid w:val="7FF97B01"/>
    <w:rsid w:val="7FFB2A31"/>
    <w:rsid w:val="7FFF70AF"/>
    <w:rsid w:val="BF7865D6"/>
    <w:rsid w:val="BFFF041F"/>
    <w:rsid w:val="E6D9D449"/>
    <w:rsid w:val="F67FBDC4"/>
    <w:rsid w:val="FBF98A0F"/>
    <w:rsid w:val="FF9871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9"/>
    <w:pPr>
      <w:keepNext/>
      <w:keepLines/>
      <w:spacing w:before="340" w:after="330" w:line="576" w:lineRule="auto"/>
      <w:outlineLvl w:val="0"/>
    </w:pPr>
    <w:rPr>
      <w:b/>
      <w:bCs/>
      <w:kern w:val="44"/>
      <w:sz w:val="44"/>
      <w:szCs w:val="44"/>
    </w:rPr>
  </w:style>
  <w:style w:type="paragraph" w:styleId="6">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7">
    <w:name w:val="heading 4"/>
    <w:basedOn w:val="1"/>
    <w:next w:val="1"/>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sz w:val="20"/>
      <w:szCs w:val="20"/>
    </w:rPr>
  </w:style>
  <w:style w:type="paragraph" w:styleId="3">
    <w:name w:val="Body Text"/>
    <w:basedOn w:val="1"/>
    <w:next w:val="4"/>
    <w:qFormat/>
    <w:uiPriority w:val="1"/>
    <w:pPr>
      <w:autoSpaceDE w:val="0"/>
      <w:autoSpaceDN w:val="0"/>
      <w:jc w:val="left"/>
    </w:pPr>
    <w:rPr>
      <w:rFonts w:ascii="宋体" w:hAnsi="宋体" w:eastAsia="宋体" w:cs="宋体"/>
      <w:kern w:val="0"/>
      <w:sz w:val="32"/>
      <w:szCs w:val="32"/>
      <w:lang w:val="zh-CN" w:bidi="zh-CN"/>
    </w:rPr>
  </w:style>
  <w:style w:type="paragraph" w:customStyle="1" w:styleId="4">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8">
    <w:name w:val="index 8"/>
    <w:basedOn w:val="1"/>
    <w:next w:val="1"/>
    <w:qFormat/>
    <w:uiPriority w:val="0"/>
    <w:pPr>
      <w:ind w:left="2940"/>
    </w:pPr>
    <w:rPr>
      <w:rFonts w:ascii="Calibri" w:hAnsi="Calibri" w:eastAsia="宋体" w:cs="Arial"/>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样式 标题 1 + 段前: 0.5 行 段后: 0.5 行"/>
    <w:basedOn w:val="5"/>
    <w:qFormat/>
    <w:uiPriority w:val="0"/>
    <w:pPr>
      <w:widowControl/>
      <w:spacing w:before="156" w:after="156" w:line="360" w:lineRule="auto"/>
    </w:pPr>
    <w:rPr>
      <w:rFonts w:ascii="Times New Roman" w:hAnsi="Times New Roman" w:eastAsia="宋体" w:cs="宋体"/>
      <w:bCs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1672</Words>
  <Characters>9537</Characters>
  <Lines>1</Lines>
  <Paragraphs>1</Paragraphs>
  <TotalTime>1</TotalTime>
  <ScaleCrop>false</ScaleCrop>
  <LinksUpToDate>false</LinksUpToDate>
  <CharactersWithSpaces>11187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2023-02-16T12:18:00Z</dcterms:created>
  <dc:creator>MZ</dc:creator>
  <cp:lastModifiedBy>蜜宝611</cp:lastModifiedBy>
  <dcterms:modified xsi:type="dcterms:W3CDTF">2023-11-25T04:00:45Z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B80A7970A4AB4D448DFCD47324A75595_13</vt:lpwstr>
  </property>
</Properties>
</file>