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2021年河南省高等职业教育技能大赛</w:t>
      </w:r>
    </w:p>
    <w:p>
      <w:pPr>
        <w:spacing w:line="600" w:lineRule="exact"/>
        <w:ind w:firstLine="1320" w:firstLineChars="3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（创新创业）赛项竞赛方案</w:t>
      </w:r>
    </w:p>
    <w:p>
      <w:pPr>
        <w:pStyle w:val="7"/>
        <w:spacing w:line="600" w:lineRule="exact"/>
        <w:jc w:val="center"/>
        <w:rPr>
          <w:color w:val="000000"/>
          <w:spacing w:val="-4"/>
          <w:sz w:val="40"/>
          <w:lang w:val="en-US"/>
        </w:rPr>
      </w:pPr>
    </w:p>
    <w:p>
      <w:pPr>
        <w:pStyle w:val="46"/>
        <w:keepNext w:val="0"/>
        <w:keepLines w:val="0"/>
        <w:pageBreakBefore w:val="0"/>
        <w:widowControl w:val="0"/>
        <w:kinsoku/>
        <w:wordWrap/>
        <w:overflowPunct/>
        <w:topLinePunct w:val="0"/>
        <w:bidi w:val="0"/>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w:t>
      </w:r>
      <w:r>
        <w:rPr>
          <w:rFonts w:ascii="黑体" w:hAnsi="黑体" w:eastAsia="黑体" w:cs="黑体"/>
          <w:b w:val="0"/>
          <w:color w:val="000000"/>
          <w:kern w:val="2"/>
          <w:sz w:val="30"/>
          <w:szCs w:val="30"/>
        </w:rPr>
        <w:t>、</w:t>
      </w:r>
      <w:r>
        <w:rPr>
          <w:rFonts w:hint="eastAsia" w:ascii="黑体" w:hAnsi="黑体" w:eastAsia="黑体" w:cs="黑体"/>
          <w:b w:val="0"/>
          <w:color w:val="000000"/>
          <w:kern w:val="2"/>
          <w:sz w:val="30"/>
          <w:szCs w:val="30"/>
        </w:rPr>
        <w:t>赛项名称</w:t>
      </w:r>
    </w:p>
    <w:p>
      <w:pPr>
        <w:keepNext w:val="0"/>
        <w:keepLines w:val="0"/>
        <w:pageBreakBefore w:val="0"/>
        <w:widowControl w:val="0"/>
        <w:kinsoku/>
        <w:wordWrap/>
        <w:overflowPunct/>
        <w:topLinePunct w:val="0"/>
        <w:autoSpaceDE w:val="0"/>
        <w:autoSpaceDN w:val="0"/>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赛项编号：GZ-2021053</w:t>
      </w:r>
    </w:p>
    <w:p>
      <w:pPr>
        <w:keepNext w:val="0"/>
        <w:keepLines w:val="0"/>
        <w:pageBreakBefore w:val="0"/>
        <w:widowControl w:val="0"/>
        <w:kinsoku/>
        <w:wordWrap/>
        <w:overflowPunct/>
        <w:topLinePunct w:val="0"/>
        <w:autoSpaceDE w:val="0"/>
        <w:autoSpaceDN w:val="0"/>
        <w:bidi w:val="0"/>
        <w:spacing w:line="240" w:lineRule="auto"/>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赛项名称：创新创业</w:t>
      </w:r>
    </w:p>
    <w:p>
      <w:pPr>
        <w:keepNext w:val="0"/>
        <w:keepLines w:val="0"/>
        <w:pageBreakBefore w:val="0"/>
        <w:widowControl w:val="0"/>
        <w:kinsoku/>
        <w:wordWrap/>
        <w:overflowPunct/>
        <w:topLinePunct w:val="0"/>
        <w:autoSpaceDE w:val="0"/>
        <w:autoSpaceDN w:val="0"/>
        <w:bidi w:val="0"/>
        <w:adjustRightInd w:val="0"/>
        <w:spacing w:line="240" w:lineRule="auto"/>
        <w:ind w:firstLine="600" w:firstLineChars="200"/>
        <w:jc w:val="left"/>
        <w:textAlignment w:val="auto"/>
        <w:rPr>
          <w:rFonts w:hint="eastAsia"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赛项组别：高职</w:t>
      </w:r>
    </w:p>
    <w:p>
      <w:pPr>
        <w:keepNext w:val="0"/>
        <w:keepLines w:val="0"/>
        <w:pageBreakBefore w:val="0"/>
        <w:widowControl w:val="0"/>
        <w:kinsoku/>
        <w:wordWrap/>
        <w:overflowPunct/>
        <w:topLinePunct w:val="0"/>
        <w:autoSpaceDE w:val="0"/>
        <w:autoSpaceDN w:val="0"/>
        <w:bidi w:val="0"/>
        <w:adjustRightInd w:val="0"/>
        <w:spacing w:line="240" w:lineRule="auto"/>
        <w:ind w:firstLine="600" w:firstLineChars="200"/>
        <w:jc w:val="left"/>
        <w:textAlignment w:val="auto"/>
        <w:rPr>
          <w:rFonts w:hint="eastAsia"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协办院校：黄河水利职业技术学院</w:t>
      </w:r>
    </w:p>
    <w:p>
      <w:pPr>
        <w:keepNext w:val="0"/>
        <w:keepLines w:val="0"/>
        <w:pageBreakBefore w:val="0"/>
        <w:widowControl w:val="0"/>
        <w:kinsoku/>
        <w:wordWrap/>
        <w:overflowPunct/>
        <w:topLinePunct w:val="0"/>
        <w:autoSpaceDE w:val="0"/>
        <w:autoSpaceDN w:val="0"/>
        <w:bidi w:val="0"/>
        <w:adjustRightInd w:val="0"/>
        <w:spacing w:line="240" w:lineRule="auto"/>
        <w:ind w:firstLine="600" w:firstLineChars="200"/>
        <w:jc w:val="left"/>
        <w:textAlignment w:val="auto"/>
        <w:rPr>
          <w:rFonts w:hint="eastAsia" w:ascii="仿宋_GB2312" w:hAnsi="仿宋_GB2312" w:eastAsia="仿宋_GB2312" w:cs="仿宋_GB2312"/>
          <w:color w:val="0D0D0D"/>
          <w:kern w:val="0"/>
          <w:sz w:val="30"/>
          <w:szCs w:val="30"/>
        </w:rPr>
      </w:pPr>
      <w:r>
        <w:rPr>
          <w:rFonts w:hint="eastAsia" w:ascii="仿宋_GB2312" w:hAnsi="仿宋_GB2312" w:eastAsia="仿宋_GB2312" w:cs="仿宋_GB2312"/>
          <w:color w:val="0D0D0D"/>
          <w:kern w:val="0"/>
          <w:sz w:val="30"/>
          <w:szCs w:val="30"/>
        </w:rPr>
        <w:t>报到及住宿地点：另行通知</w:t>
      </w:r>
    </w:p>
    <w:p>
      <w:pPr>
        <w:pStyle w:val="46"/>
        <w:keepNext w:val="0"/>
        <w:keepLines w:val="0"/>
        <w:pageBreakBefore w:val="0"/>
        <w:widowControl w:val="0"/>
        <w:kinsoku/>
        <w:wordWrap/>
        <w:overflowPunct/>
        <w:topLinePunct w:val="0"/>
        <w:bidi w:val="0"/>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通过竞赛，全面考察参赛学生的财经商贸和“双创”专业知识与能力、创新思维与创新创业能力、职业道德和素养，展示职业教育改革成果，为各院校师生搭建创新创业教育交流平台，引领高职院校财经商贸类专业高质量发展，促进专创融合、科创融合、产教融合、思创融合，推进以赛促教、以赛促学、以赛促改、以赛促创，深化三教改革，着重考察参赛选手双创理论与基本技能、财经商贸类专业理论知识与技能，特别是紧跟时代步伐，充分利用现代媒体技术锻炼学生的市场识别、产品营销等多项技能，提高财经商贸类专业人才的社会认可度与影响力。</w:t>
      </w:r>
    </w:p>
    <w:p>
      <w:pPr>
        <w:pStyle w:val="46"/>
        <w:keepNext w:val="0"/>
        <w:keepLines w:val="0"/>
        <w:pageBreakBefore w:val="0"/>
        <w:widowControl w:val="0"/>
        <w:kinsoku/>
        <w:wordWrap/>
        <w:overflowPunct/>
        <w:topLinePunct w:val="0"/>
        <w:bidi w:val="0"/>
        <w:spacing w:before="0" w:after="0" w:line="240" w:lineRule="auto"/>
        <w:ind w:firstLine="600" w:firstLineChars="200"/>
        <w:textAlignment w:val="auto"/>
        <w:rPr>
          <w:rFonts w:ascii="黑体" w:hAnsi="黑体" w:eastAsia="黑体" w:cs="黑体"/>
          <w:b w:val="0"/>
          <w:color w:val="000000"/>
          <w:kern w:val="2"/>
          <w:sz w:val="30"/>
          <w:szCs w:val="30"/>
        </w:rPr>
      </w:pPr>
      <w:bookmarkStart w:id="0" w:name="_Toc40689090"/>
      <w:r>
        <w:rPr>
          <w:rFonts w:hint="eastAsia" w:ascii="黑体" w:hAnsi="黑体" w:eastAsia="黑体" w:cs="黑体"/>
          <w:b w:val="0"/>
          <w:color w:val="000000"/>
          <w:kern w:val="2"/>
          <w:sz w:val="30"/>
          <w:szCs w:val="30"/>
        </w:rPr>
        <w:t>三、竞赛内容</w:t>
      </w:r>
      <w:bookmarkEnd w:id="0"/>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面向工商管理、市场营销、电子商务、财务会计、物流等财经商贸大类各专业，鼓励跨专业组队。比赛由创业企业模拟运营实操、直播运营方案制作和商品模拟直播三个部分组成，每个参赛团队由不超过5人组成，团队内部自行分工，完成三个部分的竞赛内容。</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（一）创业企业模拟运营实操</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参赛团队成员分为CEO、财务经理、生产经理、销售经理、人力资源经理五个岗位角色，在软件平台中分别运营相应模块。其中，财务经理、生产经理、销售经理、人力资源经理协助CEO对企业进行运行管理，为CEO的决策提供财务运行、生产运行、销售状况和人力资源相关参数信息，并分管企业财务、生产、销售和人力资源等方面工作，按月度向CEO提出企业运行意见和建议等，经营团队需连续从事三个会计年度的企业经营与管理，最终以企业固定资产、净利润等参数来评估竞赛团队的运营结果。该部分以软件系统自动生成的企业估值、盈利、企业运行效率等作为评分依据。</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（二）直播营运方案制作</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竞赛当日从备选三个方案中选定商品，参赛团队选手基于抖音、京东等直播平台对抽取的商品撰写直播营运方案，方案以word文档形式存档，文件名称为工位号，按照裁判要求复制到裁判指定U盘中。</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（三）商品模拟直播</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根据本组撰写的直播运营方案，在虚拟直播间，模拟进行直播带货演示，注重产品媒介推广、销售，强化综合项目实操能力，深度融合全线运营技巧。</w:t>
      </w:r>
    </w:p>
    <w:p>
      <w:pPr>
        <w:keepNext w:val="0"/>
        <w:keepLines w:val="0"/>
        <w:pageBreakBefore w:val="0"/>
        <w:widowControl w:val="0"/>
        <w:kinsoku/>
        <w:wordWrap/>
        <w:overflowPunct/>
        <w:topLinePunct w:val="0"/>
        <w:bidi w:val="0"/>
        <w:snapToGrid w:val="0"/>
        <w:spacing w:line="240" w:lineRule="auto"/>
        <w:ind w:firstLine="600" w:firstLineChars="200"/>
        <w:textAlignment w:val="auto"/>
        <w:outlineLvl w:val="0"/>
        <w:rPr>
          <w:rFonts w:ascii="黑体" w:hAnsi="黑体" w:eastAsia="黑体" w:cs="黑体"/>
          <w:color w:val="000000"/>
          <w:sz w:val="30"/>
          <w:szCs w:val="30"/>
        </w:rPr>
      </w:pPr>
      <w:r>
        <w:rPr>
          <w:rFonts w:hint="eastAsia" w:ascii="黑体" w:hAnsi="黑体" w:eastAsia="黑体" w:cs="黑体"/>
          <w:color w:val="000000"/>
          <w:sz w:val="30"/>
          <w:szCs w:val="30"/>
        </w:rPr>
        <w:t>四、竞赛方式</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以团体赛进行。分两个赛段，第一赛段是创新企业模拟运营实操和直播营运方案制作，比赛时间为180分钟；第二赛段是商品模拟直播，比赛时间每队8分钟，根据参赛队数量分组进行，全部比赛在一天内完成。省赛成绩排名第一院校的参赛队参加国赛。</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每个参赛队5名选手，每校参赛队不超过1支，不得跨校组队。指导教师须为本校专职教师，每队不超过2名指导教师。</w:t>
      </w:r>
    </w:p>
    <w:p>
      <w:pPr>
        <w:keepNext w:val="0"/>
        <w:keepLines w:val="0"/>
        <w:pageBreakBefore w:val="0"/>
        <w:widowControl w:val="0"/>
        <w:kinsoku/>
        <w:wordWrap/>
        <w:overflowPunct/>
        <w:topLinePunct w:val="0"/>
        <w:bidi w:val="0"/>
        <w:snapToGrid w:val="0"/>
        <w:spacing w:line="240" w:lineRule="auto"/>
        <w:ind w:firstLine="600" w:firstLineChars="200"/>
        <w:textAlignment w:val="auto"/>
        <w:outlineLvl w:val="0"/>
        <w:rPr>
          <w:rFonts w:ascii="黑体" w:hAnsi="黑体" w:eastAsia="黑体" w:cs="黑体"/>
          <w:color w:val="000000"/>
          <w:sz w:val="30"/>
          <w:szCs w:val="30"/>
        </w:rPr>
      </w:pPr>
      <w:r>
        <w:rPr>
          <w:rFonts w:hint="eastAsia" w:ascii="黑体" w:hAnsi="黑体" w:eastAsia="黑体" w:cs="黑体"/>
          <w:color w:val="000000"/>
          <w:sz w:val="30"/>
          <w:szCs w:val="30"/>
        </w:rPr>
        <w:t>五、参赛报名</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rPr>
        <w:t>参赛院校须于4月25日前登录河南省高职院校技能大赛报名系统（http://39.105.49.188/</w:t>
      </w:r>
      <w:r>
        <w:rPr>
          <w:rFonts w:hint="eastAsia" w:ascii="仿宋_GB2312" w:hAnsi="仿宋_GB2312" w:eastAsia="仿宋_GB2312" w:cs="仿宋_GB2312"/>
          <w:sz w:val="30"/>
          <w:szCs w:val="30"/>
          <w:lang w:val="en-US"/>
        </w:rPr>
        <w:fldChar w:fldCharType="begin"/>
      </w:r>
      <w:r>
        <w:rPr>
          <w:rFonts w:hint="eastAsia" w:ascii="仿宋_GB2312" w:hAnsi="仿宋_GB2312" w:eastAsia="仿宋_GB2312" w:cs="仿宋_GB2312"/>
          <w:sz w:val="30"/>
          <w:szCs w:val="30"/>
          <w:lang w:val="en-US"/>
        </w:rPr>
        <w:instrText xml:space="preserve"> HYPERLINK "http://39.105.49.188/" </w:instrText>
      </w:r>
      <w:r>
        <w:rPr>
          <w:rFonts w:hint="eastAsia" w:ascii="仿宋_GB2312" w:hAnsi="仿宋_GB2312" w:eastAsia="仿宋_GB2312" w:cs="仿宋_GB2312"/>
          <w:sz w:val="30"/>
          <w:szCs w:val="30"/>
          <w:lang w:val="en-US"/>
        </w:rPr>
        <w:fldChar w:fldCharType="separate"/>
      </w:r>
      <w:r>
        <w:rPr>
          <w:rFonts w:hint="eastAsia" w:ascii="仿宋_GB2312" w:hAnsi="仿宋_GB2312" w:eastAsia="仿宋_GB2312" w:cs="仿宋_GB2312"/>
          <w:sz w:val="30"/>
          <w:szCs w:val="30"/>
          <w:lang w:val="en-US"/>
        </w:rPr>
        <w:fldChar w:fldCharType="end"/>
      </w:r>
      <w:r>
        <w:rPr>
          <w:rFonts w:hint="eastAsia" w:ascii="仿宋_GB2312" w:hAnsi="仿宋_GB2312" w:eastAsia="仿宋_GB2312" w:cs="仿宋_GB2312"/>
          <w:sz w:val="30"/>
          <w:szCs w:val="30"/>
          <w:lang w:val="en-US"/>
        </w:rPr>
        <w:t>），按要求填报并提交参赛信息。</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rPr>
        <w:t>各参赛校以学校为单位注册报名平台，专人负责报名工作。（技术支持：郭威老师，电话：13643997008）。</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rPr>
        <w:t>提交报名信息后，参赛院校从系统导出报名表、赛项汇总表，连同参赛选手身份证复印件、学信网“教育部学籍在线验证报告”或省招办录取名册复印件各1份并加盖公章报送或邮寄至承办学校（黄河水利职业技术学院）。纸质报名材料接收截止时间为4月25日，以邮戳时间为准。邮寄地址：河南省开封市东京大道1号黄河水利职业技术学院，邮编：475004；联系人：魏建森；联系电话：13700786813。</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ascii="仿宋_GB2312" w:eastAsia="仿宋_GB2312" w:cs="仿宋_GB2312" w:hAnsiTheme="minorHAnsi"/>
          <w:color w:val="0D0D0D"/>
          <w:kern w:val="0"/>
          <w:sz w:val="30"/>
          <w:szCs w:val="30"/>
        </w:rPr>
      </w:pPr>
      <w:r>
        <w:rPr>
          <w:rFonts w:hint="eastAsia" w:ascii="仿宋_GB2312" w:hAnsi="仿宋_GB2312" w:eastAsia="仿宋_GB2312" w:cs="仿宋_GB2312"/>
          <w:sz w:val="30"/>
          <w:szCs w:val="30"/>
          <w:lang w:val="en-US" w:eastAsia="zh-CN"/>
        </w:rPr>
        <w:t>4.</w:t>
      </w:r>
      <w:bookmarkStart w:id="121" w:name="_GoBack"/>
      <w:bookmarkEnd w:id="121"/>
      <w:r>
        <w:rPr>
          <w:rFonts w:hint="eastAsia" w:ascii="仿宋_GB2312" w:hAnsi="仿宋_GB2312" w:eastAsia="仿宋_GB2312" w:cs="仿宋_GB2312"/>
          <w:sz w:val="30"/>
          <w:szCs w:val="30"/>
          <w:lang w:val="en-US"/>
        </w:rPr>
        <w:t>承办学校收到纸质报名材料，按省赛的要求认真审核参赛选手和指导教师资格，审核通过报名成功。</w:t>
      </w:r>
    </w:p>
    <w:p>
      <w:pPr>
        <w:pStyle w:val="46"/>
        <w:keepNext w:val="0"/>
        <w:keepLines w:val="0"/>
        <w:pageBreakBefore w:val="0"/>
        <w:widowControl w:val="0"/>
        <w:kinsoku/>
        <w:wordWrap/>
        <w:overflowPunct/>
        <w:topLinePunct w:val="0"/>
        <w:bidi w:val="0"/>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w:t>
      </w:r>
      <w:r>
        <w:rPr>
          <w:rFonts w:ascii="黑体" w:hAnsi="黑体" w:eastAsia="黑体" w:cs="黑体"/>
          <w:b w:val="0"/>
          <w:color w:val="000000"/>
          <w:kern w:val="2"/>
          <w:sz w:val="30"/>
          <w:szCs w:val="30"/>
        </w:rPr>
        <w:t>、</w:t>
      </w:r>
      <w:r>
        <w:rPr>
          <w:rFonts w:hint="eastAsia" w:ascii="黑体" w:hAnsi="黑体" w:eastAsia="黑体" w:cs="黑体"/>
          <w:b w:val="0"/>
          <w:color w:val="000000"/>
          <w:kern w:val="2"/>
          <w:sz w:val="30"/>
          <w:szCs w:val="30"/>
        </w:rPr>
        <w:t>竞赛流程</w:t>
      </w:r>
    </w:p>
    <w:p>
      <w:pPr>
        <w:pStyle w:val="7"/>
        <w:keepNext w:val="0"/>
        <w:keepLines w:val="0"/>
        <w:pageBreakBefore w:val="0"/>
        <w:widowControl w:val="0"/>
        <w:kinsoku/>
        <w:wordWrap/>
        <w:overflowPunct/>
        <w:topLinePunct w:val="0"/>
        <w:bidi w:val="0"/>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2021年4月28日报到，2021年4月29日为竞赛时间。竞赛地点为：黄河水利职业技术学院。</w:t>
      </w:r>
    </w:p>
    <w:p>
      <w:pPr>
        <w:keepNext w:val="0"/>
        <w:keepLines w:val="0"/>
        <w:pageBreakBefore w:val="0"/>
        <w:widowControl/>
        <w:kinsoku/>
        <w:wordWrap/>
        <w:overflowPunct/>
        <w:topLinePunct w:val="0"/>
        <w:autoSpaceDE/>
        <w:autoSpaceDN/>
        <w:bidi w:val="0"/>
        <w:adjustRightInd/>
        <w:snapToGrid/>
        <w:ind w:firstLine="3360" w:firstLineChars="1200"/>
        <w:textAlignment w:val="auto"/>
        <w:outlineLvl w:val="9"/>
        <w:rPr>
          <w:rFonts w:hint="eastAsia" w:ascii="黑体" w:hAnsi="黑体" w:eastAsia="黑体" w:cs="黑体"/>
          <w:b w:val="0"/>
          <w:bCs/>
          <w:sz w:val="28"/>
          <w:szCs w:val="28"/>
        </w:rPr>
      </w:pPr>
      <w:r>
        <w:rPr>
          <w:rFonts w:hint="eastAsia" w:ascii="黑体" w:hAnsi="黑体" w:eastAsia="黑体" w:cs="黑体"/>
          <w:b w:val="0"/>
          <w:bCs/>
          <w:sz w:val="28"/>
          <w:szCs w:val="28"/>
        </w:rPr>
        <w:t>竞赛日程表</w:t>
      </w:r>
    </w:p>
    <w:tbl>
      <w:tblPr>
        <w:tblStyle w:val="22"/>
        <w:tblpPr w:leftFromText="180" w:rightFromText="180" w:vertAnchor="text" w:horzAnchor="page" w:tblpXSpec="center" w:tblpY="459"/>
        <w:tblOverlap w:val="never"/>
        <w:tblW w:w="9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2"/>
        <w:gridCol w:w="1500"/>
        <w:gridCol w:w="2625"/>
        <w:gridCol w:w="2205"/>
        <w:gridCol w:w="159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652"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日期</w:t>
            </w:r>
          </w:p>
        </w:tc>
        <w:tc>
          <w:tcPr>
            <w:tcW w:w="1500"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时间</w:t>
            </w:r>
          </w:p>
        </w:tc>
        <w:tc>
          <w:tcPr>
            <w:tcW w:w="2625"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事项</w:t>
            </w:r>
          </w:p>
        </w:tc>
        <w:tc>
          <w:tcPr>
            <w:tcW w:w="2205"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参</w:t>
            </w:r>
            <w:r>
              <w:rPr>
                <w:rFonts w:hint="eastAsia" w:ascii="黑体" w:hAnsi="黑体" w:eastAsia="黑体" w:cs="黑体"/>
                <w:b w:val="0"/>
                <w:bCs/>
                <w:spacing w:val="2"/>
                <w:kern w:val="0"/>
                <w:sz w:val="24"/>
                <w:szCs w:val="24"/>
              </w:rPr>
              <w:t>加</w:t>
            </w:r>
            <w:r>
              <w:rPr>
                <w:rFonts w:hint="eastAsia" w:ascii="黑体" w:hAnsi="黑体" w:eastAsia="黑体" w:cs="黑体"/>
                <w:b w:val="0"/>
                <w:bCs/>
                <w:kern w:val="0"/>
                <w:sz w:val="24"/>
                <w:szCs w:val="24"/>
              </w:rPr>
              <w:t>人员</w:t>
            </w:r>
          </w:p>
        </w:tc>
        <w:tc>
          <w:tcPr>
            <w:tcW w:w="1590"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地点</w:t>
            </w:r>
          </w:p>
        </w:tc>
        <w:tc>
          <w:tcPr>
            <w:tcW w:w="951" w:type="dxa"/>
            <w:vAlign w:val="center"/>
          </w:tcPr>
          <w:p>
            <w:pPr>
              <w:autoSpaceDE w:val="0"/>
              <w:autoSpaceDN w:val="0"/>
              <w:adjustRightInd w:val="0"/>
              <w:snapToGrid w:val="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restart"/>
            <w:vAlign w:val="center"/>
          </w:tcPr>
          <w:p>
            <w:pPr>
              <w:autoSpaceDE w:val="0"/>
              <w:autoSpaceDN w:val="0"/>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4月</w:t>
            </w:r>
          </w:p>
          <w:p>
            <w:pPr>
              <w:autoSpaceDE w:val="0"/>
              <w:autoSpaceDN w:val="0"/>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28日</w:t>
            </w: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10:00-18:00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参赛队报到，安排住宿，领取资料</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工作人员、参赛队</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住宿酒店</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14:00-16:00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裁判培训与工作会议</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裁判长、裁判员、监督仲裁组、专家组</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学术报告厅</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16:00-17:00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检查封闭赛场</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裁判长、监督仲裁组</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18:30-19:00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大巴接领队由酒店前往学校</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各参赛队领队</w:t>
            </w:r>
          </w:p>
        </w:tc>
        <w:tc>
          <w:tcPr>
            <w:tcW w:w="1590" w:type="dxa"/>
            <w:vAlign w:val="center"/>
          </w:tcPr>
          <w:p>
            <w:pPr>
              <w:widowControl/>
              <w:shd w:val="solid" w:color="FFFFFF" w:fill="auto"/>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住宿酒店</w:t>
            </w:r>
          </w:p>
        </w:tc>
        <w:tc>
          <w:tcPr>
            <w:tcW w:w="951" w:type="dxa"/>
            <w:vAlign w:val="center"/>
          </w:tcPr>
          <w:p>
            <w:pPr>
              <w:widowControl/>
              <w:shd w:val="solid" w:color="FFFFFF" w:fill="auto"/>
              <w:autoSpaceDE w:val="0"/>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19:00-20:30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领队会议各参赛队领队抽赛场号</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各参赛队领队、指导老师、裁判长</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校内</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restart"/>
            <w:vAlign w:val="center"/>
          </w:tcPr>
          <w:p>
            <w:pPr>
              <w:autoSpaceDE w:val="0"/>
              <w:autoSpaceDN w:val="0"/>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4月</w:t>
            </w:r>
          </w:p>
          <w:p>
            <w:pPr>
              <w:autoSpaceDE w:val="0"/>
              <w:autoSpaceDN w:val="0"/>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29日</w:t>
            </w: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07:30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参赛队到达竞赛</w:t>
            </w:r>
          </w:p>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场地前集合</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各参赛队、工作人员</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8号实训楼前</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7" w:hRule="atLeast"/>
          <w:jc w:val="center"/>
        </w:trPr>
        <w:tc>
          <w:tcPr>
            <w:tcW w:w="652" w:type="dxa"/>
            <w:vMerge w:val="continue"/>
            <w:vAlign w:val="center"/>
          </w:tcPr>
          <w:p>
            <w:pPr>
              <w:autoSpaceDE w:val="0"/>
              <w:autoSpaceDN w:val="0"/>
              <w:adjustRightInd w:val="0"/>
              <w:snapToGrid w:val="0"/>
              <w:jc w:val="center"/>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07:40-08:10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检录</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参赛选手，工作人员</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8号实训楼前</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08:10-08:30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抽工位号</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参赛选手、裁判、监督</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8号实训楼前</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hd w:val="clear" w:color="auto" w:fill="FFFFFF"/>
              </w:rPr>
              <w:t>选手进入赛场按照所抽序号就座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1" w:hRule="atLeast"/>
          <w:jc w:val="center"/>
        </w:trPr>
        <w:tc>
          <w:tcPr>
            <w:tcW w:w="652" w:type="dxa"/>
            <w:vMerge w:val="continue"/>
            <w:vAlign w:val="center"/>
          </w:tcPr>
          <w:p>
            <w:pPr>
              <w:autoSpaceDE w:val="0"/>
              <w:autoSpaceDN w:val="0"/>
              <w:adjustRightInd w:val="0"/>
              <w:snapToGrid w:val="0"/>
              <w:jc w:val="center"/>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08:30-08:45</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比赛选手就位，裁判员宣读竞赛须知、抽取赛题</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参赛选手、裁判、监督、仲裁</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08:45-11:45</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创业企业模拟运营实操/直播营运方案制作</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参赛选手、裁判、专家、监督、仲裁</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12:00-12:30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收齐所有参赛队直播运营方案文档</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参赛选手、裁判、专家、监督、仲裁</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8"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12:10-13:00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参赛选手午餐</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参赛选手、工作人员</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13:30-17:30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商品模拟直播</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参赛选手、裁判、专家、监督、仲裁</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8号实训楼</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52" w:type="dxa"/>
            <w:vMerge w:val="continue"/>
            <w:vAlign w:val="center"/>
          </w:tcPr>
          <w:p>
            <w:pPr>
              <w:autoSpaceDE w:val="0"/>
              <w:autoSpaceDN w:val="0"/>
              <w:adjustRightInd w:val="0"/>
              <w:snapToGrid w:val="0"/>
              <w:jc w:val="left"/>
              <w:rPr>
                <w:rFonts w:hint="eastAsia" w:ascii="仿宋_GB2312" w:hAnsi="仿宋_GB2312" w:eastAsia="仿宋_GB2312" w:cs="仿宋_GB2312"/>
                <w:kern w:val="0"/>
                <w:sz w:val="24"/>
                <w:szCs w:val="24"/>
              </w:rPr>
            </w:pPr>
          </w:p>
        </w:tc>
        <w:tc>
          <w:tcPr>
            <w:tcW w:w="1500" w:type="dxa"/>
            <w:vAlign w:val="center"/>
          </w:tcPr>
          <w:p>
            <w:pPr>
              <w:autoSpaceDE w:val="0"/>
              <w:autoSpaceDN w:val="0"/>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shd w:val="clear" w:color="auto" w:fill="FFFFFF"/>
              </w:rPr>
              <w:t>17:30-19:00</w:t>
            </w:r>
          </w:p>
        </w:tc>
        <w:tc>
          <w:tcPr>
            <w:tcW w:w="262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闭幕式及成绩评定</w:t>
            </w:r>
          </w:p>
        </w:tc>
        <w:tc>
          <w:tcPr>
            <w:tcW w:w="2205" w:type="dxa"/>
            <w:vAlign w:val="center"/>
          </w:tcPr>
          <w:p>
            <w:pPr>
              <w:widowControl/>
              <w:shd w:val="solid" w:color="FFFFFF" w:fill="auto"/>
              <w:autoSpaceDN w:val="0"/>
              <w:adjustRightInd w:val="0"/>
              <w:snapToGrid w:val="0"/>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裁判、监督</w:t>
            </w:r>
          </w:p>
        </w:tc>
        <w:tc>
          <w:tcPr>
            <w:tcW w:w="1590" w:type="dxa"/>
            <w:vAlign w:val="center"/>
          </w:tcPr>
          <w:p>
            <w:pPr>
              <w:widowControl/>
              <w:shd w:val="solid" w:color="FFFFFF" w:fill="auto"/>
              <w:autoSpaceDN w:val="0"/>
              <w:adjustRightInd w:val="0"/>
              <w:snapToGrid w:val="0"/>
              <w:jc w:val="center"/>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校内</w:t>
            </w:r>
          </w:p>
        </w:tc>
        <w:tc>
          <w:tcPr>
            <w:tcW w:w="951" w:type="dxa"/>
            <w:vAlign w:val="center"/>
          </w:tcPr>
          <w:p>
            <w:pPr>
              <w:widowControl/>
              <w:shd w:val="solid" w:color="FFFFFF" w:fill="auto"/>
              <w:autoSpaceDN w:val="0"/>
              <w:adjustRightInd w:val="0"/>
              <w:snapToGrid w:val="0"/>
              <w:jc w:val="center"/>
              <w:rPr>
                <w:rFonts w:ascii="仿宋_GB2312" w:hAnsi="仿宋_GB2312" w:eastAsia="仿宋_GB2312" w:cs="仿宋_GB2312"/>
                <w:sz w:val="24"/>
                <w:szCs w:val="24"/>
                <w:shd w:val="clear" w:color="auto" w:fill="FFFFFF"/>
              </w:rPr>
            </w:pPr>
          </w:p>
        </w:tc>
      </w:tr>
    </w:tbl>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七、竞赛规则</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rPr>
        <w:t>报名资格。参赛选手报名资格须按照竞赛相关要求执行。河南省内每所高职院校仅限1支参赛队参加省赛。参赛队由5名选手和1-2名指导教师组成，选手年龄不得超过25周岁，年龄计算的截止时间以竞赛当年的4月30日为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rPr>
        <w:t>选手报名。各参赛院校须按照规定的时间和要求上报参赛信息，包括参赛选手、选手岗位和指导教师。报名信息获得确认后不得变更。比赛前参赛选手和指导教师因故无法参赛，须由省级教育行政部门出具书面说明，经大赛组委会办公室核实后予以更换。备赛过程中参赛选手和指导教师因故无法参赛，视为弃赛。</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rPr>
        <w:t>熟悉场地。参赛选手、裁判员、工作人员、赛项组织者等人员均需按照赛项组委会要求准时到达赛项举办地点，及时办理相关手续，领取相关证件，熟悉场地，做好赛前准备工作。</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en-US"/>
        </w:rPr>
        <w:t>正式比赛。比赛现场所有参赛选手、指导教师、裁判员和其他工作人员须着装整齐，随身携带大赛证件，佩戴大赛身份标识，按照赛项相关规定出入指定区域。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rPr>
        <w:t>成绩评定与结果公布。创业企业模拟运营实操按照竞赛规程，在经营三个会计年度后，裁判公布竞赛结果，并将成绩登录在竞赛成绩单上，并由参赛队员代表签字确认。直播运营方案和商品模拟直播，由5位裁判在模拟直播环节根据评分标准进行评分，去掉一个最高分和一个最低分后，剩余3位裁判的打分取平均值作为最终商品模拟直播成绩，登录在竞赛成绩单上。赛项裁判组在比赛全部进行完毕后汇总成绩，并进行解密后公示成绩，无异议后，形成最终成绩。</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val="en-US"/>
        </w:rPr>
        <w:t>竞赛用计算机只能安装竞赛规定的软件，现场为各代表队统一提供竞赛用品、用具，开赛前，由各代表队指定选手检查竞赛用计算机，清点核实用品用具，并签字确认。</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rPr>
        <w:t>各代表队须遵守赛场有关规定，遵从裁判长、裁判员的现场调度和指挥，按照赛场指令完成任务。</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val="en-US"/>
        </w:rPr>
        <w:t>选手进入赛场，不得携带任何用品用具、工具书、参考书等相关资料。</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rPr>
        <w:t>在竞赛过程中，参赛选手不得随意离开赛场，同一参赛队选手之间可进行讨论，但不允许参赛队之间进行讨论。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val="en-US"/>
        </w:rPr>
        <w:t>在竞赛过程中，参赛选手不得大声喧哗、不得使用通讯设备及与竞赛无关的电子设备。</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val="en-US"/>
        </w:rPr>
        <w:t>在竞赛过程中，如遇硬件软件故障或其他意外情况，须举牌示意，由现场裁判按有关规定处理。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lang w:val="en-US"/>
        </w:rPr>
        <w:t>在竞赛全程中，不得使用任何移动存储设备、不得开启无线网络、不得访问他人计算机。赛场技术服务区将实时监控上述行为。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val="en-US"/>
        </w:rPr>
        <w:t>竞赛结束后，不得将竞赛涉及的用品用具及资料带出赛场。</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lang w:val="en-US"/>
        </w:rPr>
        <w:t>对于违反上述规定的，裁判长有权终止其所在团队或个人的比赛，劝令其离开赛场。</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八、竞赛环境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（一）创业企业模拟运营竞赛场地</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1.竞赛场地设在计算机机房，场地内设置满足所有个团队的竞赛环境；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2.一个参赛队一个机位，每个机位两台电脑，两张桌子，五把椅子；</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3.竞赛场地内设置背景板、宣传横幅及壁挂图，营造竞赛氛围；</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4.利用UPS 防止现场因突然断电导致的系统数据丢失，额定功率：3KVA，后备时间：2 小时，电池类型：输出电压：230V±5%V。</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5.计算机配置：操作系统Windows7版本，CPU双核、主频2.8Ghz 及以上，内存4G，屏幕分辨率1920*1080，预装有Chrome、Firefox浏览器，预装有搜狗、五笔、微软拼音等中文输入法和英文输入法；预装有OFFICE 2010以上版本,WPS2016以上版本。</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6.局域网络：采用企业级稳定的千兆交接机，网络稳定，网络带宽100兆，不进行网络限速。考场具有固定IP 地址。</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7.安全保障:采用统一的杀毒软件对服务器进行防毒保护。屏蔽竞赛现场使用的电脑USB接口。部署具有网络管理、账号管理和日志管理功能的综合监控系统。</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8.采用双路供电:利用UPS防止现场因突然断电导致的系统数据丢失，额定功率：3KVA，后备时间：3.5小时，电池类型：输出电压：230V±5%V。</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（二）商品模拟直播场地</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商品模拟直播场地为20-30平方米直播空间，摄像机、工作台、补光灯、麦克风等基础条件，具体提供参赛基础备料根据竞赛运营产品和需求统一提供。</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九、技术规范</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rPr>
        <w:t>教育部《职业教育专业目录（2021年）》（教职成〔2021〕2号）。</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rPr>
        <w:t>创新创业基本规范及配套指引。</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rPr>
        <w:t>2020年《网络直播营销行为规范》《视频直播购物运营和服务基本规范》，2021年《关于加强网络直播规范管理工作的指导意见》等。</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十、技术平台</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创业企业模拟运营实操软件，要求功能与赛项设计内容完全匹配。采取基于大数据真实模拟商业市场环境的学生创业企业模拟软件，软件要求：1.可以自行设置模拟企业环境运行难度；2.可以对初始资金、市场状态、利率、产品价差、信贷级别、原料价格、设计成本等进行参数设置；3.软件按每月决策作为执行（运行）的节点，且能保证运行总时长为3个会计年度；4.模拟企业决策内容包括：营销管理、生产管理、人力资源管理、财务管理、财务预测、信贷管理、固定资产管理等方面的内容；5.角色管理，不同的团队成员作为不同角色参与企业管理。</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十一、评分标准</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按照《全国职业院校技能大赛成绩管理办法》的相关要求，根据本赛项自身的特点，选定具有较强操作性的评分方法，编制评分细则。</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（一）评分标准制定原则：赛项评分标准制定遵循“公平、公正、公开”的原则。</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 xml:space="preserve">（二）评分方法：创新创业竞赛赛项为团队赛，采取百分制计分 ，具体比赛内容分值占比与评分细则如下： </w:t>
      </w:r>
    </w:p>
    <w:p>
      <w:pPr>
        <w:pStyle w:val="7"/>
        <w:ind w:firstLine="560" w:firstLineChars="200"/>
        <w:jc w:val="center"/>
        <w:rPr>
          <w:rFonts w:hint="eastAsia" w:ascii="黑体" w:hAnsi="黑体" w:eastAsia="黑体" w:cs="黑体"/>
          <w:sz w:val="28"/>
          <w:szCs w:val="28"/>
          <w:lang w:val="en-US"/>
        </w:rPr>
      </w:pPr>
    </w:p>
    <w:p>
      <w:pPr>
        <w:pStyle w:val="7"/>
        <w:ind w:firstLine="560" w:firstLineChars="200"/>
        <w:jc w:val="center"/>
        <w:rPr>
          <w:rFonts w:hint="eastAsia" w:ascii="黑体" w:hAnsi="黑体" w:eastAsia="黑体" w:cs="黑体"/>
          <w:sz w:val="28"/>
          <w:szCs w:val="28"/>
          <w:lang w:val="en-US"/>
        </w:rPr>
      </w:pPr>
      <w:r>
        <w:rPr>
          <w:rFonts w:hint="eastAsia" w:ascii="黑体" w:hAnsi="黑体" w:eastAsia="黑体" w:cs="黑体"/>
          <w:sz w:val="28"/>
          <w:szCs w:val="28"/>
          <w:lang w:val="en-US"/>
        </w:rPr>
        <w:t>表1 创新创业赛项评分结构与分值</w:t>
      </w:r>
    </w:p>
    <w:tbl>
      <w:tblPr>
        <w:tblStyle w:val="44"/>
        <w:tblW w:w="87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3"/>
        <w:gridCol w:w="1336"/>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jc w:val="center"/>
        </w:trPr>
        <w:tc>
          <w:tcPr>
            <w:tcW w:w="5553" w:type="dxa"/>
          </w:tcPr>
          <w:p>
            <w:pPr>
              <w:widowControl/>
              <w:autoSpaceDE/>
              <w:autoSpaceDN/>
              <w:spacing w:line="400" w:lineRule="exact"/>
              <w:jc w:val="center"/>
              <w:rPr>
                <w:rFonts w:hint="eastAsia" w:ascii="黑体" w:hAnsi="黑体" w:eastAsia="黑体" w:cs="黑体"/>
                <w:b w:val="0"/>
                <w:bCs/>
                <w:color w:val="0D0D0D"/>
                <w:kern w:val="0"/>
                <w:sz w:val="24"/>
                <w:szCs w:val="24"/>
                <w:lang w:eastAsia="zh-CN"/>
              </w:rPr>
            </w:pPr>
            <w:r>
              <w:rPr>
                <w:rFonts w:hint="eastAsia" w:ascii="黑体" w:hAnsi="黑体" w:eastAsia="黑体" w:cs="黑体"/>
                <w:b w:val="0"/>
                <w:bCs/>
                <w:color w:val="0D0D0D"/>
                <w:kern w:val="0"/>
                <w:sz w:val="24"/>
                <w:szCs w:val="24"/>
                <w:lang w:eastAsia="zh-CN"/>
              </w:rPr>
              <w:t>内容</w:t>
            </w:r>
          </w:p>
        </w:tc>
        <w:tc>
          <w:tcPr>
            <w:tcW w:w="1336" w:type="dxa"/>
          </w:tcPr>
          <w:p>
            <w:pPr>
              <w:widowControl/>
              <w:autoSpaceDE w:val="0"/>
              <w:autoSpaceDN w:val="0"/>
              <w:spacing w:line="400" w:lineRule="exact"/>
              <w:jc w:val="center"/>
              <w:rPr>
                <w:rFonts w:hint="eastAsia" w:ascii="黑体" w:hAnsi="黑体" w:eastAsia="黑体" w:cs="黑体"/>
                <w:b w:val="0"/>
                <w:bCs/>
                <w:color w:val="0D0D0D"/>
                <w:kern w:val="0"/>
                <w:sz w:val="24"/>
                <w:szCs w:val="24"/>
                <w:lang w:eastAsia="zh-CN"/>
              </w:rPr>
            </w:pPr>
            <w:r>
              <w:rPr>
                <w:rFonts w:hint="eastAsia" w:ascii="黑体" w:hAnsi="黑体" w:eastAsia="黑体" w:cs="黑体"/>
                <w:b w:val="0"/>
                <w:bCs/>
                <w:color w:val="0D0D0D"/>
                <w:kern w:val="0"/>
                <w:sz w:val="24"/>
                <w:szCs w:val="24"/>
                <w:lang w:eastAsia="zh-CN"/>
              </w:rPr>
              <w:t>分值比例</w:t>
            </w:r>
          </w:p>
        </w:tc>
        <w:tc>
          <w:tcPr>
            <w:tcW w:w="1842" w:type="dxa"/>
          </w:tcPr>
          <w:p>
            <w:pPr>
              <w:widowControl/>
              <w:autoSpaceDE w:val="0"/>
              <w:autoSpaceDN w:val="0"/>
              <w:spacing w:line="400" w:lineRule="exact"/>
              <w:jc w:val="center"/>
              <w:rPr>
                <w:rFonts w:hint="eastAsia" w:ascii="黑体" w:hAnsi="黑体" w:eastAsia="黑体" w:cs="黑体"/>
                <w:b w:val="0"/>
                <w:bCs/>
                <w:color w:val="0D0D0D"/>
                <w:kern w:val="0"/>
                <w:sz w:val="24"/>
                <w:szCs w:val="24"/>
                <w:lang w:eastAsia="zh-CN"/>
              </w:rPr>
            </w:pPr>
            <w:r>
              <w:rPr>
                <w:rFonts w:hint="eastAsia" w:ascii="黑体" w:hAnsi="黑体" w:eastAsia="黑体" w:cs="黑体"/>
                <w:b w:val="0"/>
                <w:bCs/>
                <w:color w:val="0D0D0D"/>
                <w:kern w:val="0"/>
                <w:sz w:val="24"/>
                <w:szCs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553" w:type="dxa"/>
          </w:tcPr>
          <w:p>
            <w:pPr>
              <w:pStyle w:val="45"/>
              <w:spacing w:before="105"/>
              <w:ind w:left="8"/>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创业企业模拟运营实操</w:t>
            </w:r>
          </w:p>
        </w:tc>
        <w:tc>
          <w:tcPr>
            <w:tcW w:w="1336" w:type="dxa"/>
          </w:tcPr>
          <w:p>
            <w:pPr>
              <w:pStyle w:val="45"/>
              <w:spacing w:before="158"/>
              <w:ind w:left="165" w:right="158"/>
              <w:jc w:val="center"/>
              <w:rPr>
                <w:rFonts w:hint="eastAsia" w:ascii="仿宋_GB2312" w:hAnsi="仿宋_GB2312" w:eastAsia="仿宋_GB2312" w:cs="仿宋_GB2312"/>
                <w:b w:val="0"/>
                <w:bCs w:val="0"/>
                <w:sz w:val="24"/>
                <w:lang w:eastAsia="en-US"/>
              </w:rPr>
            </w:pPr>
            <w:r>
              <w:rPr>
                <w:rFonts w:hint="eastAsia" w:ascii="仿宋_GB2312" w:hAnsi="仿宋_GB2312" w:eastAsia="仿宋_GB2312" w:cs="仿宋_GB2312"/>
                <w:b w:val="0"/>
                <w:bCs w:val="0"/>
                <w:sz w:val="24"/>
                <w:lang w:eastAsia="zh-CN"/>
              </w:rPr>
              <w:t>50</w:t>
            </w:r>
            <w:r>
              <w:rPr>
                <w:rFonts w:hint="eastAsia" w:ascii="仿宋_GB2312" w:hAnsi="仿宋_GB2312" w:eastAsia="仿宋_GB2312" w:cs="仿宋_GB2312"/>
                <w:b w:val="0"/>
                <w:bCs w:val="0"/>
                <w:sz w:val="24"/>
                <w:lang w:eastAsia="en-US"/>
              </w:rPr>
              <w:t>%</w:t>
            </w:r>
          </w:p>
        </w:tc>
        <w:tc>
          <w:tcPr>
            <w:tcW w:w="1842" w:type="dxa"/>
          </w:tcPr>
          <w:p>
            <w:pPr>
              <w:pStyle w:val="45"/>
              <w:spacing w:before="158"/>
              <w:ind w:left="779" w:right="772"/>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553" w:type="dxa"/>
          </w:tcPr>
          <w:p>
            <w:pPr>
              <w:pStyle w:val="45"/>
              <w:spacing w:before="105"/>
              <w:ind w:left="8"/>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szCs w:val="24"/>
                <w:lang w:eastAsia="zh-CN"/>
              </w:rPr>
              <w:t>直播营运方案撰写</w:t>
            </w:r>
          </w:p>
        </w:tc>
        <w:tc>
          <w:tcPr>
            <w:tcW w:w="1336" w:type="dxa"/>
          </w:tcPr>
          <w:p>
            <w:pPr>
              <w:pStyle w:val="45"/>
              <w:spacing w:before="105"/>
              <w:ind w:left="165" w:right="158"/>
              <w:jc w:val="center"/>
              <w:rPr>
                <w:rFonts w:hint="eastAsia" w:ascii="仿宋_GB2312" w:hAnsi="仿宋_GB2312" w:eastAsia="仿宋_GB2312" w:cs="仿宋_GB2312"/>
                <w:b w:val="0"/>
                <w:bCs w:val="0"/>
                <w:sz w:val="24"/>
                <w:lang w:eastAsia="en-US"/>
              </w:rPr>
            </w:pPr>
            <w:r>
              <w:rPr>
                <w:rFonts w:hint="eastAsia" w:ascii="仿宋_GB2312" w:hAnsi="仿宋_GB2312" w:eastAsia="仿宋_GB2312" w:cs="仿宋_GB2312"/>
                <w:b w:val="0"/>
                <w:bCs w:val="0"/>
                <w:sz w:val="24"/>
                <w:lang w:eastAsia="zh-CN"/>
              </w:rPr>
              <w:t>20</w:t>
            </w:r>
            <w:r>
              <w:rPr>
                <w:rFonts w:hint="eastAsia" w:ascii="仿宋_GB2312" w:hAnsi="仿宋_GB2312" w:eastAsia="仿宋_GB2312" w:cs="仿宋_GB2312"/>
                <w:b w:val="0"/>
                <w:bCs w:val="0"/>
                <w:sz w:val="24"/>
                <w:lang w:eastAsia="en-US"/>
              </w:rPr>
              <w:t>%</w:t>
            </w:r>
          </w:p>
        </w:tc>
        <w:tc>
          <w:tcPr>
            <w:tcW w:w="1842" w:type="dxa"/>
          </w:tcPr>
          <w:p>
            <w:pPr>
              <w:pStyle w:val="45"/>
              <w:spacing w:before="105"/>
              <w:ind w:left="779" w:right="772"/>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553" w:type="dxa"/>
          </w:tcPr>
          <w:p>
            <w:pPr>
              <w:pStyle w:val="45"/>
              <w:spacing w:before="105"/>
              <w:ind w:left="8"/>
              <w:jc w:val="center"/>
              <w:rPr>
                <w:rFonts w:hint="eastAsia" w:ascii="仿宋_GB2312" w:hAnsi="仿宋_GB2312" w:eastAsia="仿宋_GB2312" w:cs="仿宋_GB2312"/>
                <w:b w:val="0"/>
                <w:bCs w:val="0"/>
                <w:sz w:val="24"/>
                <w:szCs w:val="24"/>
                <w:lang w:eastAsia="en-US"/>
              </w:rPr>
            </w:pPr>
            <w:r>
              <w:rPr>
                <w:rFonts w:hint="eastAsia" w:ascii="仿宋_GB2312" w:hAnsi="仿宋_GB2312" w:eastAsia="仿宋_GB2312" w:cs="仿宋_GB2312"/>
                <w:b w:val="0"/>
                <w:bCs w:val="0"/>
                <w:sz w:val="24"/>
                <w:lang w:eastAsia="zh-CN"/>
              </w:rPr>
              <w:t>商品模拟直播</w:t>
            </w:r>
          </w:p>
        </w:tc>
        <w:tc>
          <w:tcPr>
            <w:tcW w:w="1336" w:type="dxa"/>
          </w:tcPr>
          <w:p>
            <w:pPr>
              <w:pStyle w:val="45"/>
              <w:spacing w:before="105"/>
              <w:ind w:left="165" w:right="158"/>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30%</w:t>
            </w:r>
          </w:p>
        </w:tc>
        <w:tc>
          <w:tcPr>
            <w:tcW w:w="1842" w:type="dxa"/>
          </w:tcPr>
          <w:p>
            <w:pPr>
              <w:pStyle w:val="45"/>
              <w:spacing w:before="105"/>
              <w:ind w:left="779" w:right="772"/>
              <w:jc w:val="center"/>
              <w:rPr>
                <w:rFonts w:hint="eastAsia" w:ascii="仿宋_GB2312" w:hAnsi="仿宋_GB2312" w:eastAsia="仿宋_GB2312" w:cs="仿宋_GB2312"/>
                <w:b w:val="0"/>
                <w:bCs w:val="0"/>
                <w:sz w:val="24"/>
                <w:lang w:eastAsia="zh-CN"/>
              </w:rPr>
            </w:pPr>
            <w:r>
              <w:rPr>
                <w:rFonts w:hint="eastAsia" w:ascii="仿宋_GB2312" w:hAnsi="仿宋_GB2312" w:eastAsia="仿宋_GB2312" w:cs="仿宋_GB2312"/>
                <w:b w:val="0"/>
                <w:bCs w:val="0"/>
                <w:sz w:val="24"/>
                <w:lang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553" w:type="dxa"/>
          </w:tcPr>
          <w:p>
            <w:pPr>
              <w:pStyle w:val="45"/>
              <w:spacing w:before="94" w:line="405" w:lineRule="exact"/>
              <w:ind w:left="8"/>
              <w:jc w:val="center"/>
              <w:rPr>
                <w:rFonts w:hint="eastAsia" w:ascii="仿宋_GB2312" w:hAnsi="仿宋_GB2312" w:eastAsia="仿宋_GB2312" w:cs="仿宋_GB2312"/>
                <w:b w:val="0"/>
                <w:bCs w:val="0"/>
                <w:sz w:val="24"/>
                <w:lang w:eastAsia="en-US"/>
              </w:rPr>
            </w:pPr>
            <w:r>
              <w:rPr>
                <w:rFonts w:hint="eastAsia" w:ascii="仿宋_GB2312" w:hAnsi="仿宋_GB2312" w:eastAsia="仿宋_GB2312" w:cs="仿宋_GB2312"/>
                <w:b w:val="0"/>
                <w:bCs w:val="0"/>
                <w:sz w:val="24"/>
                <w:lang w:eastAsia="en-US"/>
              </w:rPr>
              <w:t>合计</w:t>
            </w:r>
          </w:p>
        </w:tc>
        <w:tc>
          <w:tcPr>
            <w:tcW w:w="1336" w:type="dxa"/>
          </w:tcPr>
          <w:p>
            <w:pPr>
              <w:pStyle w:val="45"/>
              <w:spacing w:before="94" w:line="405" w:lineRule="exact"/>
              <w:ind w:left="168" w:right="158"/>
              <w:jc w:val="center"/>
              <w:rPr>
                <w:rFonts w:hint="eastAsia" w:ascii="仿宋_GB2312" w:hAnsi="仿宋_GB2312" w:eastAsia="仿宋_GB2312" w:cs="仿宋_GB2312"/>
                <w:b w:val="0"/>
                <w:bCs w:val="0"/>
                <w:sz w:val="24"/>
                <w:lang w:eastAsia="en-US"/>
              </w:rPr>
            </w:pPr>
            <w:r>
              <w:rPr>
                <w:rFonts w:hint="eastAsia" w:ascii="仿宋_GB2312" w:hAnsi="仿宋_GB2312" w:eastAsia="仿宋_GB2312" w:cs="仿宋_GB2312"/>
                <w:b w:val="0"/>
                <w:bCs w:val="0"/>
                <w:w w:val="85"/>
                <w:sz w:val="24"/>
                <w:lang w:eastAsia="en-US"/>
              </w:rPr>
              <w:t>100%</w:t>
            </w:r>
          </w:p>
        </w:tc>
        <w:tc>
          <w:tcPr>
            <w:tcW w:w="1842" w:type="dxa"/>
          </w:tcPr>
          <w:p>
            <w:pPr>
              <w:pStyle w:val="45"/>
              <w:spacing w:before="94" w:line="405" w:lineRule="exact"/>
              <w:ind w:right="727"/>
              <w:jc w:val="right"/>
              <w:rPr>
                <w:rFonts w:hint="eastAsia" w:ascii="仿宋_GB2312" w:hAnsi="仿宋_GB2312" w:eastAsia="仿宋_GB2312" w:cs="仿宋_GB2312"/>
                <w:b w:val="0"/>
                <w:bCs w:val="0"/>
                <w:sz w:val="24"/>
                <w:lang w:eastAsia="en-US"/>
              </w:rPr>
            </w:pPr>
            <w:r>
              <w:rPr>
                <w:rFonts w:hint="eastAsia" w:ascii="仿宋_GB2312" w:hAnsi="仿宋_GB2312" w:eastAsia="仿宋_GB2312" w:cs="仿宋_GB2312"/>
                <w:b w:val="0"/>
                <w:bCs w:val="0"/>
                <w:w w:val="90"/>
                <w:sz w:val="24"/>
                <w:lang w:eastAsia="en-US"/>
              </w:rPr>
              <w:t>100</w:t>
            </w:r>
          </w:p>
        </w:tc>
      </w:tr>
    </w:tbl>
    <w:p>
      <w:pPr>
        <w:pStyle w:val="7"/>
        <w:ind w:firstLine="602" w:firstLineChars="200"/>
        <w:rPr>
          <w:rFonts w:hint="eastAsia" w:ascii="仿宋_GB2312" w:hAnsi="仿宋_GB2312" w:eastAsia="仿宋_GB2312" w:cs="仿宋_GB2312"/>
          <w:b/>
          <w:bCs/>
          <w:sz w:val="30"/>
          <w:szCs w:val="30"/>
          <w:lang w:val="en-US"/>
        </w:rPr>
      </w:pPr>
      <w:r>
        <w:rPr>
          <w:rFonts w:hint="eastAsia" w:ascii="仿宋_GB2312" w:hAnsi="仿宋_GB2312" w:eastAsia="仿宋_GB2312" w:cs="仿宋_GB2312"/>
          <w:b/>
          <w:bCs/>
          <w:sz w:val="30"/>
          <w:szCs w:val="30"/>
          <w:lang w:val="en-US"/>
        </w:rPr>
        <w:t>1.创业企业模拟运营（50分）</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参赛团队创业企业模拟运营36个月（含试题最初运营的1-6个月），评分标准如表 4 所示。</w:t>
      </w:r>
    </w:p>
    <w:p>
      <w:pPr>
        <w:pStyle w:val="7"/>
        <w:ind w:firstLine="560" w:firstLineChars="200"/>
        <w:jc w:val="center"/>
        <w:rPr>
          <w:rFonts w:hint="eastAsia" w:ascii="黑体" w:hAnsi="黑体" w:eastAsia="黑体" w:cs="黑体"/>
          <w:sz w:val="28"/>
          <w:szCs w:val="28"/>
          <w:lang w:val="en-US"/>
        </w:rPr>
      </w:pPr>
      <w:r>
        <w:rPr>
          <w:rFonts w:hint="eastAsia" w:ascii="黑体" w:hAnsi="黑体" w:eastAsia="黑体" w:cs="黑体"/>
          <w:sz w:val="28"/>
          <w:szCs w:val="28"/>
          <w:lang w:val="en-US"/>
        </w:rPr>
        <w:t>表2 创业企业模拟运营实操评分标准</w:t>
      </w:r>
    </w:p>
    <w:tbl>
      <w:tblPr>
        <w:tblStyle w:val="44"/>
        <w:tblW w:w="921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694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jc w:val="center"/>
        </w:trPr>
        <w:tc>
          <w:tcPr>
            <w:tcW w:w="1134" w:type="dxa"/>
            <w:vAlign w:val="center"/>
          </w:tcPr>
          <w:p>
            <w:pPr>
              <w:pStyle w:val="45"/>
              <w:spacing w:before="79"/>
              <w:ind w:left="156"/>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竞赛内容</w:t>
            </w:r>
          </w:p>
        </w:tc>
        <w:tc>
          <w:tcPr>
            <w:tcW w:w="6946" w:type="dxa"/>
            <w:vAlign w:val="center"/>
          </w:tcPr>
          <w:p>
            <w:pPr>
              <w:pStyle w:val="45"/>
              <w:spacing w:before="79"/>
              <w:ind w:left="2716" w:right="2704"/>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评分标准</w:t>
            </w:r>
          </w:p>
        </w:tc>
        <w:tc>
          <w:tcPr>
            <w:tcW w:w="1134" w:type="dxa"/>
            <w:vAlign w:val="center"/>
          </w:tcPr>
          <w:p>
            <w:pPr>
              <w:pStyle w:val="45"/>
              <w:spacing w:before="36"/>
              <w:ind w:left="274" w:right="267"/>
              <w:jc w:val="center"/>
              <w:rPr>
                <w:rFonts w:hint="eastAsia" w:ascii="黑体" w:hAnsi="黑体" w:eastAsia="黑体" w:cs="黑体"/>
                <w:b w:val="0"/>
                <w:bCs/>
                <w:sz w:val="24"/>
                <w:lang w:eastAsia="en-US"/>
              </w:rPr>
            </w:pPr>
            <w:r>
              <w:rPr>
                <w:rFonts w:hint="eastAsia" w:ascii="黑体" w:hAnsi="黑体" w:eastAsia="黑体" w:cs="黑体"/>
                <w:b w:val="0"/>
                <w:bCs/>
                <w:sz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83" w:hRule="atLeast"/>
          <w:jc w:val="center"/>
        </w:trPr>
        <w:tc>
          <w:tcPr>
            <w:tcW w:w="1134" w:type="dxa"/>
            <w:vAlign w:val="center"/>
          </w:tcPr>
          <w:p>
            <w:pPr>
              <w:autoSpaceDE w:val="0"/>
              <w:autoSpaceDN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创业企业模拟运营实操</w:t>
            </w:r>
          </w:p>
        </w:tc>
        <w:tc>
          <w:tcPr>
            <w:tcW w:w="6946" w:type="dxa"/>
          </w:tcPr>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通过36个月（含试题最初运营1-6个月）创业企业模拟运营实操， 以系统给出的企业估值、利润、运行效率等数据作为评分依据。</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（1）所有团队基础分0分。</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（2）所有团队在最初运营基础之上，接续运营直至第36个月。在运营至第30个月前，可以出售股份、变卖公司资产、解雇员工等操作；运营第31至 36个月期间不得变卖公司资产、不得解雇公司员工，可以出售股份。最终企业估值、利润按持股比例折算。</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（3）运营满36个月的团队。每增加一定的企业估值或利润（具体根据当年比赛最高估值参数除以 100）加1分。</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（4）运营未满36个月，或破产团队。以正常运营结束队伍的最低分为基本分，每距离结束1个月减1分。</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（5）若得分相同，则对比较企业利润，利润高者排名在前。</w:t>
            </w:r>
          </w:p>
          <w:p>
            <w:pPr>
              <w:autoSpaceDE/>
              <w:autoSpaceDN/>
              <w:spacing w:line="288"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（6）若估值和利润值相同，则对比平均效率，效率高者名次在前。</w:t>
            </w:r>
          </w:p>
        </w:tc>
        <w:tc>
          <w:tcPr>
            <w:tcW w:w="1134" w:type="dxa"/>
            <w:vAlign w:val="center"/>
          </w:tcPr>
          <w:p>
            <w:pPr>
              <w:autoSpaceDE/>
              <w:autoSpaceDN/>
              <w:spacing w:line="288" w:lineRule="auto"/>
              <w:jc w:val="center"/>
              <w:rPr>
                <w:rFonts w:ascii="仿宋" w:hAnsi="仿宋" w:eastAsia="仿宋" w:cs="宋体"/>
                <w:sz w:val="24"/>
                <w:szCs w:val="24"/>
                <w:lang w:eastAsia="en-US"/>
              </w:rPr>
            </w:pPr>
            <w:r>
              <w:rPr>
                <w:rFonts w:hint="eastAsia" w:ascii="仿宋" w:hAnsi="仿宋" w:eastAsia="仿宋" w:cs="宋体"/>
                <w:sz w:val="24"/>
                <w:szCs w:val="24"/>
                <w:lang w:eastAsia="zh-CN"/>
              </w:rPr>
              <w:t>50</w:t>
            </w:r>
            <w:r>
              <w:rPr>
                <w:rFonts w:hint="eastAsia" w:ascii="仿宋" w:hAnsi="仿宋" w:eastAsia="仿宋" w:cs="宋体"/>
                <w:sz w:val="24"/>
                <w:szCs w:val="24"/>
                <w:lang w:eastAsia="en-US"/>
              </w:rPr>
              <w:t>分</w:t>
            </w:r>
          </w:p>
        </w:tc>
      </w:tr>
    </w:tbl>
    <w:p>
      <w:pPr>
        <w:pStyle w:val="7"/>
        <w:ind w:firstLine="602" w:firstLineChars="200"/>
        <w:rPr>
          <w:rFonts w:hint="eastAsia" w:ascii="仿宋_GB2312" w:hAnsi="仿宋_GB2312" w:eastAsia="仿宋_GB2312" w:cs="仿宋_GB2312"/>
          <w:b/>
          <w:bCs/>
          <w:sz w:val="30"/>
          <w:szCs w:val="30"/>
          <w:lang w:val="en-US"/>
        </w:rPr>
      </w:pPr>
      <w:r>
        <w:rPr>
          <w:rFonts w:hint="eastAsia" w:ascii="仿宋_GB2312" w:hAnsi="仿宋_GB2312" w:eastAsia="仿宋_GB2312" w:cs="仿宋_GB2312"/>
          <w:b/>
          <w:bCs/>
          <w:sz w:val="30"/>
          <w:szCs w:val="30"/>
          <w:lang w:val="en-US"/>
        </w:rPr>
        <w:t>2.直播营运方案撰写（20 分）</w:t>
      </w:r>
    </w:p>
    <w:p>
      <w:pPr>
        <w:pStyle w:val="7"/>
        <w:ind w:firstLine="600" w:firstLineChars="200"/>
        <w:jc w:val="center"/>
        <w:rPr>
          <w:rFonts w:hint="eastAsia" w:ascii="黑体" w:hAnsi="黑体" w:eastAsia="黑体" w:cs="黑体"/>
          <w:sz w:val="30"/>
          <w:szCs w:val="30"/>
          <w:lang w:val="en-US"/>
        </w:rPr>
      </w:pPr>
    </w:p>
    <w:p>
      <w:pPr>
        <w:pStyle w:val="7"/>
        <w:ind w:firstLine="560" w:firstLineChars="200"/>
        <w:jc w:val="center"/>
        <w:rPr>
          <w:rFonts w:hint="eastAsia" w:ascii="黑体" w:hAnsi="黑体" w:eastAsia="黑体" w:cs="黑体"/>
          <w:sz w:val="28"/>
          <w:szCs w:val="28"/>
          <w:lang w:val="en-US"/>
        </w:rPr>
      </w:pPr>
      <w:r>
        <w:rPr>
          <w:rFonts w:hint="eastAsia" w:ascii="黑体" w:hAnsi="黑体" w:eastAsia="黑体" w:cs="黑体"/>
          <w:sz w:val="28"/>
          <w:szCs w:val="28"/>
          <w:lang w:val="en-US"/>
        </w:rPr>
        <w:t>表3 直播营运方案撰写评分表</w:t>
      </w:r>
    </w:p>
    <w:tbl>
      <w:tblPr>
        <w:tblStyle w:val="44"/>
        <w:tblW w:w="9338" w:type="dxa"/>
        <w:jc w:val="center"/>
        <w:tblInd w:w="-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2229"/>
        <w:gridCol w:w="5453"/>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序号</w:t>
            </w:r>
          </w:p>
        </w:tc>
        <w:tc>
          <w:tcPr>
            <w:tcW w:w="2229" w:type="dxa"/>
            <w:vAlign w:val="center"/>
          </w:tcPr>
          <w:p>
            <w:pPr>
              <w:pStyle w:val="45"/>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评分项</w:t>
            </w:r>
          </w:p>
        </w:tc>
        <w:tc>
          <w:tcPr>
            <w:tcW w:w="5453" w:type="dxa"/>
            <w:vAlign w:val="center"/>
          </w:tcPr>
          <w:p>
            <w:pPr>
              <w:pStyle w:val="45"/>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评分标准</w:t>
            </w:r>
          </w:p>
        </w:tc>
        <w:tc>
          <w:tcPr>
            <w:tcW w:w="853" w:type="dxa"/>
            <w:vAlign w:val="center"/>
          </w:tcPr>
          <w:p>
            <w:pPr>
              <w:pStyle w:val="45"/>
              <w:jc w:val="center"/>
              <w:rPr>
                <w:rFonts w:hint="eastAsia" w:ascii="黑体" w:hAnsi="黑体" w:eastAsia="黑体" w:cs="黑体"/>
                <w:b w:val="0"/>
                <w:bCs/>
                <w:sz w:val="24"/>
                <w:lang w:eastAsia="en-US"/>
              </w:rPr>
            </w:pPr>
            <w:r>
              <w:rPr>
                <w:rFonts w:hint="eastAsia" w:ascii="黑体" w:hAnsi="黑体" w:eastAsia="黑体" w:cs="黑体"/>
                <w:b w:val="0"/>
                <w:bCs/>
                <w:sz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1</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市场分析</w:t>
            </w:r>
          </w:p>
        </w:tc>
        <w:tc>
          <w:tcPr>
            <w:tcW w:w="5453" w:type="dxa"/>
            <w:vAlign w:val="center"/>
          </w:tcPr>
          <w:p>
            <w:pPr>
              <w:pStyle w:val="45"/>
              <w:jc w:val="both"/>
              <w:rPr>
                <w:rFonts w:ascii="仿宋" w:hAnsi="仿宋" w:eastAsia="仿宋"/>
                <w:sz w:val="24"/>
                <w:lang w:eastAsia="zh-CN"/>
              </w:rPr>
            </w:pPr>
            <w:r>
              <w:rPr>
                <w:rFonts w:ascii="仿宋" w:hAnsi="仿宋" w:eastAsia="仿宋"/>
                <w:sz w:val="24"/>
                <w:lang w:eastAsia="zh-CN"/>
              </w:rPr>
              <w:t>产品的主要用户群体特点及竞争对手分析</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2</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定位</w:t>
            </w:r>
          </w:p>
        </w:tc>
        <w:tc>
          <w:tcPr>
            <w:tcW w:w="5453" w:type="dxa"/>
            <w:vAlign w:val="center"/>
          </w:tcPr>
          <w:p>
            <w:pPr>
              <w:pStyle w:val="45"/>
              <w:jc w:val="both"/>
              <w:rPr>
                <w:rFonts w:ascii="仿宋" w:hAnsi="仿宋" w:eastAsia="仿宋"/>
                <w:sz w:val="24"/>
                <w:lang w:eastAsia="en-US"/>
              </w:rPr>
            </w:pPr>
            <w:r>
              <w:rPr>
                <w:rFonts w:ascii="仿宋" w:hAnsi="仿宋" w:eastAsia="仿宋"/>
                <w:spacing w:val="-3"/>
                <w:sz w:val="24"/>
                <w:lang w:eastAsia="en-US"/>
              </w:rPr>
              <w:t>根据定位策略，准确地描述直播定位</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3</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团队管理</w:t>
            </w:r>
          </w:p>
        </w:tc>
        <w:tc>
          <w:tcPr>
            <w:tcW w:w="5453" w:type="dxa"/>
            <w:vAlign w:val="center"/>
          </w:tcPr>
          <w:p>
            <w:pPr>
              <w:pStyle w:val="45"/>
              <w:jc w:val="both"/>
              <w:rPr>
                <w:rFonts w:ascii="仿宋" w:hAnsi="仿宋" w:eastAsia="仿宋"/>
                <w:sz w:val="24"/>
                <w:lang w:eastAsia="zh-CN"/>
              </w:rPr>
            </w:pPr>
            <w:r>
              <w:rPr>
                <w:rFonts w:ascii="仿宋" w:hAnsi="仿宋" w:eastAsia="仿宋"/>
                <w:sz w:val="24"/>
                <w:lang w:eastAsia="zh-CN"/>
              </w:rPr>
              <w:t>合理进行分工，明确各成员角色分配，配合默契</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4</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互动设计</w:t>
            </w:r>
          </w:p>
        </w:tc>
        <w:tc>
          <w:tcPr>
            <w:tcW w:w="5453" w:type="dxa"/>
            <w:vAlign w:val="center"/>
          </w:tcPr>
          <w:p>
            <w:pPr>
              <w:pStyle w:val="45"/>
              <w:jc w:val="both"/>
              <w:rPr>
                <w:rFonts w:ascii="仿宋" w:hAnsi="仿宋" w:eastAsia="仿宋"/>
                <w:sz w:val="24"/>
                <w:lang w:eastAsia="zh-CN"/>
              </w:rPr>
            </w:pPr>
            <w:r>
              <w:rPr>
                <w:rFonts w:ascii="仿宋" w:hAnsi="仿宋" w:eastAsia="仿宋"/>
                <w:sz w:val="24"/>
                <w:lang w:eastAsia="zh-CN"/>
              </w:rPr>
              <w:t>有合理明确的互动环节设计及互动意图说明</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5</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推广运营策略</w:t>
            </w:r>
          </w:p>
        </w:tc>
        <w:tc>
          <w:tcPr>
            <w:tcW w:w="5453" w:type="dxa"/>
            <w:vAlign w:val="center"/>
          </w:tcPr>
          <w:p>
            <w:pPr>
              <w:pStyle w:val="45"/>
              <w:jc w:val="both"/>
              <w:rPr>
                <w:rFonts w:ascii="仿宋" w:hAnsi="仿宋" w:eastAsia="仿宋"/>
                <w:sz w:val="24"/>
                <w:lang w:eastAsia="zh-CN"/>
              </w:rPr>
            </w:pPr>
            <w:r>
              <w:rPr>
                <w:rFonts w:ascii="仿宋" w:hAnsi="仿宋" w:eastAsia="仿宋"/>
                <w:sz w:val="24"/>
                <w:lang w:eastAsia="zh-CN"/>
              </w:rPr>
              <w:t>有具体的直播预热推广方案和直播引流方案</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6</w:t>
            </w:r>
          </w:p>
        </w:tc>
        <w:tc>
          <w:tcPr>
            <w:tcW w:w="2229" w:type="dxa"/>
            <w:vAlign w:val="center"/>
          </w:tcPr>
          <w:p>
            <w:pPr>
              <w:pStyle w:val="45"/>
              <w:jc w:val="left"/>
              <w:rPr>
                <w:rFonts w:ascii="仿宋" w:hAnsi="仿宋" w:eastAsia="仿宋"/>
                <w:sz w:val="24"/>
                <w:lang w:eastAsia="zh-CN"/>
              </w:rPr>
            </w:pPr>
            <w:r>
              <w:rPr>
                <w:rFonts w:ascii="仿宋" w:hAnsi="仿宋" w:eastAsia="仿宋"/>
                <w:spacing w:val="-4"/>
                <w:sz w:val="24"/>
                <w:lang w:eastAsia="zh-CN"/>
              </w:rPr>
              <w:t>策划书内容完整、表</w:t>
            </w:r>
            <w:r>
              <w:rPr>
                <w:rFonts w:ascii="仿宋" w:hAnsi="仿宋" w:eastAsia="仿宋"/>
                <w:sz w:val="24"/>
                <w:lang w:eastAsia="zh-CN"/>
              </w:rPr>
              <w:t>述清楚，语法通顺</w:t>
            </w:r>
          </w:p>
        </w:tc>
        <w:tc>
          <w:tcPr>
            <w:tcW w:w="5453" w:type="dxa"/>
            <w:vAlign w:val="center"/>
          </w:tcPr>
          <w:p>
            <w:pPr>
              <w:pStyle w:val="45"/>
              <w:jc w:val="both"/>
              <w:rPr>
                <w:rFonts w:ascii="仿宋" w:hAnsi="仿宋" w:eastAsia="仿宋"/>
                <w:sz w:val="24"/>
                <w:lang w:eastAsia="zh-CN"/>
              </w:rPr>
            </w:pPr>
            <w:r>
              <w:rPr>
                <w:rFonts w:ascii="仿宋" w:hAnsi="仿宋" w:eastAsia="仿宋"/>
                <w:sz w:val="24"/>
                <w:lang w:eastAsia="zh-CN"/>
              </w:rPr>
              <w:t>策划书所要求的各项内容是否有缺</w:t>
            </w:r>
            <w:r>
              <w:rPr>
                <w:rFonts w:ascii="仿宋" w:hAnsi="仿宋" w:eastAsia="仿宋"/>
                <w:spacing w:val="-1"/>
                <w:sz w:val="24"/>
                <w:lang w:eastAsia="zh-CN"/>
              </w:rPr>
              <w:t>失，能够保持直播带货流程的完整、</w:t>
            </w:r>
            <w:r>
              <w:rPr>
                <w:rFonts w:ascii="仿宋" w:hAnsi="仿宋" w:eastAsia="仿宋"/>
                <w:sz w:val="24"/>
                <w:lang w:eastAsia="zh-CN"/>
              </w:rPr>
              <w:t>全面、思路清晰、具有创新性</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4" w:hRule="atLeast"/>
          <w:jc w:val="center"/>
        </w:trPr>
        <w:tc>
          <w:tcPr>
            <w:tcW w:w="8485" w:type="dxa"/>
            <w:gridSpan w:val="3"/>
            <w:vAlign w:val="center"/>
          </w:tcPr>
          <w:p>
            <w:pPr>
              <w:pStyle w:val="45"/>
              <w:jc w:val="center"/>
              <w:rPr>
                <w:rFonts w:ascii="仿宋" w:hAnsi="仿宋" w:eastAsia="仿宋"/>
                <w:bCs/>
                <w:sz w:val="24"/>
                <w:lang w:eastAsia="en-US"/>
              </w:rPr>
            </w:pPr>
            <w:r>
              <w:rPr>
                <w:rFonts w:hint="eastAsia" w:ascii="仿宋" w:hAnsi="仿宋" w:eastAsia="仿宋"/>
                <w:bCs/>
                <w:sz w:val="24"/>
                <w:lang w:eastAsia="en-US"/>
              </w:rPr>
              <w:t>总分</w:t>
            </w:r>
          </w:p>
        </w:tc>
        <w:tc>
          <w:tcPr>
            <w:tcW w:w="853" w:type="dxa"/>
            <w:vAlign w:val="center"/>
          </w:tcPr>
          <w:p>
            <w:pPr>
              <w:pStyle w:val="45"/>
              <w:jc w:val="center"/>
              <w:rPr>
                <w:rFonts w:ascii="仿宋" w:hAnsi="仿宋" w:eastAsia="仿宋"/>
                <w:sz w:val="24"/>
                <w:lang w:eastAsia="zh-CN"/>
              </w:rPr>
            </w:pPr>
            <w:r>
              <w:rPr>
                <w:rFonts w:hint="eastAsia" w:ascii="仿宋" w:hAnsi="仿宋" w:eastAsia="仿宋"/>
                <w:sz w:val="24"/>
                <w:lang w:eastAsia="zh-CN"/>
              </w:rPr>
              <w:t>20</w:t>
            </w:r>
          </w:p>
        </w:tc>
      </w:tr>
    </w:tbl>
    <w:p>
      <w:pPr>
        <w:pStyle w:val="7"/>
        <w:ind w:firstLine="602" w:firstLineChars="200"/>
        <w:rPr>
          <w:rFonts w:hint="eastAsia" w:ascii="仿宋_GB2312" w:hAnsi="仿宋_GB2312" w:eastAsia="仿宋_GB2312" w:cs="仿宋_GB2312"/>
          <w:b/>
          <w:bCs/>
          <w:sz w:val="30"/>
          <w:szCs w:val="30"/>
          <w:lang w:val="en-US"/>
        </w:rPr>
      </w:pPr>
      <w:r>
        <w:rPr>
          <w:rFonts w:hint="eastAsia" w:ascii="仿宋_GB2312" w:hAnsi="仿宋_GB2312" w:eastAsia="仿宋_GB2312" w:cs="仿宋_GB2312"/>
          <w:b/>
          <w:bCs/>
          <w:sz w:val="30"/>
          <w:szCs w:val="30"/>
          <w:lang w:val="en-US"/>
        </w:rPr>
        <w:t>3.商品模拟直播（30分）</w:t>
      </w:r>
    </w:p>
    <w:p>
      <w:pPr>
        <w:autoSpaceDE w:val="0"/>
        <w:autoSpaceDN w:val="0"/>
        <w:adjustRightInd w:val="0"/>
        <w:jc w:val="center"/>
        <w:rPr>
          <w:rFonts w:hint="eastAsia" w:ascii="黑体" w:hAnsi="黑体" w:eastAsia="黑体" w:cs="黑体"/>
          <w:color w:val="0D0D0D"/>
          <w:kern w:val="0"/>
          <w:sz w:val="28"/>
          <w:szCs w:val="28"/>
        </w:rPr>
      </w:pPr>
      <w:r>
        <w:rPr>
          <w:rFonts w:hint="eastAsia" w:ascii="黑体" w:hAnsi="黑体" w:eastAsia="黑体" w:cs="黑体"/>
          <w:color w:val="0D0D0D"/>
          <w:kern w:val="0"/>
          <w:sz w:val="28"/>
          <w:szCs w:val="28"/>
        </w:rPr>
        <w:t>表4 商品模拟直播评分表</w:t>
      </w:r>
    </w:p>
    <w:tbl>
      <w:tblPr>
        <w:tblStyle w:val="44"/>
        <w:tblW w:w="9386" w:type="dxa"/>
        <w:jc w:val="center"/>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485"/>
        <w:gridCol w:w="624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51" w:type="dxa"/>
            <w:vAlign w:val="center"/>
          </w:tcPr>
          <w:p>
            <w:pPr>
              <w:pStyle w:val="45"/>
              <w:spacing w:line="370" w:lineRule="exact"/>
              <w:ind w:left="20" w:right="13"/>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序号</w:t>
            </w:r>
          </w:p>
        </w:tc>
        <w:tc>
          <w:tcPr>
            <w:tcW w:w="1485" w:type="dxa"/>
            <w:vAlign w:val="center"/>
          </w:tcPr>
          <w:p>
            <w:pPr>
              <w:pStyle w:val="45"/>
              <w:spacing w:line="370" w:lineRule="exact"/>
              <w:ind w:left="14" w:right="2"/>
              <w:jc w:val="center"/>
              <w:rPr>
                <w:rFonts w:hint="eastAsia" w:ascii="黑体" w:hAnsi="黑体" w:eastAsia="黑体" w:cs="黑体"/>
                <w:b w:val="0"/>
                <w:bCs/>
                <w:sz w:val="24"/>
                <w:lang w:eastAsia="en-US"/>
              </w:rPr>
            </w:pPr>
            <w:r>
              <w:rPr>
                <w:rFonts w:hint="eastAsia" w:ascii="黑体" w:hAnsi="黑体" w:eastAsia="黑体" w:cs="黑体"/>
                <w:b w:val="0"/>
                <w:bCs/>
                <w:sz w:val="24"/>
                <w:lang w:eastAsia="en-US"/>
              </w:rPr>
              <w:t>评分项</w:t>
            </w:r>
          </w:p>
        </w:tc>
        <w:tc>
          <w:tcPr>
            <w:tcW w:w="6240" w:type="dxa"/>
            <w:vAlign w:val="center"/>
          </w:tcPr>
          <w:p>
            <w:pPr>
              <w:pStyle w:val="45"/>
              <w:spacing w:line="370" w:lineRule="exact"/>
              <w:ind w:left="14" w:right="2"/>
              <w:jc w:val="center"/>
              <w:rPr>
                <w:rFonts w:hint="eastAsia" w:ascii="黑体" w:hAnsi="黑体" w:eastAsia="黑体" w:cs="黑体"/>
                <w:b w:val="0"/>
                <w:bCs/>
                <w:sz w:val="24"/>
                <w:lang w:eastAsia="zh-CN"/>
              </w:rPr>
            </w:pPr>
            <w:r>
              <w:rPr>
                <w:rFonts w:hint="eastAsia" w:ascii="黑体" w:hAnsi="黑体" w:eastAsia="黑体" w:cs="黑体"/>
                <w:b w:val="0"/>
                <w:bCs/>
                <w:sz w:val="24"/>
                <w:lang w:eastAsia="en-US"/>
              </w:rPr>
              <w:t>评分</w:t>
            </w:r>
            <w:r>
              <w:rPr>
                <w:rFonts w:hint="eastAsia" w:ascii="黑体" w:hAnsi="黑体" w:eastAsia="黑体" w:cs="黑体"/>
                <w:b w:val="0"/>
                <w:bCs/>
                <w:sz w:val="24"/>
                <w:lang w:eastAsia="zh-CN"/>
              </w:rPr>
              <w:t>标准</w:t>
            </w:r>
          </w:p>
        </w:tc>
        <w:tc>
          <w:tcPr>
            <w:tcW w:w="810" w:type="dxa"/>
            <w:vAlign w:val="center"/>
          </w:tcPr>
          <w:p>
            <w:pPr>
              <w:pStyle w:val="45"/>
              <w:spacing w:line="370" w:lineRule="exact"/>
              <w:ind w:left="14" w:right="2"/>
              <w:jc w:val="center"/>
              <w:rPr>
                <w:rFonts w:hint="eastAsia" w:ascii="黑体" w:hAnsi="黑体" w:eastAsia="黑体" w:cs="黑体"/>
                <w:b w:val="0"/>
                <w:bCs/>
                <w:sz w:val="24"/>
                <w:lang w:eastAsia="zh-CN"/>
              </w:rPr>
            </w:pPr>
            <w:r>
              <w:rPr>
                <w:rFonts w:hint="eastAsia" w:ascii="黑体" w:hAnsi="黑体" w:eastAsia="黑体" w:cs="黑体"/>
                <w:b w:val="0"/>
                <w:bCs/>
                <w:sz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2" w:hRule="exact"/>
          <w:jc w:val="center"/>
        </w:trPr>
        <w:tc>
          <w:tcPr>
            <w:tcW w:w="851" w:type="dxa"/>
            <w:vAlign w:val="center"/>
          </w:tcPr>
          <w:p>
            <w:pPr>
              <w:pStyle w:val="45"/>
              <w:ind w:left="7"/>
              <w:jc w:val="center"/>
              <w:rPr>
                <w:rFonts w:ascii="仿宋" w:hAnsi="仿宋" w:eastAsia="仿宋"/>
                <w:sz w:val="24"/>
                <w:szCs w:val="24"/>
                <w:lang w:eastAsia="en-US"/>
              </w:rPr>
            </w:pPr>
            <w:r>
              <w:rPr>
                <w:rFonts w:ascii="仿宋" w:hAnsi="仿宋" w:eastAsia="仿宋"/>
                <w:sz w:val="24"/>
                <w:szCs w:val="24"/>
                <w:lang w:eastAsia="en-US"/>
              </w:rPr>
              <w:t>1</w:t>
            </w:r>
          </w:p>
        </w:tc>
        <w:tc>
          <w:tcPr>
            <w:tcW w:w="1485" w:type="dxa"/>
            <w:vAlign w:val="center"/>
          </w:tcPr>
          <w:p>
            <w:pPr>
              <w:pStyle w:val="45"/>
              <w:ind w:left="14" w:right="4"/>
              <w:jc w:val="center"/>
              <w:rPr>
                <w:rFonts w:ascii="仿宋" w:hAnsi="仿宋" w:eastAsia="仿宋"/>
                <w:sz w:val="24"/>
                <w:szCs w:val="24"/>
                <w:lang w:eastAsia="en-US"/>
              </w:rPr>
            </w:pPr>
            <w:r>
              <w:rPr>
                <w:rFonts w:ascii="仿宋" w:hAnsi="仿宋" w:eastAsia="仿宋"/>
                <w:sz w:val="24"/>
                <w:szCs w:val="24"/>
                <w:lang w:eastAsia="en-US"/>
              </w:rPr>
              <w:t>主播形象</w:t>
            </w:r>
          </w:p>
        </w:tc>
        <w:tc>
          <w:tcPr>
            <w:tcW w:w="6240" w:type="dxa"/>
            <w:vAlign w:val="center"/>
          </w:tcPr>
          <w:p>
            <w:pPr>
              <w:pStyle w:val="45"/>
              <w:spacing w:before="114" w:line="242" w:lineRule="auto"/>
              <w:ind w:left="14" w:right="4"/>
              <w:jc w:val="both"/>
              <w:rPr>
                <w:rFonts w:ascii="仿宋" w:hAnsi="仿宋" w:eastAsia="仿宋"/>
                <w:sz w:val="24"/>
                <w:szCs w:val="24"/>
                <w:lang w:eastAsia="zh-CN"/>
              </w:rPr>
            </w:pPr>
            <w:r>
              <w:rPr>
                <w:rFonts w:ascii="仿宋" w:hAnsi="仿宋" w:eastAsia="仿宋"/>
                <w:spacing w:val="-11"/>
                <w:sz w:val="24"/>
                <w:szCs w:val="24"/>
                <w:lang w:eastAsia="zh-CN"/>
              </w:rPr>
              <w:t>主播妆容精致、着装举止得体，存在不雅行为、有失</w:t>
            </w:r>
            <w:r>
              <w:rPr>
                <w:rFonts w:ascii="仿宋" w:hAnsi="仿宋" w:eastAsia="仿宋"/>
                <w:sz w:val="24"/>
                <w:szCs w:val="24"/>
                <w:lang w:eastAsia="zh-CN"/>
              </w:rPr>
              <w:t>礼仪等问题，则该项不得分</w:t>
            </w:r>
          </w:p>
        </w:tc>
        <w:tc>
          <w:tcPr>
            <w:tcW w:w="810" w:type="dxa"/>
            <w:vAlign w:val="center"/>
          </w:tcPr>
          <w:p>
            <w:pPr>
              <w:pStyle w:val="45"/>
              <w:ind w:left="7"/>
              <w:jc w:val="center"/>
              <w:rPr>
                <w:rFonts w:ascii="仿宋" w:hAnsi="仿宋" w:eastAsia="仿宋"/>
                <w:sz w:val="24"/>
                <w:szCs w:val="24"/>
                <w:lang w:eastAsia="en-US"/>
              </w:rPr>
            </w:pPr>
            <w:r>
              <w:rPr>
                <w:rFonts w:ascii="仿宋" w:hAnsi="仿宋" w:eastAsia="仿宋"/>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2</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直播场景</w:t>
            </w:r>
          </w:p>
        </w:tc>
        <w:tc>
          <w:tcPr>
            <w:tcW w:w="6240" w:type="dxa"/>
            <w:vAlign w:val="center"/>
          </w:tcPr>
          <w:p>
            <w:pPr>
              <w:pStyle w:val="45"/>
              <w:spacing w:before="114" w:line="242" w:lineRule="auto"/>
              <w:ind w:left="14" w:right="4"/>
              <w:jc w:val="both"/>
              <w:rPr>
                <w:rFonts w:ascii="仿宋" w:hAnsi="仿宋" w:eastAsia="仿宋"/>
                <w:spacing w:val="-11"/>
                <w:sz w:val="24"/>
                <w:szCs w:val="24"/>
                <w:lang w:eastAsia="zh-CN"/>
              </w:rPr>
            </w:pPr>
            <w:r>
              <w:rPr>
                <w:rFonts w:ascii="仿宋" w:hAnsi="仿宋" w:eastAsia="仿宋"/>
                <w:spacing w:val="-8"/>
                <w:sz w:val="24"/>
                <w:szCs w:val="24"/>
                <w:lang w:eastAsia="zh-CN"/>
              </w:rPr>
              <w:t>直播场景布置符合直播主题内容，突出直播特色，能</w:t>
            </w:r>
            <w:r>
              <w:rPr>
                <w:rFonts w:ascii="仿宋" w:hAnsi="仿宋" w:eastAsia="仿宋"/>
                <w:sz w:val="24"/>
                <w:szCs w:val="24"/>
                <w:lang w:eastAsia="zh-CN"/>
              </w:rPr>
              <w:t>够清晰直观展示产品</w:t>
            </w:r>
          </w:p>
        </w:tc>
        <w:tc>
          <w:tcPr>
            <w:tcW w:w="810"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3</w:t>
            </w:r>
          </w:p>
        </w:tc>
        <w:tc>
          <w:tcPr>
            <w:tcW w:w="1485" w:type="dxa"/>
            <w:vAlign w:val="center"/>
          </w:tcPr>
          <w:p>
            <w:pPr>
              <w:pStyle w:val="45"/>
              <w:spacing w:before="3"/>
              <w:jc w:val="center"/>
              <w:rPr>
                <w:rFonts w:ascii="仿宋" w:hAnsi="仿宋" w:eastAsia="仿宋"/>
                <w:sz w:val="24"/>
                <w:szCs w:val="24"/>
                <w:lang w:eastAsia="en-US"/>
              </w:rPr>
            </w:pPr>
            <w:r>
              <w:rPr>
                <w:rFonts w:ascii="仿宋" w:hAnsi="仿宋" w:eastAsia="仿宋"/>
                <w:sz w:val="24"/>
                <w:szCs w:val="24"/>
                <w:lang w:eastAsia="en-US"/>
              </w:rPr>
              <w:t>直播话术</w:t>
            </w:r>
          </w:p>
        </w:tc>
        <w:tc>
          <w:tcPr>
            <w:tcW w:w="6240" w:type="dxa"/>
            <w:vAlign w:val="center"/>
          </w:tcPr>
          <w:p>
            <w:pPr>
              <w:pStyle w:val="45"/>
              <w:spacing w:before="114" w:line="242" w:lineRule="auto"/>
              <w:ind w:left="14" w:right="4"/>
              <w:jc w:val="both"/>
              <w:rPr>
                <w:rFonts w:ascii="仿宋" w:hAnsi="仿宋" w:eastAsia="仿宋"/>
                <w:spacing w:val="-11"/>
                <w:sz w:val="24"/>
                <w:szCs w:val="24"/>
                <w:lang w:eastAsia="zh-CN"/>
              </w:rPr>
            </w:pPr>
            <w:r>
              <w:rPr>
                <w:rFonts w:ascii="仿宋" w:hAnsi="仿宋" w:eastAsia="仿宋"/>
                <w:spacing w:val="-11"/>
                <w:sz w:val="24"/>
                <w:szCs w:val="24"/>
                <w:lang w:eastAsia="zh-CN"/>
              </w:rPr>
              <w:t>口齿清晰，表达流畅，直播相关话术熟练掌握并且能</w:t>
            </w:r>
            <w:r>
              <w:rPr>
                <w:rFonts w:ascii="仿宋" w:hAnsi="仿宋" w:eastAsia="仿宋"/>
                <w:sz w:val="24"/>
                <w:szCs w:val="24"/>
                <w:lang w:eastAsia="zh-CN"/>
              </w:rPr>
              <w:t>够灵活运用</w:t>
            </w:r>
          </w:p>
        </w:tc>
        <w:tc>
          <w:tcPr>
            <w:tcW w:w="810" w:type="dxa"/>
            <w:vAlign w:val="center"/>
          </w:tcPr>
          <w:p>
            <w:pPr>
              <w:pStyle w:val="45"/>
              <w:spacing w:before="3"/>
              <w:jc w:val="center"/>
              <w:rPr>
                <w:rFonts w:ascii="仿宋" w:hAnsi="仿宋" w:eastAsia="仿宋"/>
                <w:b/>
                <w:sz w:val="24"/>
                <w:szCs w:val="24"/>
                <w:lang w:eastAsia="zh-CN"/>
              </w:rPr>
            </w:pPr>
            <w:r>
              <w:rPr>
                <w:rFonts w:ascii="仿宋" w:hAnsi="仿宋" w:eastAsia="仿宋"/>
                <w:sz w:val="24"/>
                <w:szCs w:val="24"/>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4</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互动能力</w:t>
            </w:r>
          </w:p>
        </w:tc>
        <w:tc>
          <w:tcPr>
            <w:tcW w:w="6240" w:type="dxa"/>
            <w:vAlign w:val="center"/>
          </w:tcPr>
          <w:p>
            <w:pPr>
              <w:pStyle w:val="45"/>
              <w:spacing w:before="114" w:line="242" w:lineRule="auto"/>
              <w:ind w:left="14" w:right="4"/>
              <w:jc w:val="both"/>
              <w:rPr>
                <w:rFonts w:ascii="仿宋" w:hAnsi="仿宋" w:eastAsia="仿宋"/>
                <w:spacing w:val="-11"/>
                <w:sz w:val="24"/>
                <w:szCs w:val="24"/>
                <w:lang w:eastAsia="zh-CN"/>
              </w:rPr>
            </w:pPr>
            <w:r>
              <w:rPr>
                <w:rFonts w:ascii="仿宋" w:hAnsi="仿宋" w:eastAsia="仿宋"/>
                <w:spacing w:val="-1"/>
                <w:sz w:val="24"/>
                <w:szCs w:val="24"/>
                <w:lang w:eastAsia="zh-CN"/>
              </w:rPr>
              <w:t>能够与观众积极互动，活跃直播间气氛</w:t>
            </w:r>
            <w:r>
              <w:rPr>
                <w:rFonts w:hint="eastAsia" w:ascii="仿宋" w:hAnsi="仿宋" w:eastAsia="仿宋"/>
                <w:spacing w:val="-1"/>
                <w:sz w:val="24"/>
                <w:szCs w:val="24"/>
                <w:lang w:eastAsia="zh-CN"/>
              </w:rPr>
              <w:t>，</w:t>
            </w:r>
            <w:r>
              <w:rPr>
                <w:rFonts w:ascii="仿宋" w:hAnsi="仿宋" w:eastAsia="仿宋"/>
                <w:spacing w:val="-1"/>
                <w:sz w:val="24"/>
                <w:szCs w:val="24"/>
                <w:lang w:eastAsia="zh-CN"/>
              </w:rPr>
              <w:t>做好控场、</w:t>
            </w:r>
            <w:r>
              <w:rPr>
                <w:rFonts w:ascii="仿宋" w:hAnsi="仿宋" w:eastAsia="仿宋"/>
                <w:sz w:val="24"/>
                <w:szCs w:val="24"/>
                <w:lang w:eastAsia="zh-CN"/>
              </w:rPr>
              <w:t>突发事件处理和客户维护</w:t>
            </w:r>
          </w:p>
        </w:tc>
        <w:tc>
          <w:tcPr>
            <w:tcW w:w="810" w:type="dxa"/>
            <w:vAlign w:val="center"/>
          </w:tcPr>
          <w:p>
            <w:pPr>
              <w:pStyle w:val="45"/>
              <w:spacing w:before="3"/>
              <w:jc w:val="center"/>
              <w:rPr>
                <w:rFonts w:ascii="仿宋" w:hAnsi="仿宋" w:eastAsia="仿宋"/>
                <w:b/>
                <w:sz w:val="24"/>
                <w:szCs w:val="24"/>
                <w:lang w:eastAsia="zh-CN"/>
              </w:rPr>
            </w:pPr>
            <w:r>
              <w:rPr>
                <w:rFonts w:hint="eastAsia" w:ascii="仿宋" w:hAnsi="仿宋" w:eastAsia="仿宋"/>
                <w:sz w:val="24"/>
                <w:szCs w:val="24"/>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5</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产品知识</w:t>
            </w:r>
          </w:p>
        </w:tc>
        <w:tc>
          <w:tcPr>
            <w:tcW w:w="6240" w:type="dxa"/>
            <w:vAlign w:val="center"/>
          </w:tcPr>
          <w:p>
            <w:pPr>
              <w:pStyle w:val="45"/>
              <w:jc w:val="both"/>
              <w:rPr>
                <w:rFonts w:ascii="仿宋" w:hAnsi="仿宋" w:eastAsia="仿宋"/>
                <w:spacing w:val="-11"/>
                <w:sz w:val="24"/>
                <w:szCs w:val="24"/>
                <w:lang w:eastAsia="zh-CN"/>
              </w:rPr>
            </w:pPr>
            <w:r>
              <w:rPr>
                <w:rFonts w:ascii="仿宋" w:hAnsi="仿宋" w:eastAsia="仿宋"/>
                <w:spacing w:val="-1"/>
                <w:sz w:val="24"/>
                <w:szCs w:val="24"/>
                <w:lang w:eastAsia="zh-CN"/>
              </w:rPr>
              <w:t>能够对产品进行专业化描述，</w:t>
            </w:r>
            <w:r>
              <w:rPr>
                <w:rFonts w:hint="eastAsia" w:ascii="仿宋" w:hAnsi="仿宋" w:eastAsia="仿宋"/>
                <w:spacing w:val="-1"/>
                <w:sz w:val="24"/>
                <w:szCs w:val="24"/>
                <w:lang w:eastAsia="zh-CN"/>
              </w:rPr>
              <w:t>能够准确传递产品卖点</w:t>
            </w:r>
            <w:r>
              <w:rPr>
                <w:rFonts w:ascii="仿宋" w:hAnsi="仿宋" w:eastAsia="仿宋"/>
                <w:spacing w:val="-1"/>
                <w:sz w:val="24"/>
                <w:szCs w:val="24"/>
                <w:lang w:eastAsia="zh-CN"/>
              </w:rPr>
              <w:t>，</w:t>
            </w:r>
            <w:r>
              <w:rPr>
                <w:rFonts w:ascii="仿宋" w:hAnsi="仿宋" w:eastAsia="仿宋"/>
                <w:spacing w:val="-117"/>
                <w:sz w:val="24"/>
                <w:szCs w:val="24"/>
                <w:lang w:eastAsia="zh-CN"/>
              </w:rPr>
              <w:t xml:space="preserve"> </w:t>
            </w:r>
            <w:r>
              <w:rPr>
                <w:rFonts w:ascii="仿宋" w:hAnsi="仿宋" w:eastAsia="仿宋"/>
                <w:sz w:val="24"/>
                <w:szCs w:val="24"/>
                <w:lang w:eastAsia="zh-CN"/>
              </w:rPr>
              <w:t>可以及时回答观众对于产品的问题</w:t>
            </w:r>
          </w:p>
        </w:tc>
        <w:tc>
          <w:tcPr>
            <w:tcW w:w="810" w:type="dxa"/>
            <w:vAlign w:val="center"/>
          </w:tcPr>
          <w:p>
            <w:pPr>
              <w:pStyle w:val="45"/>
              <w:spacing w:before="3"/>
              <w:jc w:val="center"/>
              <w:rPr>
                <w:rFonts w:ascii="仿宋" w:hAnsi="仿宋" w:eastAsia="仿宋"/>
                <w:b/>
                <w:sz w:val="24"/>
                <w:szCs w:val="24"/>
                <w:lang w:eastAsia="zh-CN"/>
              </w:rPr>
            </w:pPr>
            <w:r>
              <w:rPr>
                <w:rFonts w:hint="eastAsia" w:ascii="仿宋" w:hAnsi="仿宋" w:eastAsia="仿宋"/>
                <w:sz w:val="24"/>
                <w:szCs w:val="24"/>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6</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团队合作</w:t>
            </w:r>
          </w:p>
        </w:tc>
        <w:tc>
          <w:tcPr>
            <w:tcW w:w="6240" w:type="dxa"/>
            <w:vAlign w:val="center"/>
          </w:tcPr>
          <w:p>
            <w:pPr>
              <w:pStyle w:val="45"/>
              <w:spacing w:before="114" w:line="242" w:lineRule="auto"/>
              <w:ind w:left="14" w:right="4"/>
              <w:jc w:val="both"/>
              <w:rPr>
                <w:rFonts w:ascii="仿宋" w:hAnsi="仿宋" w:eastAsia="仿宋"/>
                <w:spacing w:val="-11"/>
                <w:sz w:val="24"/>
                <w:szCs w:val="24"/>
                <w:lang w:eastAsia="zh-CN"/>
              </w:rPr>
            </w:pPr>
            <w:r>
              <w:rPr>
                <w:rFonts w:ascii="仿宋" w:hAnsi="仿宋" w:eastAsia="仿宋"/>
                <w:sz w:val="24"/>
                <w:szCs w:val="24"/>
                <w:lang w:eastAsia="zh-CN"/>
              </w:rPr>
              <w:t>合理进行分工，明确各成员角色分配，配合默契</w:t>
            </w:r>
          </w:p>
        </w:tc>
        <w:tc>
          <w:tcPr>
            <w:tcW w:w="810" w:type="dxa"/>
            <w:vAlign w:val="center"/>
          </w:tcPr>
          <w:p>
            <w:pPr>
              <w:pStyle w:val="45"/>
              <w:spacing w:before="3"/>
              <w:jc w:val="center"/>
              <w:rPr>
                <w:rFonts w:ascii="仿宋" w:hAnsi="仿宋" w:eastAsia="仿宋"/>
                <w:b/>
                <w:sz w:val="24"/>
                <w:szCs w:val="24"/>
                <w:lang w:eastAsia="zh-CN"/>
              </w:rPr>
            </w:pPr>
            <w:r>
              <w:rPr>
                <w:rFonts w:ascii="仿宋" w:hAnsi="仿宋" w:eastAsia="仿宋"/>
                <w:sz w:val="24"/>
                <w:szCs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exact"/>
          <w:jc w:val="center"/>
        </w:trPr>
        <w:tc>
          <w:tcPr>
            <w:tcW w:w="8576" w:type="dxa"/>
            <w:gridSpan w:val="3"/>
            <w:vAlign w:val="center"/>
          </w:tcPr>
          <w:p>
            <w:pPr>
              <w:pStyle w:val="45"/>
              <w:spacing w:before="114" w:line="242" w:lineRule="auto"/>
              <w:ind w:left="14" w:right="4"/>
              <w:jc w:val="center"/>
              <w:rPr>
                <w:rFonts w:ascii="仿宋" w:hAnsi="仿宋" w:eastAsia="仿宋"/>
                <w:sz w:val="24"/>
                <w:szCs w:val="24"/>
                <w:lang w:eastAsia="en-US"/>
              </w:rPr>
            </w:pPr>
            <w:r>
              <w:rPr>
                <w:rFonts w:hint="eastAsia" w:ascii="仿宋" w:hAnsi="仿宋" w:eastAsia="仿宋"/>
                <w:sz w:val="24"/>
                <w:szCs w:val="24"/>
                <w:lang w:eastAsia="en-US"/>
              </w:rPr>
              <w:t>总分</w:t>
            </w:r>
          </w:p>
        </w:tc>
        <w:tc>
          <w:tcPr>
            <w:tcW w:w="810" w:type="dxa"/>
            <w:vAlign w:val="center"/>
          </w:tcPr>
          <w:p>
            <w:pPr>
              <w:pStyle w:val="45"/>
              <w:spacing w:before="3"/>
              <w:jc w:val="center"/>
              <w:rPr>
                <w:rFonts w:ascii="仿宋" w:hAnsi="仿宋" w:eastAsia="仿宋"/>
                <w:sz w:val="24"/>
                <w:szCs w:val="24"/>
                <w:lang w:eastAsia="zh-CN"/>
              </w:rPr>
            </w:pPr>
            <w:r>
              <w:rPr>
                <w:rFonts w:hint="eastAsia" w:ascii="仿宋" w:hAnsi="仿宋" w:eastAsia="仿宋"/>
                <w:sz w:val="24"/>
                <w:szCs w:val="24"/>
                <w:lang w:eastAsia="zh-CN"/>
              </w:rPr>
              <w:t>30</w:t>
            </w:r>
          </w:p>
        </w:tc>
      </w:tr>
    </w:tbl>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十二、奖项设置</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大赛设参赛队团体奖和优秀辅导教师奖。</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1" w:name="_Toc17546"/>
      <w:bookmarkStart w:id="2" w:name="_Toc17053"/>
      <w:bookmarkStart w:id="3" w:name="_Toc58257794"/>
      <w:bookmarkStart w:id="4" w:name="_Toc1014"/>
      <w:bookmarkStart w:id="5" w:name="_Toc58258039"/>
      <w:bookmarkStart w:id="6" w:name="_Toc1775"/>
      <w:bookmarkStart w:id="7" w:name="_Toc15878"/>
      <w:bookmarkStart w:id="8" w:name="_Toc19099"/>
      <w:bookmarkStart w:id="9" w:name="_Toc14902"/>
      <w:bookmarkStart w:id="10" w:name="_Toc31422"/>
      <w:bookmarkStart w:id="11" w:name="_Toc11146"/>
      <w:bookmarkStart w:id="12" w:name="_Toc22043"/>
      <w:bookmarkStart w:id="13" w:name="_Toc29225"/>
      <w:bookmarkStart w:id="14" w:name="_Toc58260786"/>
      <w:bookmarkStart w:id="15" w:name="_Toc12959"/>
      <w:r>
        <w:rPr>
          <w:rFonts w:hint="eastAsia" w:ascii="楷体_GB2312" w:hAnsi="楷体_GB2312" w:eastAsia="楷体_GB2312" w:cs="楷体_GB2312"/>
          <w:sz w:val="30"/>
          <w:szCs w:val="30"/>
          <w:lang w:val="en-US"/>
        </w:rPr>
        <w:t>（一）参赛选手团队奖</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按团体设一、二、三等奖。其中一等奖为参赛队总数的15%，二等奖为参赛队总数的25%，三等奖为参赛队总数的30%（小数点后保留两位，第三位四舍五入，若出现成绩相同情况，可追溯到小数点后第三位）。</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16" w:name="_Toc20558"/>
      <w:bookmarkStart w:id="17" w:name="_Toc15742"/>
      <w:bookmarkStart w:id="18" w:name="_Toc58257795"/>
      <w:bookmarkStart w:id="19" w:name="_Toc4081"/>
      <w:bookmarkStart w:id="20" w:name="_Toc58260787"/>
      <w:bookmarkStart w:id="21" w:name="_Toc6204"/>
      <w:bookmarkStart w:id="22" w:name="_Toc8009"/>
      <w:bookmarkStart w:id="23" w:name="_Toc58258040"/>
      <w:bookmarkStart w:id="24" w:name="_Toc12962"/>
      <w:bookmarkStart w:id="25" w:name="_Toc19836"/>
      <w:bookmarkStart w:id="26" w:name="_Toc4247"/>
      <w:bookmarkStart w:id="27" w:name="_Toc32433"/>
      <w:bookmarkStart w:id="28" w:name="_Toc22108"/>
      <w:bookmarkStart w:id="29" w:name="_Toc10433"/>
      <w:bookmarkStart w:id="30" w:name="_Toc30131"/>
      <w:r>
        <w:rPr>
          <w:rFonts w:hint="eastAsia" w:ascii="楷体_GB2312" w:hAnsi="楷体_GB2312" w:eastAsia="楷体_GB2312" w:cs="楷体_GB2312"/>
          <w:sz w:val="30"/>
          <w:szCs w:val="30"/>
          <w:lang w:val="en-US"/>
        </w:rPr>
        <w:t>（二）优秀指导教师奖</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对在竞赛中获得一、二、三等奖学生的辅导教师，颁发优秀辅导教师奖。</w:t>
      </w:r>
    </w:p>
    <w:p>
      <w:pPr>
        <w:pStyle w:val="46"/>
        <w:keepNext w:val="0"/>
        <w:keepLines w:val="0"/>
        <w:pageBreakBefore w:val="0"/>
        <w:widowControl w:val="0"/>
        <w:kinsoku/>
        <w:wordWrap/>
        <w:overflowPunct/>
        <w:topLinePunct w:val="0"/>
        <w:bidi w:val="0"/>
        <w:adjustRightInd/>
        <w:snapToGrid/>
        <w:spacing w:before="0" w:after="0" w:line="240" w:lineRule="auto"/>
        <w:ind w:firstLine="600" w:firstLineChars="200"/>
        <w:textAlignment w:val="auto"/>
        <w:rPr>
          <w:rFonts w:ascii="黑体" w:hAnsi="黑体" w:eastAsia="黑体" w:cs="黑体"/>
          <w:b w:val="0"/>
          <w:color w:val="000000"/>
          <w:kern w:val="2"/>
          <w:sz w:val="30"/>
          <w:szCs w:val="30"/>
        </w:rPr>
      </w:pPr>
      <w:bookmarkStart w:id="31" w:name="_Toc19191"/>
      <w:bookmarkStart w:id="32" w:name="_Toc22289"/>
      <w:bookmarkStart w:id="33" w:name="_Toc13187"/>
      <w:bookmarkStart w:id="34" w:name="_Toc58260789"/>
      <w:bookmarkStart w:id="35" w:name="_Toc19934"/>
      <w:bookmarkStart w:id="36" w:name="_Toc23808"/>
      <w:bookmarkStart w:id="37" w:name="_Toc58258042"/>
      <w:bookmarkStart w:id="38" w:name="_Toc14325"/>
      <w:bookmarkStart w:id="39" w:name="_Toc9710"/>
      <w:bookmarkStart w:id="40" w:name="_Toc30473"/>
      <w:bookmarkStart w:id="41" w:name="_Toc58257797"/>
      <w:bookmarkStart w:id="42" w:name="_Toc13717"/>
      <w:bookmarkStart w:id="43" w:name="_Toc5266"/>
      <w:bookmarkStart w:id="44" w:name="_Toc16616"/>
      <w:bookmarkStart w:id="45" w:name="_Toc6164"/>
      <w:r>
        <w:rPr>
          <w:rFonts w:hint="eastAsia" w:ascii="黑体" w:hAnsi="黑体" w:eastAsia="黑体" w:cs="黑体"/>
          <w:b w:val="0"/>
          <w:color w:val="000000"/>
          <w:kern w:val="2"/>
          <w:sz w:val="30"/>
          <w:szCs w:val="30"/>
        </w:rPr>
        <w:t>十三、赛场预案</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（一）赛场出现断电情况的处理</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如果赛场出现断电情况，可能影响该赛场队员进入赛场、下载试题、登录竞赛页面和正常答题。</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如果竞赛开始前或竞赛过程中赛场出现断电情况，原则上应当在30分钟内解决，并按照有关规定或指令给予补时；如果30分钟内无法解决，可宣布该赛场停止竞赛。</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46" w:name="_Toc22348"/>
      <w:bookmarkStart w:id="47" w:name="_Toc20998"/>
      <w:bookmarkStart w:id="48" w:name="_Toc19562"/>
      <w:bookmarkStart w:id="49" w:name="_Toc14935"/>
      <w:bookmarkStart w:id="50" w:name="_Toc29992"/>
      <w:bookmarkStart w:id="51" w:name="_Toc3514"/>
      <w:bookmarkStart w:id="52" w:name="_Toc58260790"/>
      <w:bookmarkStart w:id="53" w:name="_Toc4331"/>
      <w:bookmarkStart w:id="54" w:name="_Toc32328"/>
      <w:bookmarkStart w:id="55" w:name="_Toc58257798"/>
      <w:bookmarkStart w:id="56" w:name="_Toc16365"/>
      <w:bookmarkStart w:id="57" w:name="_Toc58258043"/>
      <w:bookmarkStart w:id="58" w:name="_Toc12870"/>
      <w:bookmarkStart w:id="59" w:name="_Toc24551"/>
      <w:bookmarkStart w:id="60" w:name="_Toc21702"/>
      <w:r>
        <w:rPr>
          <w:rFonts w:hint="eastAsia" w:ascii="楷体_GB2312" w:hAnsi="楷体_GB2312" w:eastAsia="楷体_GB2312" w:cs="楷体_GB2312"/>
          <w:sz w:val="30"/>
          <w:szCs w:val="30"/>
          <w:lang w:val="en-US"/>
        </w:rPr>
        <w:t>（二）网络出现故障情况的处理</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如果竞赛开始前赛场网络出现故障，技术支持人员应及时采取措施予以排除。原则上，如果故障在竞赛开始后30分钟内得到解决，竞赛将继续进行，竞赛时间相应延长；如果故障在竞赛开始后30分钟内无法得到解决，可宣布该赛场停止竞赛。</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61" w:name="_Toc27281"/>
      <w:bookmarkStart w:id="62" w:name="_Toc58257799"/>
      <w:bookmarkStart w:id="63" w:name="_Toc13937"/>
      <w:bookmarkStart w:id="64" w:name="_Toc27451"/>
      <w:bookmarkStart w:id="65" w:name="_Toc6734"/>
      <w:bookmarkStart w:id="66" w:name="_Toc14184"/>
      <w:bookmarkStart w:id="67" w:name="_Toc58260791"/>
      <w:bookmarkStart w:id="68" w:name="_Toc20553"/>
      <w:bookmarkStart w:id="69" w:name="_Toc9723"/>
      <w:bookmarkStart w:id="70" w:name="_Toc10766"/>
      <w:bookmarkStart w:id="71" w:name="_Toc30944"/>
      <w:bookmarkStart w:id="72" w:name="_Toc21379"/>
      <w:bookmarkStart w:id="73" w:name="_Toc58258044"/>
      <w:bookmarkStart w:id="74" w:name="_Toc20990"/>
      <w:bookmarkStart w:id="75" w:name="_Toc8306"/>
      <w:r>
        <w:rPr>
          <w:rFonts w:hint="eastAsia" w:ascii="楷体_GB2312" w:hAnsi="楷体_GB2312" w:eastAsia="楷体_GB2312" w:cs="楷体_GB2312"/>
          <w:sz w:val="30"/>
          <w:szCs w:val="30"/>
          <w:lang w:val="en-US"/>
        </w:rPr>
        <w:t>（三）竞赛机出现死机情况的处理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如果个别队员竞赛机出现死机情况，技术支持人员应及时采取措施排除故障，包括重新启动竞赛机、更换竞赛机等。如果重新启动竞赛机，竞赛结果将自动保存，不影响竞赛正常进行；如果更换竞赛机，竞赛结果也将自动保存。重新启动或更换竞赛机后，如果影响到竞赛时间，竞赛时间将相应延长。</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76" w:name="_Toc19287"/>
      <w:bookmarkStart w:id="77" w:name="_Toc19858"/>
      <w:bookmarkStart w:id="78" w:name="_Toc2476"/>
      <w:bookmarkStart w:id="79" w:name="_Toc58260792"/>
      <w:bookmarkStart w:id="80" w:name="_Toc11019"/>
      <w:bookmarkStart w:id="81" w:name="_Toc4503"/>
      <w:bookmarkStart w:id="82" w:name="_Toc29693"/>
      <w:bookmarkStart w:id="83" w:name="_Toc58257800"/>
      <w:bookmarkStart w:id="84" w:name="_Toc24566"/>
      <w:bookmarkStart w:id="85" w:name="_Toc16076"/>
      <w:bookmarkStart w:id="86" w:name="_Toc1650"/>
      <w:bookmarkStart w:id="87" w:name="_Toc58258045"/>
      <w:bookmarkStart w:id="88" w:name="_Toc11011"/>
      <w:bookmarkStart w:id="89" w:name="_Toc11681"/>
      <w:bookmarkStart w:id="90" w:name="_Toc25898"/>
      <w:r>
        <w:rPr>
          <w:rFonts w:hint="eastAsia" w:ascii="楷体_GB2312" w:hAnsi="楷体_GB2312" w:eastAsia="楷体_GB2312" w:cs="楷体_GB2312"/>
          <w:sz w:val="30"/>
          <w:szCs w:val="30"/>
          <w:lang w:val="en-US"/>
        </w:rPr>
        <w:t>（四）竞赛机出现配件或软件故障情况的处理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机配件主要是指键盘、鼠标等计算机配件。如果个别队员竞赛机配件出现故障，技术支持人员应及时采取措施予以排除，由巡考员更换键盘、鼠标等。排除故障期间，如果竞赛机继续计时，经批准后，队员可以获得相应补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竞赛机软件主要是指每位队员登录的操作界面、文字输入等使用的应用系统。如果个别队员竞赛机软件出现故障，技术支持人员应及时采取措施予以排除，包括调试系统、调出输入法等。排除故障期间，如果竞赛机继续计时，经批准后，队员可以获得相应补时。</w:t>
      </w:r>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楷体_GB2312" w:hAnsi="楷体_GB2312" w:eastAsia="楷体_GB2312" w:cs="楷体_GB2312"/>
          <w:sz w:val="30"/>
          <w:szCs w:val="30"/>
          <w:lang w:val="en-US"/>
        </w:rPr>
      </w:pPr>
      <w:bookmarkStart w:id="91" w:name="_Toc30047"/>
      <w:bookmarkStart w:id="92" w:name="_Toc11458"/>
      <w:bookmarkStart w:id="93" w:name="_Toc58257801"/>
      <w:bookmarkStart w:id="94" w:name="_Toc4354"/>
      <w:bookmarkStart w:id="95" w:name="_Toc32016"/>
      <w:bookmarkStart w:id="96" w:name="_Toc58260793"/>
      <w:bookmarkStart w:id="97" w:name="_Toc28445"/>
      <w:bookmarkStart w:id="98" w:name="_Toc7698"/>
      <w:bookmarkStart w:id="99" w:name="_Toc19955"/>
      <w:bookmarkStart w:id="100" w:name="_Toc4750"/>
      <w:bookmarkStart w:id="101" w:name="_Toc22065"/>
      <w:bookmarkStart w:id="102" w:name="_Toc19081"/>
      <w:bookmarkStart w:id="103" w:name="_Toc58258046"/>
      <w:bookmarkStart w:id="104" w:name="_Toc15457"/>
      <w:bookmarkStart w:id="105" w:name="_Toc25330"/>
      <w:r>
        <w:rPr>
          <w:rFonts w:hint="eastAsia" w:ascii="楷体_GB2312" w:hAnsi="楷体_GB2312" w:eastAsia="楷体_GB2312" w:cs="楷体_GB2312"/>
          <w:sz w:val="30"/>
          <w:szCs w:val="30"/>
          <w:lang w:val="en-US"/>
        </w:rPr>
        <w:t>（五）故障发生时的处理程序</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7"/>
        <w:keepNext w:val="0"/>
        <w:keepLines w:val="0"/>
        <w:pageBreakBefore w:val="0"/>
        <w:widowControl w:val="0"/>
        <w:kinsoku/>
        <w:wordWrap/>
        <w:overflowPunct/>
        <w:topLinePunct w:val="0"/>
        <w:bidi w:val="0"/>
        <w:adjustRightInd/>
        <w:snapToGrid/>
        <w:spacing w:line="240" w:lineRule="auto"/>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故障发生时，队员应当及时向监考人员提出，服从监考人员安排，耐心等待技术支持人员进行解决。比赛期间发生意外事故，发现者应第一时间报告组委会，同时采取措施避免事态扩大。</w:t>
      </w:r>
      <w:bookmarkStart w:id="106" w:name="_Toc24902"/>
      <w:bookmarkStart w:id="107" w:name="_Toc16100"/>
      <w:bookmarkStart w:id="108" w:name="_Toc14019"/>
      <w:bookmarkStart w:id="109" w:name="_Toc2585"/>
      <w:bookmarkStart w:id="110" w:name="_Toc32528"/>
      <w:bookmarkStart w:id="111" w:name="_Toc110"/>
      <w:bookmarkStart w:id="112" w:name="_Toc58260794"/>
      <w:bookmarkStart w:id="113" w:name="_Toc31475"/>
      <w:bookmarkStart w:id="114" w:name="_Toc58258047"/>
      <w:bookmarkStart w:id="115" w:name="_Toc9322"/>
      <w:bookmarkStart w:id="116" w:name="_Toc22572"/>
      <w:bookmarkStart w:id="117" w:name="_Toc58257802"/>
      <w:bookmarkStart w:id="118" w:name="_Toc22419"/>
      <w:bookmarkStart w:id="119" w:name="_Toc14657"/>
      <w:bookmarkStart w:id="120" w:name="_Toc20630"/>
    </w:p>
    <w:p>
      <w:pPr>
        <w:pStyle w:val="7"/>
        <w:keepNext w:val="0"/>
        <w:keepLines w:val="0"/>
        <w:pageBreakBefore w:val="0"/>
        <w:widowControl w:val="0"/>
        <w:kinsoku/>
        <w:wordWrap/>
        <w:overflowPunct/>
        <w:topLinePunct w:val="0"/>
        <w:autoSpaceDE w:val="0"/>
        <w:autoSpaceDN w:val="0"/>
        <w:bidi w:val="0"/>
        <w:adjustRightInd/>
        <w:snapToGrid/>
        <w:ind w:firstLine="600" w:firstLineChars="200"/>
        <w:textAlignment w:val="auto"/>
        <w:outlineLvl w:val="9"/>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（六）比赛场地预备适量机位作为备用</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46"/>
        <w:keepNext w:val="0"/>
        <w:keepLines w:val="0"/>
        <w:pageBreakBefore w:val="0"/>
        <w:widowControl w:val="0"/>
        <w:kinsoku/>
        <w:wordWrap/>
        <w:overflowPunct/>
        <w:topLinePunct w:val="0"/>
        <w:autoSpaceDE/>
        <w:autoSpaceDN/>
        <w:bidi w:val="0"/>
        <w:adjustRightInd/>
        <w:snapToGrid/>
        <w:spacing w:before="0" w:after="0" w:line="240" w:lineRule="auto"/>
        <w:ind w:firstLine="600" w:firstLineChars="200"/>
        <w:textAlignment w:val="auto"/>
        <w:outlineLvl w:val="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十四、安全须知</w:t>
      </w:r>
    </w:p>
    <w:p>
      <w:pPr>
        <w:pStyle w:val="7"/>
        <w:keepNext w:val="0"/>
        <w:keepLines w:val="0"/>
        <w:pageBreakBefore w:val="0"/>
        <w:widowControl w:val="0"/>
        <w:kinsoku/>
        <w:wordWrap/>
        <w:overflowPunct/>
        <w:topLinePunct w:val="0"/>
        <w:bidi w:val="0"/>
        <w:adjustRightInd/>
        <w:snapToGrid/>
        <w:ind w:firstLine="600" w:firstLineChars="200"/>
        <w:textAlignment w:val="auto"/>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赛事安全是技能竞赛一切工作顺利开展的先决条件，是赛事筹备和运行工作必须考虑的核心问题。赛项组委会采取切实有效措施保证大赛期间参赛选手、指导教师、工作人员的人身安全。</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（一）健康管理</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1.所有参赛人员在比赛期间做好个人防护，在途中和密闭公共场所应科学合理佩戴口罩，所有纳入竞赛健康管理人员的体温若超过37.3℃，一律不得进入比赛区域。</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14天内有国内中高风险等疫情重点地区旅居史和接触史的。</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（二）赛场要求</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1.赛场周围设立警戒线，防止无关人员进入发生意外事件。比赛现场内参照相关职业岗位的要求为选手提供必要的劳动保护。</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2.竞赛场内保持安静，不得说笑打逗，参赛人员要服从工作人员管理。</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3.竞赛场内严禁吸烟。</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（三）安全保卫</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为确保本次承办技能大赛的顺利进行，参赛人员须严格遵守以下安保规定：</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1.参赛车辆一律凭大赛组委会核发的证件出入校门，并按指定路线行驶，按指定地点停放。</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2.在竞赛开始前，参赛各队选手佩戴统一的入场证，由引导员引导到指定位置，不得随意走动。</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3.各类人员须严格遵守赛场规则，严禁携带与参赛无关的物品入场，包括液体饮料等。严禁携带易燃易爆等危险品入内。</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4.安保人员发现不安全隐患及时通报赛场负责人员。</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5.参赛人员退场后，需按原路线返回。如果出现安全问题，在安保人员指挥下，迅速按紧急疏散路线撤离现场。</w:t>
      </w:r>
    </w:p>
    <w:p>
      <w:pPr>
        <w:pStyle w:val="46"/>
        <w:keepNext w:val="0"/>
        <w:keepLines w:val="0"/>
        <w:widowControl w:val="0"/>
        <w:spacing w:before="0" w:after="0" w:line="600" w:lineRule="exact"/>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十五、竞赛须知</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（一）参赛队须知</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1.参赛队名称统一使用各学校代表队名称，不得使用其他组织或团体名称；不接受跨校组队报名。</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2.参赛队按照大赛赛程安排，凭大赛组委会颁发的参赛证和有效身份证件参加比赛及相关活动。</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（二）指导教师须知</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1.领队、指导教师须严格遵守赛场纪律，服从裁判，文明竞赛。</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2.竞赛期间，指导教师不得进入赛场内进行指导。</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3.正式报名的领队、指导教师原则上不得更换。</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4.竞赛期间各参赛队不得以任何形式向裁判透露参赛信息或沟通竞赛事宜，有关竞赛所有问题须由领队按规范要求向赛项组委会反映或协商。</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（三）参赛选手须知</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1.参赛选手应按有关要求如实填报个人信息，否则取消竞赛资格。</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2.参赛选手凭统一印制的参赛证、有效身份证件参加竞赛，并注意仪容仪表整洁、大方。</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3.参赛选手应认真学习领会本次竞赛相关文件，自觉遵守大赛纪律，服从指挥，听从安排，文明参赛。</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4.参赛选手应提前40分钟抵达赛场，凭参赛证、身份证件检录，按要求入场，不得迟到早退。</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5.参赛选手须在确认竞赛内容和现场设备等无误后开始竞赛。在竞赛过程中，如有疑问，参赛选手举手示意，项目裁判长应按照有关要求及时予以答疑，但选手不得对业务技能相关知识和操作询问裁判人员。如遇设备或软件等故障，参赛选手应举手示意。项目裁判长、技术人员等应及时予以解决。确因计算机软件或硬件故障，致使操作无法继续的，经项目裁判长确认，予以启用备用计算机。如遇身体不适，参赛选手应举手示意，现场医务人员按应急预案救治。</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6.各参赛选手必须按规范要求操作竞赛设备。一旦出现较严重的安全事故，经裁判长批准后将立即取消其参赛资格。</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7.竞赛时间终了，选手应全体起立，结束操作。经现场指挥人员发出指令后，方可离开赛场。</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8.在竞赛期间，未经组委会的批准，参赛选手不得接受其他单位和个人进行的与竞赛内容相关的采访。参赛选手不得将竞赛的相关信息私自公布。</w:t>
      </w:r>
    </w:p>
    <w:p>
      <w:pPr>
        <w:pStyle w:val="7"/>
        <w:ind w:firstLine="600" w:firstLineChars="200"/>
        <w:rPr>
          <w:rFonts w:hint="eastAsia" w:ascii="楷体_GB2312" w:hAnsi="楷体_GB2312" w:eastAsia="楷体_GB2312" w:cs="楷体_GB2312"/>
          <w:sz w:val="30"/>
          <w:szCs w:val="30"/>
          <w:lang w:val="en-US"/>
        </w:rPr>
      </w:pPr>
      <w:r>
        <w:rPr>
          <w:rFonts w:hint="eastAsia" w:ascii="楷体_GB2312" w:hAnsi="楷体_GB2312" w:eastAsia="楷体_GB2312" w:cs="楷体_GB2312"/>
          <w:sz w:val="30"/>
          <w:szCs w:val="30"/>
          <w:lang w:val="en-US"/>
        </w:rPr>
        <w:t>（四）工作人员须知</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1.大赛期间，工作人员应遵守赛场相关规定。新闻媒体等进入赛场必须经组委会允许，由专人陪同并且听从现场工作人员的安排和管理，不能影响比赛进行。</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2.在选手比赛时，工作人员及赛场所有人员必须保持安静，不得随意走动、喧哗、提示或出现对选手有影响的动作。除经特别允许，工作人员进入赛场后请关闭手机。</w:t>
      </w:r>
    </w:p>
    <w:p>
      <w:pPr>
        <w:pStyle w:val="7"/>
        <w:keepNext w:val="0"/>
        <w:keepLines w:val="0"/>
        <w:pageBreakBefore w:val="0"/>
        <w:widowControl w:val="0"/>
        <w:kinsoku/>
        <w:wordWrap/>
        <w:overflowPunct/>
        <w:topLinePunct w:val="0"/>
        <w:autoSpaceDE w:val="0"/>
        <w:autoSpaceDN w:val="0"/>
        <w:bidi w:val="0"/>
        <w:adjustRightInd/>
        <w:snapToGrid/>
        <w:ind w:firstLine="600" w:firstLineChars="200"/>
        <w:textAlignment w:val="auto"/>
        <w:outlineLvl w:val="9"/>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3.比赛期间，由赛项组委会负责处理突发事件，由仲裁组人员处理申诉事项，由监督人员对裁判人员和现场评分员进行监督，工作人员不得私自处理有关选手比赛成绩的相关事件。</w:t>
      </w:r>
    </w:p>
    <w:p>
      <w:pPr>
        <w:pStyle w:val="46"/>
        <w:keepNext w:val="0"/>
        <w:keepLines w:val="0"/>
        <w:widowControl w:val="0"/>
        <w:spacing w:before="0" w:after="0" w:line="600" w:lineRule="exact"/>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本赛项在比赛过程中若出现有失公正或有关人员违规等现象，代表队领队可在比赛结束后2小时之内向仲裁组提交纸质文字版申诉书。申诉书应对申诉事件的过程、发生时间、涉及人员、申诉依据、结果等进行充分、实事求是的叙述，并由领队亲笔签名。非纸质文字申诉不予受理。</w:t>
      </w:r>
    </w:p>
    <w:p>
      <w:pPr>
        <w:pStyle w:val="7"/>
        <w:ind w:firstLine="600" w:firstLineChars="20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赛项仲裁工作组在接到申诉后的2小时内组织复议，并及时反馈复议结果。赛项仲裁工作组仲裁结果为最终结果。</w:t>
      </w:r>
    </w:p>
    <w:p>
      <w:pPr>
        <w:pStyle w:val="7"/>
        <w:spacing w:line="460" w:lineRule="exact"/>
        <w:rPr>
          <w:rFonts w:ascii="仿宋" w:hAnsi="仿宋" w:eastAsia="仿宋" w:cs="Microsoft JhengHei"/>
          <w:b/>
          <w:bCs/>
          <w:sz w:val="28"/>
          <w:szCs w:val="28"/>
          <w:lang w:val="en-US"/>
        </w:rPr>
      </w:pPr>
    </w:p>
    <w:sectPr>
      <w:footerReference r:id="rId3" w:type="default"/>
      <w:pgSz w:w="11906" w:h="16838"/>
      <w:pgMar w:top="2098" w:right="1474" w:bottom="1984" w:left="1587"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16</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2D"/>
    <w:rsid w:val="000258B2"/>
    <w:rsid w:val="00061A11"/>
    <w:rsid w:val="000A29A7"/>
    <w:rsid w:val="000F2BD9"/>
    <w:rsid w:val="00137CAF"/>
    <w:rsid w:val="002047D8"/>
    <w:rsid w:val="00211A2D"/>
    <w:rsid w:val="002315B3"/>
    <w:rsid w:val="0024410F"/>
    <w:rsid w:val="00254461"/>
    <w:rsid w:val="002E1084"/>
    <w:rsid w:val="003332D2"/>
    <w:rsid w:val="003D6230"/>
    <w:rsid w:val="003D783B"/>
    <w:rsid w:val="004008E9"/>
    <w:rsid w:val="00437225"/>
    <w:rsid w:val="004868D0"/>
    <w:rsid w:val="004E4E1E"/>
    <w:rsid w:val="004F641E"/>
    <w:rsid w:val="00512282"/>
    <w:rsid w:val="00546F60"/>
    <w:rsid w:val="00556A3C"/>
    <w:rsid w:val="00557FE5"/>
    <w:rsid w:val="00596681"/>
    <w:rsid w:val="005B7730"/>
    <w:rsid w:val="005B7FFD"/>
    <w:rsid w:val="006143E5"/>
    <w:rsid w:val="00713B5F"/>
    <w:rsid w:val="00732C1F"/>
    <w:rsid w:val="007532B1"/>
    <w:rsid w:val="007D5C2D"/>
    <w:rsid w:val="0081009C"/>
    <w:rsid w:val="008511F1"/>
    <w:rsid w:val="00864A3F"/>
    <w:rsid w:val="00877953"/>
    <w:rsid w:val="008A1F6A"/>
    <w:rsid w:val="009432EB"/>
    <w:rsid w:val="00A05727"/>
    <w:rsid w:val="00A43457"/>
    <w:rsid w:val="00A4790B"/>
    <w:rsid w:val="00B36CFA"/>
    <w:rsid w:val="00B55091"/>
    <w:rsid w:val="00B81C2C"/>
    <w:rsid w:val="00B96C47"/>
    <w:rsid w:val="00BB274C"/>
    <w:rsid w:val="00BF0797"/>
    <w:rsid w:val="00C72412"/>
    <w:rsid w:val="00C931CC"/>
    <w:rsid w:val="00CD706D"/>
    <w:rsid w:val="00CE676D"/>
    <w:rsid w:val="00DD53C7"/>
    <w:rsid w:val="00DE4310"/>
    <w:rsid w:val="00E053CD"/>
    <w:rsid w:val="00E66BAA"/>
    <w:rsid w:val="00E87951"/>
    <w:rsid w:val="00EC7A63"/>
    <w:rsid w:val="00F1776F"/>
    <w:rsid w:val="00F33311"/>
    <w:rsid w:val="00F932F2"/>
    <w:rsid w:val="00FA010C"/>
    <w:rsid w:val="00FD75DB"/>
    <w:rsid w:val="012E59ED"/>
    <w:rsid w:val="0E9F4184"/>
    <w:rsid w:val="2C587520"/>
    <w:rsid w:val="3BB33F0F"/>
    <w:rsid w:val="52B73544"/>
    <w:rsid w:val="59EB1CF9"/>
    <w:rsid w:val="6BC73E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6"/>
    <w:qFormat/>
    <w:uiPriority w:val="0"/>
    <w:rPr>
      <w:b/>
      <w:bCs/>
    </w:rPr>
  </w:style>
  <w:style w:type="paragraph" w:styleId="6">
    <w:name w:val="annotation text"/>
    <w:basedOn w:val="1"/>
    <w:link w:val="27"/>
    <w:qFormat/>
    <w:uiPriority w:val="99"/>
    <w:pPr>
      <w:jc w:val="left"/>
    </w:pPr>
  </w:style>
  <w:style w:type="paragraph" w:styleId="7">
    <w:name w:val="Body Text"/>
    <w:basedOn w:val="1"/>
    <w:link w:val="29"/>
    <w:qFormat/>
    <w:uiPriority w:val="1"/>
    <w:pPr>
      <w:autoSpaceDE w:val="0"/>
      <w:autoSpaceDN w:val="0"/>
      <w:jc w:val="left"/>
    </w:pPr>
    <w:rPr>
      <w:rFonts w:ascii="宋体" w:hAnsi="宋体" w:cs="宋体"/>
      <w:kern w:val="0"/>
      <w:sz w:val="32"/>
      <w:szCs w:val="32"/>
      <w:lang w:val="zh-CN" w:bidi="zh-CN"/>
    </w:rPr>
  </w:style>
  <w:style w:type="paragraph" w:styleId="8">
    <w:name w:val="toc 3"/>
    <w:basedOn w:val="1"/>
    <w:next w:val="1"/>
    <w:qFormat/>
    <w:uiPriority w:val="39"/>
    <w:pPr>
      <w:widowControl/>
      <w:spacing w:after="100" w:line="276" w:lineRule="auto"/>
      <w:ind w:left="440"/>
      <w:jc w:val="left"/>
    </w:pPr>
    <w:rPr>
      <w:kern w:val="0"/>
      <w:sz w:val="22"/>
    </w:rPr>
  </w:style>
  <w:style w:type="paragraph" w:styleId="9">
    <w:name w:val="Balloon Text"/>
    <w:basedOn w:val="1"/>
    <w:link w:val="28"/>
    <w:qFormat/>
    <w:uiPriority w:val="0"/>
    <w:rPr>
      <w:sz w:val="18"/>
      <w:szCs w:val="18"/>
    </w:rPr>
  </w:style>
  <w:style w:type="paragraph" w:styleId="10">
    <w:name w:val="footer"/>
    <w:basedOn w:val="1"/>
    <w:link w:val="36"/>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widowControl/>
      <w:tabs>
        <w:tab w:val="right" w:leader="dot" w:pos="8296"/>
      </w:tabs>
      <w:spacing w:line="360" w:lineRule="auto"/>
      <w:jc w:val="left"/>
    </w:pPr>
    <w:rPr>
      <w:kern w:val="0"/>
      <w:sz w:val="22"/>
    </w:rPr>
  </w:style>
  <w:style w:type="paragraph" w:styleId="13">
    <w:name w:val="footnote text"/>
    <w:basedOn w:val="1"/>
    <w:qFormat/>
    <w:uiPriority w:val="0"/>
    <w:pPr>
      <w:snapToGrid w:val="0"/>
      <w:jc w:val="left"/>
    </w:pPr>
    <w:rPr>
      <w:kern w:val="0"/>
      <w:sz w:val="18"/>
      <w:szCs w:val="18"/>
    </w:rPr>
  </w:style>
  <w:style w:type="paragraph" w:styleId="14">
    <w:name w:val="toc 2"/>
    <w:basedOn w:val="1"/>
    <w:next w:val="1"/>
    <w:qFormat/>
    <w:uiPriority w:val="39"/>
    <w:pPr>
      <w:widowControl/>
      <w:spacing w:after="100" w:line="276" w:lineRule="auto"/>
      <w:ind w:left="220"/>
      <w:jc w:val="left"/>
    </w:pPr>
    <w:rPr>
      <w:kern w:val="0"/>
      <w:sz w:val="22"/>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basedOn w:val="1"/>
    <w:next w:val="1"/>
    <w:link w:val="37"/>
    <w:qFormat/>
    <w:uiPriority w:val="0"/>
    <w:pPr>
      <w:spacing w:before="240" w:after="60"/>
      <w:jc w:val="center"/>
      <w:outlineLvl w:val="0"/>
    </w:pPr>
    <w:rPr>
      <w:rFonts w:ascii="Cambria" w:hAnsi="Cambria"/>
      <w:b/>
      <w:bCs/>
      <w:sz w:val="32"/>
      <w:szCs w:val="32"/>
    </w:rPr>
  </w:style>
  <w:style w:type="character" w:styleId="18">
    <w:name w:val="Strong"/>
    <w:qFormat/>
    <w:uiPriority w:val="0"/>
    <w:rPr>
      <w:b/>
    </w:rPr>
  </w:style>
  <w:style w:type="character" w:styleId="19">
    <w:name w:val="Hyperlink"/>
    <w:qFormat/>
    <w:uiPriority w:val="99"/>
    <w:rPr>
      <w:color w:val="0000FF"/>
      <w:u w:val="single"/>
    </w:rPr>
  </w:style>
  <w:style w:type="character" w:styleId="20">
    <w:name w:val="annotation reference"/>
    <w:qFormat/>
    <w:uiPriority w:val="0"/>
    <w:rPr>
      <w:sz w:val="21"/>
      <w:szCs w:val="21"/>
    </w:rPr>
  </w:style>
  <w:style w:type="character" w:styleId="21">
    <w:name w:val="footnote reference"/>
    <w:qFormat/>
    <w:uiPriority w:val="0"/>
    <w:rPr>
      <w:rFonts w:cs="Times New Roman"/>
      <w:vertAlign w:val="superscript"/>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批注文字 字符1"/>
    <w:qFormat/>
    <w:uiPriority w:val="99"/>
    <w:rPr>
      <w:rFonts w:ascii="Times New Roman" w:hAnsi="Times New Roman" w:cs="Times New Roman"/>
      <w:sz w:val="24"/>
      <w:szCs w:val="24"/>
    </w:rPr>
  </w:style>
  <w:style w:type="character" w:customStyle="1" w:styleId="25">
    <w:name w:val="标题 3 Char"/>
    <w:link w:val="4"/>
    <w:qFormat/>
    <w:uiPriority w:val="0"/>
    <w:rPr>
      <w:rFonts w:ascii="Calibri" w:hAnsi="Calibri"/>
      <w:b/>
      <w:bCs/>
      <w:kern w:val="2"/>
      <w:sz w:val="32"/>
      <w:szCs w:val="32"/>
    </w:rPr>
  </w:style>
  <w:style w:type="character" w:customStyle="1" w:styleId="26">
    <w:name w:val="批注主题 Char"/>
    <w:link w:val="5"/>
    <w:qFormat/>
    <w:uiPriority w:val="0"/>
    <w:rPr>
      <w:rFonts w:ascii="Calibri" w:hAnsi="Calibri"/>
      <w:b/>
      <w:bCs/>
      <w:kern w:val="2"/>
      <w:sz w:val="21"/>
      <w:szCs w:val="22"/>
    </w:rPr>
  </w:style>
  <w:style w:type="character" w:customStyle="1" w:styleId="27">
    <w:name w:val="批注文字 Char"/>
    <w:link w:val="6"/>
    <w:qFormat/>
    <w:uiPriority w:val="0"/>
    <w:rPr>
      <w:rFonts w:ascii="Calibri" w:hAnsi="Calibri"/>
      <w:kern w:val="2"/>
      <w:sz w:val="21"/>
      <w:szCs w:val="22"/>
    </w:rPr>
  </w:style>
  <w:style w:type="character" w:customStyle="1" w:styleId="28">
    <w:name w:val="批注框文本 Char"/>
    <w:link w:val="9"/>
    <w:qFormat/>
    <w:uiPriority w:val="0"/>
    <w:rPr>
      <w:rFonts w:ascii="Calibri" w:hAnsi="Calibri"/>
      <w:kern w:val="2"/>
      <w:sz w:val="18"/>
      <w:szCs w:val="18"/>
    </w:rPr>
  </w:style>
  <w:style w:type="character" w:customStyle="1" w:styleId="29">
    <w:name w:val="正文文本 Char"/>
    <w:link w:val="7"/>
    <w:qFormat/>
    <w:uiPriority w:val="1"/>
    <w:rPr>
      <w:rFonts w:ascii="宋体" w:hAnsi="宋体" w:cs="宋体"/>
      <w:sz w:val="32"/>
      <w:szCs w:val="32"/>
      <w:lang w:val="zh-CN" w:bidi="zh-CN"/>
    </w:rPr>
  </w:style>
  <w:style w:type="character" w:customStyle="1" w:styleId="30">
    <w:name w:val="正文文本_"/>
    <w:link w:val="31"/>
    <w:qFormat/>
    <w:uiPriority w:val="0"/>
    <w:rPr>
      <w:rFonts w:ascii="宋体" w:hAnsi="宋体" w:cs="宋体"/>
      <w:sz w:val="32"/>
      <w:szCs w:val="32"/>
    </w:rPr>
  </w:style>
  <w:style w:type="paragraph" w:customStyle="1" w:styleId="31">
    <w:name w:val="正文文本1"/>
    <w:basedOn w:val="1"/>
    <w:link w:val="30"/>
    <w:qFormat/>
    <w:uiPriority w:val="0"/>
    <w:pPr>
      <w:spacing w:line="396" w:lineRule="auto"/>
      <w:ind w:firstLine="400"/>
      <w:jc w:val="left"/>
    </w:pPr>
    <w:rPr>
      <w:rFonts w:ascii="宋体" w:hAnsi="宋体" w:cs="宋体"/>
      <w:kern w:val="0"/>
      <w:sz w:val="32"/>
      <w:szCs w:val="32"/>
    </w:rPr>
  </w:style>
  <w:style w:type="character" w:customStyle="1" w:styleId="32">
    <w:name w:val="标题 2 Char"/>
    <w:link w:val="3"/>
    <w:qFormat/>
    <w:uiPriority w:val="0"/>
    <w:rPr>
      <w:rFonts w:ascii="Cambria" w:hAnsi="Cambria"/>
      <w:b/>
      <w:bCs/>
      <w:kern w:val="2"/>
      <w:sz w:val="32"/>
      <w:szCs w:val="32"/>
    </w:rPr>
  </w:style>
  <w:style w:type="character" w:customStyle="1" w:styleId="33">
    <w:name w:val="标题 1 Char"/>
    <w:link w:val="2"/>
    <w:qFormat/>
    <w:uiPriority w:val="9"/>
    <w:rPr>
      <w:rFonts w:ascii="宋体" w:hAnsi="宋体" w:cs="宋体"/>
      <w:b/>
      <w:bCs/>
      <w:kern w:val="36"/>
      <w:sz w:val="48"/>
      <w:szCs w:val="48"/>
    </w:rPr>
  </w:style>
  <w:style w:type="character" w:customStyle="1" w:styleId="34">
    <w:name w:val="标题 #1_"/>
    <w:link w:val="35"/>
    <w:qFormat/>
    <w:uiPriority w:val="0"/>
    <w:rPr>
      <w:rFonts w:ascii="宋体" w:hAnsi="宋体" w:cs="宋体"/>
      <w:sz w:val="36"/>
      <w:szCs w:val="36"/>
    </w:rPr>
  </w:style>
  <w:style w:type="paragraph" w:customStyle="1" w:styleId="35">
    <w:name w:val="标题 #1"/>
    <w:basedOn w:val="1"/>
    <w:link w:val="34"/>
    <w:qFormat/>
    <w:uiPriority w:val="0"/>
    <w:pPr>
      <w:spacing w:before="90" w:after="200"/>
      <w:jc w:val="left"/>
      <w:outlineLvl w:val="0"/>
    </w:pPr>
    <w:rPr>
      <w:rFonts w:ascii="宋体" w:hAnsi="宋体" w:cs="宋体"/>
      <w:kern w:val="0"/>
      <w:sz w:val="36"/>
      <w:szCs w:val="36"/>
    </w:rPr>
  </w:style>
  <w:style w:type="character" w:customStyle="1" w:styleId="36">
    <w:name w:val="页脚 Char"/>
    <w:link w:val="10"/>
    <w:qFormat/>
    <w:uiPriority w:val="99"/>
    <w:rPr>
      <w:rFonts w:ascii="Calibri" w:hAnsi="Calibri"/>
      <w:kern w:val="2"/>
      <w:sz w:val="18"/>
      <w:szCs w:val="22"/>
    </w:rPr>
  </w:style>
  <w:style w:type="character" w:customStyle="1" w:styleId="37">
    <w:name w:val="标题 Char"/>
    <w:link w:val="16"/>
    <w:qFormat/>
    <w:uiPriority w:val="0"/>
    <w:rPr>
      <w:rFonts w:ascii="Cambria" w:hAnsi="Cambria" w:cs="Times New Roman"/>
      <w:b/>
      <w:bCs/>
      <w:kern w:val="2"/>
      <w:sz w:val="32"/>
      <w:szCs w:val="32"/>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9">
    <w:name w:val="List Paragraph"/>
    <w:basedOn w:val="1"/>
    <w:qFormat/>
    <w:uiPriority w:val="34"/>
    <w:pPr>
      <w:ind w:firstLine="420" w:firstLineChars="200"/>
    </w:pPr>
  </w:style>
  <w:style w:type="paragraph" w:customStyle="1" w:styleId="40">
    <w:name w:val="TOC 标题1"/>
    <w:basedOn w:val="2"/>
    <w:next w:val="1"/>
    <w:qFormat/>
    <w:uiPriority w:val="39"/>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41">
    <w:name w:val="fontstyle01"/>
    <w:qFormat/>
    <w:uiPriority w:val="0"/>
    <w:rPr>
      <w:rFonts w:hint="eastAsia" w:ascii="仿宋" w:hAnsi="仿宋" w:eastAsia="仿宋" w:cs="Times New Roman"/>
      <w:color w:val="000000"/>
      <w:sz w:val="30"/>
      <w:szCs w:val="30"/>
    </w:rPr>
  </w:style>
  <w:style w:type="character" w:customStyle="1" w:styleId="42">
    <w:name w:val="正文文本 (9)_"/>
    <w:link w:val="43"/>
    <w:qFormat/>
    <w:uiPriority w:val="99"/>
    <w:rPr>
      <w:rFonts w:ascii="微软雅黑" w:eastAsia="微软雅黑" w:cs="微软雅黑"/>
      <w:spacing w:val="30"/>
      <w:sz w:val="32"/>
      <w:szCs w:val="32"/>
      <w:shd w:val="clear" w:color="auto" w:fill="FFFFFF"/>
    </w:rPr>
  </w:style>
  <w:style w:type="paragraph" w:customStyle="1" w:styleId="43">
    <w:name w:val="正文文本 (9)"/>
    <w:basedOn w:val="1"/>
    <w:link w:val="42"/>
    <w:qFormat/>
    <w:uiPriority w:val="99"/>
    <w:pPr>
      <w:shd w:val="clear" w:color="auto" w:fill="FFFFFF"/>
      <w:spacing w:after="720" w:line="240" w:lineRule="atLeast"/>
      <w:jc w:val="center"/>
    </w:pPr>
    <w:rPr>
      <w:rFonts w:ascii="微软雅黑" w:hAnsi="Times New Roman" w:eastAsia="微软雅黑" w:cs="微软雅黑"/>
      <w:spacing w:val="30"/>
      <w:kern w:val="0"/>
      <w:sz w:val="32"/>
      <w:szCs w:val="32"/>
    </w:rPr>
  </w:style>
  <w:style w:type="table" w:customStyle="1" w:styleId="44">
    <w:name w:val="Table Normal"/>
    <w:qFormat/>
    <w:uiPriority w:val="2"/>
    <w:pPr>
      <w:widowControl w:val="0"/>
      <w:autoSpaceDE w:val="0"/>
      <w:autoSpaceDN w:val="0"/>
    </w:pPr>
    <w:rPr>
      <w:rFonts w:ascii="Calibri" w:hAnsi="Calibri" w:cs="宋体"/>
      <w:sz w:val="22"/>
      <w:szCs w:val="22"/>
      <w:lang w:eastAsia="en-US"/>
    </w:rPr>
    <w:tblPr>
      <w:tblLayout w:type="fixed"/>
      <w:tblCellMar>
        <w:top w:w="0" w:type="dxa"/>
        <w:left w:w="0" w:type="dxa"/>
        <w:bottom w:w="0" w:type="dxa"/>
        <w:right w:w="0" w:type="dxa"/>
      </w:tblCellMar>
    </w:tblPr>
  </w:style>
  <w:style w:type="paragraph" w:customStyle="1" w:styleId="45">
    <w:name w:val="Table Paragraph"/>
    <w:basedOn w:val="1"/>
    <w:qFormat/>
    <w:uiPriority w:val="1"/>
    <w:pPr>
      <w:autoSpaceDE w:val="0"/>
      <w:autoSpaceDN w:val="0"/>
      <w:jc w:val="left"/>
    </w:pPr>
    <w:rPr>
      <w:rFonts w:ascii="宋体" w:hAnsi="宋体" w:cs="宋体"/>
      <w:kern w:val="0"/>
      <w:sz w:val="22"/>
    </w:rPr>
  </w:style>
  <w:style w:type="paragraph" w:customStyle="1" w:styleId="46">
    <w:name w:val="样式 标题 1 + 段前: 0.5 行 段后: 0.5 行"/>
    <w:basedOn w:val="2"/>
    <w:qFormat/>
    <w:uiPriority w:val="0"/>
    <w:pPr>
      <w:keepNext/>
      <w:keepLines/>
      <w:spacing w:before="156" w:beforeAutospacing="0" w:after="156" w:afterAutospacing="0" w:line="360" w:lineRule="auto"/>
      <w:jc w:val="both"/>
    </w:pPr>
    <w:rPr>
      <w:rFonts w:ascii="Times New Roman" w:hAnsi="Times New Roman" w:cs="宋体"/>
      <w:bCs w:val="0"/>
      <w:kern w:val="44"/>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01782-CF4C-4CD5-A05E-0B0E9FA11686}">
  <ds:schemaRefs/>
</ds:datastoreItem>
</file>

<file path=docProps/app.xml><?xml version="1.0" encoding="utf-8"?>
<Properties xmlns="http://schemas.openxmlformats.org/officeDocument/2006/extended-properties" xmlns:vt="http://schemas.openxmlformats.org/officeDocument/2006/docPropsVTypes">
  <Template>Normal</Template>
  <Pages>16</Pages>
  <Words>1278</Words>
  <Characters>7291</Characters>
  <Lines>60</Lines>
  <Paragraphs>17</Paragraphs>
  <TotalTime>256</TotalTime>
  <ScaleCrop>false</ScaleCrop>
  <LinksUpToDate>false</LinksUpToDate>
  <CharactersWithSpaces>8552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2021-04-19T12:23:00Z</dcterms:created>
  <dc:creator>Administrator</dc:creator>
  <cp:lastModifiedBy>刘东洋</cp:lastModifiedBy>
  <cp:lastPrinted>2021-04-16T09:16:00Z</cp:lastPrinted>
  <dcterms:modified xsi:type="dcterms:W3CDTF">2021-04-21T06:07:15Z</dcterms:modified>
  <dc:title>附件1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FEDEA83CAE844639A6C8C87B5605E07A</vt:lpwstr>
  </property>
</Properties>
</file>