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2024年河南省高等职业教育技能大赛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专业核心基本技能赛项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工业机器人操作与运维赛项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样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2024年11月</w:t>
      </w:r>
    </w:p>
    <w:p>
      <w:pPr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before="95"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95"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重要说明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1.竞赛时间90分钟，竞赛时间内选手可以弃赛，不可提前离开赛场。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2.比赛共包括5个任务，总分100分，任务及配分见下表所示。</w:t>
      </w:r>
    </w:p>
    <w:tbl>
      <w:tblPr>
        <w:tblStyle w:val="9"/>
        <w:tblW w:w="6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813"/>
        <w:gridCol w:w="996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工业机器人系统安装与调试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工业机器人系统运维与保养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工业机器人系统数据采集与可视化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工业机器人系统操作与调试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职业素养与安全意识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5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3.任务书共7页，如发现任务书缺页、字迹不清等问题，请及时向裁判申请更换任务书；对照设备清单认真检查设备及工量具，如发现问题，请及时向裁判申请处理。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每个赛位配有1台计算机，装有PLC编程软件、相机编程软件及比赛相关编程软件，参考资料存放在“桌面：技能竞赛参考资料”文件夹下；选手创建的程序文件必须存储到“D：\技能竞赛\竞赛编号”（竞赛编号由场次+工位号组成，例如第二场第1号工位为2-1）文件夹下。赛题中所要求备份的文件请备份到对应到文件夹下，即使选手没有任何备份文件也要建立文件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5.选手提交的资料不得出现学校、企业、姓名等与身份有关的信息，擅自离开竞赛工位、与其他选手交流、不服从裁判指令，将依据扣分表进行处理。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6.由于操作不当等原因引起设备损坏的，将依据扣分表进行处理。严重损坏比赛设备将取消竞赛资格。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7.在完成任务过程中，请及时保存程序及数据，未能及时保存程序及数据，由于断电等意外情况造成的程序及数据丢失的责任将由选手自负。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8.比赛过程中需裁判确认部分，选手应当先举手示意，等待裁判前来处理。安装类任务如需通电，必须经技术人员检查无误后方可进行。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9.选手必须认真填写各类文档，竞赛完成后所有文档按页码顺序一并上交；赛场提供的任何物品，不得带离赛场。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10.竞赛平台“工业机器人系统操作与运维训练平台”，设备主要由工业机器人、快换工装模块、变频器输送模块、智能视觉检测模块、变位机模块、仓储模块、装配模块、扩展模块等组成。</w:t>
      </w:r>
    </w:p>
    <w:p>
      <w:pPr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 工业机器人系统安装与调试（15分）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选手根据提供的机械装配图、电路原理图、气动原理图完成工业机器人系统硬件安装与调试。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1.完成机械模块安装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选手根据现场提供部件完成末端法兰、快换母接头的装配并完成电路、气路的连接与整理。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完成快换夹爪工具的安装并将对应的末端工具放置到位；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（3）按照提供装配图完成井式供料模块、快换支架模块的安装与调试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2.完成</w:t>
      </w:r>
      <w:r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气路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系统安装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（1）选手根据现场提供的部件、气管、电路图、气动图并结合任务的功能要求，完成真空发生器、工业机器人主气路、吸盘、夹爪、推料气缸、变位机气缸的气路连接。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3.系统校验与测试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(1)工作站各模块布局合理，所有模块部件安装紧固，不发生松动情况。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(2)手动测试井式供料模块上料功能是否稳定准确；装配模块气缸伸出是否能固定工件；验证吸盘工具是否能正常吸附工件；验证夹爪工具是否能正常夹紧、松开。</w:t>
      </w:r>
    </w:p>
    <w:p>
      <w:pPr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二 工业机器人系统运维与保养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选手根据提供的机械装配图、电路原理图、气动原理图完成工业机器人系统的机械模块、电气系统、气动系统的检测、维护和保养，以及系统故障诊断与处理等工作任务，实现工业机器人系统运维与保养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任务描述：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传感器运行与维护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起始段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2.视觉系统运行与维护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正确调试相机镜头焦距和曝光，将相机画面清晰显示到编程电脑界面。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sz w:val="24"/>
          <w:szCs w:val="21"/>
        </w:rPr>
      </w:pPr>
      <w:r>
        <w:rPr>
          <w:rFonts w:hint="eastAsia" w:ascii="楷体" w:hAnsi="楷体" w:eastAsia="楷体" w:cs="楷体"/>
          <w:b/>
          <w:bCs/>
          <w:snapToGrid w:val="0"/>
          <w:sz w:val="24"/>
          <w:szCs w:val="21"/>
        </w:rPr>
        <w:t>3.</w:t>
      </w:r>
      <w:r>
        <w:rPr>
          <w:rFonts w:ascii="楷体" w:hAnsi="楷体" w:eastAsia="楷体" w:cs="楷体"/>
          <w:b/>
          <w:bCs/>
          <w:snapToGrid w:val="0"/>
          <w:sz w:val="24"/>
          <w:szCs w:val="21"/>
        </w:rPr>
        <w:t>通信系统运行与维护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z w:val="24"/>
        </w:rPr>
      </w:pPr>
      <w:r>
        <w:rPr>
          <w:rFonts w:ascii="楷体" w:hAnsi="楷体" w:eastAsia="楷体" w:cs="楷体"/>
          <w:sz w:val="24"/>
        </w:rPr>
        <w:t>(1)遵循行业标准，使用工具</w:t>
      </w:r>
      <w:r>
        <w:rPr>
          <w:rFonts w:hint="eastAsia" w:ascii="楷体" w:hAnsi="楷体" w:eastAsia="楷体" w:cs="楷体"/>
          <w:sz w:val="24"/>
        </w:rPr>
        <w:t>对</w:t>
      </w:r>
      <w:r>
        <w:rPr>
          <w:rFonts w:ascii="楷体" w:hAnsi="楷体" w:eastAsia="楷体" w:cs="楷体"/>
          <w:sz w:val="24"/>
        </w:rPr>
        <w:t>现场提供的材料，严格按照剥线、排序、压接水晶头的步骤制作</w:t>
      </w:r>
      <w:r>
        <w:rPr>
          <w:rFonts w:hint="eastAsia" w:ascii="楷体" w:hAnsi="楷体" w:eastAsia="楷体" w:cs="楷体"/>
          <w:sz w:val="24"/>
        </w:rPr>
        <w:t>1根</w:t>
      </w:r>
      <w:r>
        <w:rPr>
          <w:rFonts w:ascii="楷体" w:hAnsi="楷体" w:eastAsia="楷体" w:cs="楷体"/>
          <w:sz w:val="24"/>
        </w:rPr>
        <w:t>网线。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z w:val="24"/>
        </w:rPr>
      </w:pPr>
      <w:r>
        <w:rPr>
          <w:rFonts w:ascii="楷体" w:hAnsi="楷体" w:eastAsia="楷体" w:cs="楷体"/>
          <w:sz w:val="24"/>
        </w:rPr>
        <w:t>(2)制作完成后，立即使用网线测试仪进行全面连通性测试，确保网线符合传输要求。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故障排查与修复</w:t>
      </w: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并完成附件1故障点检表。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（1）机械系统检查与诊断：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对工业机器人制动功能、控制系统，气动系统周边设备机械系统进行检查和故障诊断，并填写机械系统故障点检记录。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（2）电气系统检查与诊断：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对工业机器人控制系统内部状态、控制系统安全回路等信息对其运行状况进行检查、故障定位、分析、和原因判定，并填写电气系统故障点检记录。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（3）机械系统的故障处理：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处理工业机器人制动功能、控制系统故障；处理气动系统的连接与密封失效；处理周边设备机械传动噪音、振动、失效等问题；并填写机械系统故障处理记录。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（4）电气系统的故障处理：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处理工业机器人控制系统安全回路等连接线路、周边设备电气系统的线路、设备控制参数等问题以及电气系统元器件更换，并填写电气系统故障处理记录。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本任务可以进行通电查看故障现象，每次通电应于上次断电相隔5分钟以上，在设备通电情况下使用工具检查时必须佩戴绝缘手套（未佩戴绝缘手套将扣除安全职业素养相应分数，出现的安全后果选手自行承担）。</w:t>
      </w:r>
    </w:p>
    <w:p>
      <w:pPr>
        <w:widowControl/>
        <w:kinsoku w:val="0"/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三 工业机器人系统数据采集与可视化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（20分）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选手根据任务要求，完成PLC，触摸屏，视觉系统，六轴工业机器人等设备的参数设置、系统通讯、程序编写与调试工作，实现工业机器人系统的数据采集与可视化操作。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1.变位机数据采集与可视化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（1）编写PLC及HMI画面，选择合适的控件并绑定变量，并将程序下载至系统中。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（2）在触摸屏上可以显示变位机的使能状态、实时位置、实时速度。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2.传送带数据采集与可视化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（1）传送带起始端传感器有无工件，检测到工件触摸屏指示灯显示绿色；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（2）传送带末端传感器有无工件检测到工件触摸屏指示灯显示绿色；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3.视觉系统数据采集与可视化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（1）通过编写PLC程序及HMI界面，实现PLC与视觉系统通信与控制。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（2）通过视觉系统编程与调试，能够识别工件的颜色，并在HMI上显示。</w:t>
      </w:r>
    </w:p>
    <w:p>
      <w:pPr>
        <w:spacing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四 工业机器人系统操作与调试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（45分）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选手根据任务要求，编写仿真软件及工业机器人、PLC、触摸屏、视觉系统等程序，实现个性化定制生产。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1.虚拟仿真调试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（1）根据任务要求，利用提供的三维模型，完成工业机器人系统仿真平台搭建。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（2）在仿真系统中利用画笔工具，编写程序完成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提供的模型1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轨迹描绘，并下发到控制柜，调试程序点位并验证。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注：要求系统选择工业机器人要和真实工业机器人为同一型号，否则不得分。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20" w:hanging="420"/>
        <w:rPr>
          <w:rFonts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平台1：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、变位机装配模块上定位气缸伸出；按下复位按钮返回至工作原点，原点定义（机器人1、2、3、4、6轴处在零点位置5轴朝下90度，变位机处在水平装配台朝上位置，井式供料模块气缸缩回、变位机装配模块上定位气缸缩回，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本任务需要完成一套工件的装配。将黄*1、绿*1、红*1、蓝工件随机放置到井式供料模块中。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（1）工件供料：机器人自动模式按下触摸屏下方绿色启动按钮，机器人自动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加装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吸盘工具，控制井式供料模块推料，传送带启动，完成供料；同时机器人移动到传送带末端上方等待工件到位；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（2）工件运输：工件到达传送带末端，末端光电传感器检测到工件，机器人吸取工件3秒后传送带自动停止运动；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（3）视觉检测：机器人将工件移动到视觉模块上方进行检查，将检测到的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颜色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信息显示到触摸屏上；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（4）工件装配：机器人将工件放置装配桶内（1号</w:t>
      </w:r>
      <w:r>
        <w:rPr>
          <w:rFonts w:hint="default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放置红色工件、2号</w:t>
      </w:r>
      <w:r>
        <w:rPr>
          <w:rFonts w:hint="default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放置黄色工件、3号</w:t>
      </w:r>
      <w:r>
        <w:rPr>
          <w:rFonts w:hint="default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放置绿色工件、蓝色为废料放置到废料区，废料区位置选手自定）；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（5）重复步骤1-4，完成剩余</w:t>
      </w:r>
      <w:bookmarkStart w:id="3" w:name="_GoBack"/>
      <w:bookmarkEnd w:id="3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工件的输送、检测和装配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，机器人切换夹爪工具将盖板加装至装配桶并旋紧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平台2：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工业机器人装配工作站控制要求如下所示：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Hlk185839880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工业机器人末端无工具）。</w:t>
      </w:r>
      <w:bookmarkEnd w:id="0"/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本任务需要完成一套关节部件的装配，并在上料模块中随机放入2个不同颜色（黄、蓝）的部件2(减速器）和部件3（输出法兰）；注：部件2在下部件3在上。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bookmarkStart w:id="1" w:name="_Hlk185839985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(关节底座）</w:t>
      </w:r>
      <w:bookmarkEnd w:id="1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上料：按下启动按钮工业机器人自动将部件1（关节底座）放置到装配模块上并加紧（关节底座放在立体仓库模块中，位置由选手自定义）。工业机器人控制上料气缸将供料筒中的一个工件推出，2秒后自动缩回，实现工件上料过程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部件2(减速器）输送：工件上料完成后，输送带立即开始运行，并将工件输送至输送带末端，待末端传感器检测到工件3秒后输送带自动停止；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部件2(减速器）检测：工件输送至末端且输送带停止后，</w:t>
      </w:r>
      <w:bookmarkStart w:id="2" w:name="_Hlk9773303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工业机器人触发相机拍照，获取工件信息，</w:t>
      </w:r>
      <w:bookmarkEnd w:id="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在HMI上正确显示工件颜色信息；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部件2(减速器）装配：正确获取减速器信息后，工业机器人调整吸盘角度吸持工件，将蓝色部件2(减速器）装配至部件1（关节底座）内完成装配，其他颜色的部件2机器人将其放置废料区（废料区选手自定）；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部件3（输出法兰）输送、检测和装配：重复步骤1-4，完成蓝色部件3（输出法兰）的输送、检测和装配；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成品入库：工业机器人自动更换弧口手爪工具，再将成品工件搬运至立体仓库任意位置，完成一套部件的装配任务。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7"/>
        <w:jc w:val="center"/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任务五 职业素养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严格遵循相关职业素养要求及安全规范，安全文明参赛；团队协作，着装规范，操作规范；工具摆放整齐；资料归档完整。严格防止电路短路、生产失控造成人身和设备伤害。</w:t>
      </w: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附件1：故障点检表</w:t>
      </w:r>
    </w:p>
    <w:tbl>
      <w:tblPr>
        <w:tblStyle w:val="9"/>
        <w:tblW w:w="501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305"/>
        <w:gridCol w:w="4305"/>
        <w:gridCol w:w="4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故障现象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故障位置</w:t>
            </w: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解决方法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3CBFB"/>
    <w:multiLevelType w:val="singleLevel"/>
    <w:tmpl w:val="5B73CB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149AC"/>
    <w:rsid w:val="00022EB3"/>
    <w:rsid w:val="00066A1B"/>
    <w:rsid w:val="000F4348"/>
    <w:rsid w:val="00135135"/>
    <w:rsid w:val="002511E6"/>
    <w:rsid w:val="002641D6"/>
    <w:rsid w:val="00282F2D"/>
    <w:rsid w:val="0040143E"/>
    <w:rsid w:val="0045399D"/>
    <w:rsid w:val="005678C2"/>
    <w:rsid w:val="0068305A"/>
    <w:rsid w:val="006E3FD2"/>
    <w:rsid w:val="00755BC0"/>
    <w:rsid w:val="00990685"/>
    <w:rsid w:val="009C5479"/>
    <w:rsid w:val="00A42930"/>
    <w:rsid w:val="00A74910"/>
    <w:rsid w:val="00C36DC9"/>
    <w:rsid w:val="00C56B94"/>
    <w:rsid w:val="00CB5F02"/>
    <w:rsid w:val="00ED709B"/>
    <w:rsid w:val="00EF01DB"/>
    <w:rsid w:val="00F14768"/>
    <w:rsid w:val="00F57DAC"/>
    <w:rsid w:val="037E4FBC"/>
    <w:rsid w:val="04891E6A"/>
    <w:rsid w:val="06436049"/>
    <w:rsid w:val="0F3B1FB3"/>
    <w:rsid w:val="11F528ED"/>
    <w:rsid w:val="133F3948"/>
    <w:rsid w:val="135C104D"/>
    <w:rsid w:val="15DF162F"/>
    <w:rsid w:val="166C5148"/>
    <w:rsid w:val="16E55626"/>
    <w:rsid w:val="16F507F3"/>
    <w:rsid w:val="1A420699"/>
    <w:rsid w:val="1C0B5C75"/>
    <w:rsid w:val="1CAA0778"/>
    <w:rsid w:val="1D7149AC"/>
    <w:rsid w:val="1EF652A8"/>
    <w:rsid w:val="20CA4326"/>
    <w:rsid w:val="20E3279C"/>
    <w:rsid w:val="26E2748C"/>
    <w:rsid w:val="27C070A1"/>
    <w:rsid w:val="2C242438"/>
    <w:rsid w:val="2C2D49B2"/>
    <w:rsid w:val="2CEB2E12"/>
    <w:rsid w:val="2D4A18E7"/>
    <w:rsid w:val="2D870E4B"/>
    <w:rsid w:val="2ED51684"/>
    <w:rsid w:val="2F3960B7"/>
    <w:rsid w:val="2F9C21A2"/>
    <w:rsid w:val="306F78B6"/>
    <w:rsid w:val="335850A6"/>
    <w:rsid w:val="36FF3742"/>
    <w:rsid w:val="380C53CF"/>
    <w:rsid w:val="38154973"/>
    <w:rsid w:val="39050468"/>
    <w:rsid w:val="3CF61143"/>
    <w:rsid w:val="3F9E1DE6"/>
    <w:rsid w:val="3FBE7F20"/>
    <w:rsid w:val="421943DC"/>
    <w:rsid w:val="435A7F52"/>
    <w:rsid w:val="465E7D59"/>
    <w:rsid w:val="49E311B3"/>
    <w:rsid w:val="4CCA4B22"/>
    <w:rsid w:val="4DDD3C5A"/>
    <w:rsid w:val="528079D5"/>
    <w:rsid w:val="58626593"/>
    <w:rsid w:val="5966366C"/>
    <w:rsid w:val="5B1E7D8B"/>
    <w:rsid w:val="5C2A09B2"/>
    <w:rsid w:val="5FA6034F"/>
    <w:rsid w:val="607246D5"/>
    <w:rsid w:val="60C05441"/>
    <w:rsid w:val="622814F0"/>
    <w:rsid w:val="62F207AF"/>
    <w:rsid w:val="64843C52"/>
    <w:rsid w:val="648B46FB"/>
    <w:rsid w:val="67F82E31"/>
    <w:rsid w:val="68AA0EB0"/>
    <w:rsid w:val="68E10602"/>
    <w:rsid w:val="69216C99"/>
    <w:rsid w:val="69232A11"/>
    <w:rsid w:val="6C2C03BF"/>
    <w:rsid w:val="6C4F2FBF"/>
    <w:rsid w:val="6FE0340A"/>
    <w:rsid w:val="74FF6AF8"/>
    <w:rsid w:val="7D85227D"/>
    <w:rsid w:val="7EE2B6C0"/>
    <w:rsid w:val="7FDF85F4"/>
    <w:rsid w:val="BFFFE585"/>
    <w:rsid w:val="D7B57289"/>
    <w:rsid w:val="E2CFB719"/>
    <w:rsid w:val="F23BCE0B"/>
    <w:rsid w:val="FFCE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642</Words>
  <Characters>3662</Characters>
  <Lines>30</Lines>
  <Paragraphs>8</Paragraphs>
  <TotalTime>0</TotalTime>
  <ScaleCrop>false</ScaleCrop>
  <LinksUpToDate>false</LinksUpToDate>
  <CharactersWithSpaces>4296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2024-11-20T22:09:00Z</dcterms:created>
  <dc:creator>℃</dc:creator>
  <cp:lastModifiedBy>Augustus Paullette</cp:lastModifiedBy>
  <dcterms:modified xsi:type="dcterms:W3CDTF">2024-12-23T10:13:42Z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831D7AE1875C4069AD2EEE1FAB1F8C90_13</vt:lpwstr>
  </property>
</Properties>
</file>