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楷体" w:hAnsi="楷体" w:eastAsia="楷体" w:cs="楷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楷体" w:hAnsi="楷体" w:eastAsia="楷体" w:cs="楷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  <w:t>2024年河南省高等职业教育技能大赛</w:t>
      </w:r>
    </w:p>
    <w:p>
      <w:pPr>
        <w:jc w:val="center"/>
        <w:rPr>
          <w:rFonts w:ascii="楷体" w:hAnsi="楷体" w:eastAsia="楷体" w:cs="楷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  <w:t>专业核心基本技能赛项</w:t>
      </w:r>
    </w:p>
    <w:p>
      <w:pPr>
        <w:jc w:val="center"/>
        <w:rPr>
          <w:rFonts w:ascii="楷体" w:hAnsi="楷体" w:eastAsia="楷体" w:cs="楷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  <w:t>工业机器人操作与运维赛项</w:t>
      </w:r>
    </w:p>
    <w:p>
      <w:pPr>
        <w:jc w:val="center"/>
        <w:rPr>
          <w:rFonts w:ascii="楷体" w:hAnsi="楷体" w:eastAsia="楷体" w:cs="楷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楷体" w:hAnsi="楷体" w:eastAsia="楷体" w:cs="楷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楷体" w:hAnsi="楷体" w:eastAsia="楷体" w:cs="楷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楷体" w:hAnsi="楷体" w:eastAsia="楷体" w:cs="楷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楷体" w:hAnsi="楷体" w:eastAsia="楷体" w:cs="楷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  <w:t>样</w:t>
      </w:r>
    </w:p>
    <w:p>
      <w:pPr>
        <w:jc w:val="center"/>
        <w:rPr>
          <w:rFonts w:ascii="楷体" w:hAnsi="楷体" w:eastAsia="楷体" w:cs="楷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  <w:t>题</w:t>
      </w:r>
    </w:p>
    <w:p>
      <w:pP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楷体" w:hAnsi="楷体" w:eastAsia="楷体" w:cs="楷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  <w:t>2024年11月</w:t>
      </w:r>
    </w:p>
    <w:p>
      <w:pPr>
        <w:rPr>
          <w:rFonts w:ascii="楷体" w:hAnsi="楷体" w:eastAsia="楷体" w:cs="楷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</w:p>
    <w:p>
      <w:pPr>
        <w:spacing w:before="95" w:line="360" w:lineRule="auto"/>
        <w:jc w:val="center"/>
        <w:rPr>
          <w:rFonts w:ascii="楷体" w:hAnsi="楷体" w:eastAsia="楷体" w:cs="楷体"/>
          <w:b/>
          <w:bCs/>
          <w:color w:val="000000" w:themeColor="text1"/>
          <w:spacing w:val="-4"/>
          <w:sz w:val="24"/>
          <w14:textFill>
            <w14:solidFill>
              <w14:schemeClr w14:val="tx1"/>
            </w14:solidFill>
          </w14:textFill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before="95" w:line="360" w:lineRule="auto"/>
        <w:jc w:val="center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pacing w:val="-4"/>
          <w:sz w:val="24"/>
          <w14:textFill>
            <w14:solidFill>
              <w14:schemeClr w14:val="tx1"/>
            </w14:solidFill>
          </w14:textFill>
        </w:rPr>
        <w:t>重要说明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1.竞赛时间90分钟，竞赛时间内选手可以弃赛，不可提前离开赛场。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2.比赛共包括5个任务，总分100分，任务及配分见下表所示。</w:t>
      </w:r>
    </w:p>
    <w:tbl>
      <w:tblPr>
        <w:tblStyle w:val="9"/>
        <w:tblW w:w="6818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1"/>
        <w:gridCol w:w="3813"/>
        <w:gridCol w:w="996"/>
        <w:gridCol w:w="130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01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3813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任务</w:t>
            </w:r>
          </w:p>
        </w:tc>
        <w:tc>
          <w:tcPr>
            <w:tcW w:w="996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配分</w:t>
            </w:r>
          </w:p>
        </w:tc>
        <w:tc>
          <w:tcPr>
            <w:tcW w:w="1308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01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813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工业机器人系统安装与调试</w:t>
            </w:r>
          </w:p>
        </w:tc>
        <w:tc>
          <w:tcPr>
            <w:tcW w:w="996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15分</w:t>
            </w:r>
          </w:p>
        </w:tc>
        <w:tc>
          <w:tcPr>
            <w:tcW w:w="1308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01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813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工业机器人系统运维与保养</w:t>
            </w:r>
          </w:p>
        </w:tc>
        <w:tc>
          <w:tcPr>
            <w:tcW w:w="996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15分</w:t>
            </w:r>
          </w:p>
        </w:tc>
        <w:tc>
          <w:tcPr>
            <w:tcW w:w="1308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701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813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工业机器人系统数据采集与可视化</w:t>
            </w:r>
          </w:p>
        </w:tc>
        <w:tc>
          <w:tcPr>
            <w:tcW w:w="996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20分</w:t>
            </w:r>
          </w:p>
        </w:tc>
        <w:tc>
          <w:tcPr>
            <w:tcW w:w="1308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01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813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工业机器人系统操作与调试</w:t>
            </w:r>
          </w:p>
        </w:tc>
        <w:tc>
          <w:tcPr>
            <w:tcW w:w="996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45分</w:t>
            </w:r>
          </w:p>
        </w:tc>
        <w:tc>
          <w:tcPr>
            <w:tcW w:w="1308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01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3813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职业素养与安全意识</w:t>
            </w:r>
          </w:p>
        </w:tc>
        <w:tc>
          <w:tcPr>
            <w:tcW w:w="996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5分</w:t>
            </w:r>
          </w:p>
        </w:tc>
        <w:tc>
          <w:tcPr>
            <w:tcW w:w="1308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4514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996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100分</w:t>
            </w:r>
          </w:p>
        </w:tc>
        <w:tc>
          <w:tcPr>
            <w:tcW w:w="1308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3.任务书共7页，如发现任务书缺页、字迹不清等问题，请及时向裁判申请更换任务书；对照设备清单认真检查设备及工量具，如发现问题，请及时向裁判申请处理。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4.每个赛位配有1台计算机，装有PLC编程软件、相机编程软件及比赛相关编程软件，参考资料存放在“桌面：技能竞赛参考资料”文件夹下；选手创建的程序文件必须存储到“D：\技能竞赛\竞赛编号”（竞赛编号由场次+工位号组成，例如第二场第1号工位为2-1）文件夹下。赛题中所要求备份的文件请备份到对应到文件夹下，即使选手没有任何备份文件也要建立文件夹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5.选手提交的资料不得出现学校、企业、姓名等与身份有关的信息，擅自离开竞赛工位、与其他选手交流、不服从裁判指令，将依据扣分表进行处理。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6.由于操作不当等原因引起设备损坏的，将依据扣分表进行处理。严重损坏比赛设备将取消竞赛资格。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7.在完成任务过程中，请及时保存程序及数据，未能及时保存程序及数据，由于断电等意外情况造成的程序及数据丢失的责任将由选手自负。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8.比赛过程中需裁判确认部分，选手应当先举手示意，等待裁判前来处理。安装类任务如需通电，必须经技术人员检查无误后方可进行。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9.选手必须认真填写各类文档，竞赛完成后所有文档按页码顺序一并上交；赛场提供的任何物品，不得带离赛场。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10.竞赛平台“工业机器人系统操作与运维训练平台”，设备主要由工业机器人、快换工装模块、变频器输送模块、智能视觉检测模块、变位机模块、仓储模块、装配模块、扩展模块等组成。</w:t>
      </w:r>
    </w:p>
    <w:p>
      <w:pPr>
        <w:rPr>
          <w:rFonts w:ascii="楷体" w:hAnsi="楷体" w:eastAsia="楷体" w:cs="楷体"/>
          <w:color w:val="000000" w:themeColor="text1"/>
          <w:sz w:val="31"/>
          <w:szCs w:val="3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page"/>
      </w:r>
      <w:r>
        <w:rPr>
          <w:rFonts w:hint="eastAsia" w:ascii="楷体" w:hAnsi="楷体" w:eastAsia="楷体" w:cs="楷体"/>
          <w:color w:val="000000" w:themeColor="text1"/>
          <w:spacing w:val="6"/>
          <w:sz w:val="31"/>
          <w:szCs w:val="31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  <w14:textFill>
            <w14:solidFill>
              <w14:schemeClr w14:val="tx1"/>
            </w14:solidFill>
          </w14:textFill>
        </w:rPr>
        <w:t>模块一 工业机器人系统安装与调试（15分）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选手根据提供的机械装配图、电路原理图、气动原理图完成工业机器人系统硬件安装与调试。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1.完成机械模块安装</w:t>
      </w:r>
    </w:p>
    <w:p>
      <w:pPr>
        <w:numPr>
          <w:ilvl w:val="0"/>
          <w:numId w:val="1"/>
        </w:num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选手根据现场提供部件完成末端法兰、快换母接头的装配并完成电路、气路的连接与整理。</w:t>
      </w:r>
    </w:p>
    <w:p>
      <w:pPr>
        <w:numPr>
          <w:ilvl w:val="0"/>
          <w:numId w:val="1"/>
        </w:num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完成快换夹爪工具的安装并将对应的末端工具放置到位；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（3）按照提供装配图完成井式供料模块、相机模块的安装与调试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2.</w:t>
      </w:r>
      <w:r>
        <w:rPr>
          <w:rFonts w:ascii="楷体" w:hAnsi="楷体" w:eastAsia="楷体" w:cs="楷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气路</w:t>
      </w:r>
      <w:r>
        <w:rPr>
          <w:rFonts w:hint="eastAsia" w:ascii="楷体" w:hAnsi="楷体" w:eastAsia="楷体" w:cs="楷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系统安装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（1）选手根据现场提供的部件、气管、电路图、气动图并结合任务的功能要求，完成真空发生器、工业机器人主气路、吸盘、夹爪、推料气缸、变位机气缸的气路连接。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3.系统校验与测试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(1)工作站各模块布局合理，所有模块部件安装紧固，不发生松动情况。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(2)手动测试供料模块上料功能是否稳定准确；装配模块气缸伸出是否能固定工件；验证吸盘工具是否能正常吸附工件；验证夹爪工具是否能正常夹紧、松开。</w:t>
      </w:r>
    </w:p>
    <w:p>
      <w:pPr>
        <w:jc w:val="center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pacing w:val="-3"/>
          <w:sz w:val="28"/>
          <w:szCs w:val="28"/>
          <w:u w:val="double"/>
          <w14:textFill>
            <w14:solidFill>
              <w14:schemeClr w14:val="tx1"/>
            </w14:solidFill>
          </w14:textFill>
        </w:rPr>
        <w:t>完成本任务后，向裁判申请评判</w:t>
      </w:r>
      <w:r>
        <w:rPr>
          <w:rFonts w:hint="eastAsia" w:ascii="楷体" w:hAnsi="楷体" w:eastAsia="楷体" w:cs="楷体"/>
          <w:b/>
          <w:bCs/>
          <w:color w:val="000000" w:themeColor="text1"/>
          <w:spacing w:val="-1"/>
          <w:sz w:val="28"/>
          <w:szCs w:val="28"/>
          <w:u w:val="double"/>
          <w14:textFill>
            <w14:solidFill>
              <w14:schemeClr w14:val="tx1"/>
            </w14:solidFill>
          </w14:textFill>
        </w:rPr>
        <w:t>！！！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before="1"/>
        <w:ind w:left="3"/>
        <w:jc w:val="center"/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pacing w:val="6"/>
          <w:sz w:val="31"/>
          <w:szCs w:val="31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  <w14:textFill>
            <w14:solidFill>
              <w14:schemeClr w14:val="tx1"/>
            </w14:solidFill>
          </w14:textFill>
        </w:rPr>
        <w:t>模块</w:t>
      </w:r>
      <w:r>
        <w:rPr>
          <w:rFonts w:hint="eastAsia" w:ascii="楷体" w:hAnsi="楷体" w:eastAsia="楷体" w:cs="楷体"/>
          <w:color w:val="000000" w:themeColor="text1"/>
          <w:spacing w:val="9"/>
          <w:sz w:val="31"/>
          <w:szCs w:val="31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  <w14:textFill>
            <w14:solidFill>
              <w14:schemeClr w14:val="tx1"/>
            </w14:solidFill>
          </w14:textFill>
        </w:rPr>
        <w:t>二 工业机器人系统运维与保养</w:t>
      </w:r>
      <w:r>
        <w:rPr>
          <w:rFonts w:hint="eastAsia" w:ascii="楷体" w:hAnsi="楷体" w:eastAsia="楷体" w:cs="楷体"/>
          <w:color w:val="000000" w:themeColor="text1"/>
          <w:spacing w:val="6"/>
          <w:sz w:val="31"/>
          <w:szCs w:val="31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  <w14:textFill>
            <w14:solidFill>
              <w14:schemeClr w14:val="tx1"/>
            </w14:solidFill>
          </w14:textFill>
        </w:rPr>
        <w:t>（15分）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任务描述：选手根据提供的机械装配图、电路原理图、气动原理图完成工业机器人系统的机械模块、电气系统、气动系统的检测、维护和保养，以及系统故障诊断与处理等工作任务，实现工业机器人系统运维与保养。</w:t>
      </w:r>
    </w:p>
    <w:p>
      <w:pPr>
        <w:widowControl/>
        <w:kinsoku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楷体" w:hAnsi="楷体" w:eastAsia="楷体" w:cs="楷体"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任务描述：</w:t>
      </w:r>
    </w:p>
    <w:p>
      <w:pPr>
        <w:widowControl/>
        <w:kinsoku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楷体" w:hAnsi="楷体" w:eastAsia="楷体" w:cs="楷体"/>
          <w:b/>
          <w:bCs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1.</w:t>
      </w:r>
      <w:r>
        <w:rPr>
          <w:rFonts w:ascii="楷体" w:hAnsi="楷体" w:eastAsia="楷体" w:cs="楷体"/>
          <w:b/>
          <w:bCs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传感器运行与维护</w:t>
      </w:r>
    </w:p>
    <w:p>
      <w:pPr>
        <w:widowControl/>
        <w:kinsoku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(1)输送带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起始段</w:t>
      </w: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传感器调试：利用工具，精细调整输送带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起始端</w:t>
      </w: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传感器的检测模式和灵敏度，确保工件能够迅速且准确地被检测到。</w:t>
      </w:r>
    </w:p>
    <w:p>
      <w:pPr>
        <w:widowControl/>
        <w:kinsoku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2</w:t>
      </w: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)输送带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末端</w:t>
      </w: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传感器调试：利用工具，精细调整输送带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末端</w:t>
      </w: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传感器的检测模式和灵敏度，确保工件能够迅速且准确地被检测到。</w:t>
      </w:r>
    </w:p>
    <w:p>
      <w:pPr>
        <w:widowControl/>
        <w:kinsoku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楷体" w:hAnsi="楷体" w:eastAsia="楷体" w:cs="楷体"/>
          <w:b/>
          <w:bCs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2.视觉系统运行与维护</w:t>
      </w:r>
    </w:p>
    <w:p>
      <w:pPr>
        <w:widowControl/>
        <w:kinsoku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正确调试相机镜头焦距和曝光，将相机画面清晰显示到编程电脑界面。</w:t>
      </w:r>
    </w:p>
    <w:p>
      <w:pPr>
        <w:widowControl/>
        <w:kinsoku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楷体" w:hAnsi="楷体" w:eastAsia="楷体" w:cs="楷体"/>
          <w:b/>
          <w:bCs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3.</w:t>
      </w:r>
      <w:r>
        <w:rPr>
          <w:rFonts w:ascii="楷体" w:hAnsi="楷体" w:eastAsia="楷体" w:cs="楷体"/>
          <w:b/>
          <w:bCs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通信系统运行与维护</w:t>
      </w:r>
    </w:p>
    <w:p>
      <w:pPr>
        <w:widowControl/>
        <w:kinsoku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(1)遵循行业标准，使用工具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对</w:t>
      </w: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现场提供的材料，严格按照剥线、排序、压接水晶头的步骤制作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1根</w:t>
      </w: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网线。</w:t>
      </w:r>
    </w:p>
    <w:p>
      <w:pPr>
        <w:widowControl/>
        <w:kinsoku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(2)制作完成后，立即使用网线测试仪进行全面连通性测试，确保网线符合传输要求。</w:t>
      </w:r>
    </w:p>
    <w:p>
      <w:pPr>
        <w:widowControl/>
        <w:kinsoku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楷体" w:hAnsi="楷体" w:eastAsia="楷体" w:cs="楷体"/>
          <w:b/>
          <w:bCs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4.</w:t>
      </w:r>
      <w:r>
        <w:rPr>
          <w:rFonts w:ascii="楷体" w:hAnsi="楷体" w:eastAsia="楷体" w:cs="楷体"/>
          <w:b/>
          <w:bCs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故障排查与修复</w:t>
      </w:r>
      <w:r>
        <w:rPr>
          <w:rFonts w:hint="eastAsia" w:ascii="楷体" w:hAnsi="楷体" w:eastAsia="楷体" w:cs="楷体"/>
          <w:b/>
          <w:bCs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楷体" w:hAnsi="楷体" w:eastAsia="楷体" w:cs="楷体"/>
          <w:b/>
          <w:bCs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并完成附件1故障点检表。</w:t>
      </w:r>
    </w:p>
    <w:p>
      <w:pPr>
        <w:widowControl/>
        <w:kinsoku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楷体" w:hAnsi="楷体" w:eastAsia="楷体" w:cs="楷体"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（1）机械系统检查与诊断：</w:t>
      </w:r>
      <w:r>
        <w:rPr>
          <w:rFonts w:hint="eastAsia" w:ascii="楷体" w:hAnsi="楷体" w:eastAsia="楷体" w:cs="楷体"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对工业机器人制动功能、控制系统，气动系统周边设备机械系统进行检查和故障诊断，并填写机械系统故障点检记录。</w:t>
      </w:r>
    </w:p>
    <w:p>
      <w:pPr>
        <w:widowControl/>
        <w:kinsoku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楷体" w:hAnsi="楷体" w:eastAsia="楷体" w:cs="楷体"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（2）电气系统检查与诊断：</w:t>
      </w:r>
      <w:r>
        <w:rPr>
          <w:rFonts w:hint="eastAsia" w:ascii="楷体" w:hAnsi="楷体" w:eastAsia="楷体" w:cs="楷体"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对工业机器人控制系统内部状态、控制系统安全回路等信息对其运行状况进行检查、故障定位、分析、和原因判定，并填写电气系统故障点检记录。</w:t>
      </w:r>
    </w:p>
    <w:p>
      <w:pPr>
        <w:widowControl/>
        <w:kinsoku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楷体" w:hAnsi="楷体" w:eastAsia="楷体" w:cs="楷体"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（3）机械系统的故障处理：</w:t>
      </w:r>
      <w:r>
        <w:rPr>
          <w:rFonts w:hint="eastAsia" w:ascii="楷体" w:hAnsi="楷体" w:eastAsia="楷体" w:cs="楷体"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处理工业机器人制动功能、控制系统故障；处理气动系统的连接与密封失效；处理周边设备机械传动噪音、振动、失效等问题；并填写机械系统故障处理记录。</w:t>
      </w:r>
    </w:p>
    <w:p>
      <w:pPr>
        <w:widowControl/>
        <w:kinsoku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楷体" w:hAnsi="楷体" w:eastAsia="楷体" w:cs="楷体"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（4）电气系统的故障处理：</w:t>
      </w:r>
      <w:r>
        <w:rPr>
          <w:rFonts w:hint="eastAsia" w:ascii="楷体" w:hAnsi="楷体" w:eastAsia="楷体" w:cs="楷体"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处理工业机器人控制系统安全回路等连接线路、周边设备电气系统的线路、设备控制参数等问题以及电气系统元器件更换，并填写电气系统故障处理记录。</w:t>
      </w:r>
    </w:p>
    <w:p>
      <w:pPr>
        <w:widowControl/>
        <w:kinsoku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楷体" w:hAnsi="楷体" w:eastAsia="楷体" w:cs="楷体"/>
          <w:b/>
          <w:bCs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注：本任务可以进行通电查看故障现象，每次通电应于上次断电相隔5分钟以上，在设备通电情况下使用工具检查时必须佩戴绝缘手套（未佩戴绝缘手套将扣除安全职业素养相应分数，出现的安全后果选手自行承担）。</w:t>
      </w:r>
    </w:p>
    <w:p>
      <w:pPr>
        <w:widowControl/>
        <w:kinsoku w:val="0"/>
        <w:adjustRightInd w:val="0"/>
        <w:snapToGrid w:val="0"/>
        <w:spacing w:line="360" w:lineRule="auto"/>
        <w:jc w:val="center"/>
        <w:textAlignment w:val="baseline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pacing w:val="-3"/>
          <w:sz w:val="28"/>
          <w:szCs w:val="28"/>
          <w:u w:val="double"/>
          <w14:textFill>
            <w14:solidFill>
              <w14:schemeClr w14:val="tx1"/>
            </w14:solidFill>
          </w14:textFill>
        </w:rPr>
        <w:t>完成本任务后，向裁判申请评判</w:t>
      </w:r>
      <w:r>
        <w:rPr>
          <w:rFonts w:hint="eastAsia" w:ascii="楷体" w:hAnsi="楷体" w:eastAsia="楷体" w:cs="楷体"/>
          <w:b/>
          <w:bCs/>
          <w:color w:val="000000" w:themeColor="text1"/>
          <w:spacing w:val="-1"/>
          <w:sz w:val="28"/>
          <w:szCs w:val="28"/>
          <w:u w:val="double"/>
          <w14:textFill>
            <w14:solidFill>
              <w14:schemeClr w14:val="tx1"/>
            </w14:solidFill>
          </w14:textFill>
        </w:rPr>
        <w:t>！！！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before="1"/>
        <w:ind w:left="3"/>
        <w:jc w:val="center"/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pacing w:val="6"/>
          <w:sz w:val="31"/>
          <w:szCs w:val="31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  <w14:textFill>
            <w14:solidFill>
              <w14:schemeClr w14:val="tx1"/>
            </w14:solidFill>
          </w14:textFill>
        </w:rPr>
        <w:t>模块</w:t>
      </w:r>
      <w:r>
        <w:rPr>
          <w:rFonts w:hint="eastAsia" w:ascii="楷体" w:hAnsi="楷体" w:eastAsia="楷体" w:cs="楷体"/>
          <w:color w:val="000000" w:themeColor="text1"/>
          <w:spacing w:val="9"/>
          <w:sz w:val="31"/>
          <w:szCs w:val="31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  <w14:textFill>
            <w14:solidFill>
              <w14:schemeClr w14:val="tx1"/>
            </w14:solidFill>
          </w14:textFill>
        </w:rPr>
        <w:t>三 工业机器人系统数据采集与可视化</w:t>
      </w:r>
      <w:r>
        <w:rPr>
          <w:rFonts w:hint="eastAsia" w:ascii="楷体" w:hAnsi="楷体" w:eastAsia="楷体" w:cs="楷体"/>
          <w:color w:val="000000" w:themeColor="text1"/>
          <w:spacing w:val="6"/>
          <w:sz w:val="31"/>
          <w:szCs w:val="31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  <w14:textFill>
            <w14:solidFill>
              <w14:schemeClr w14:val="tx1"/>
            </w14:solidFill>
          </w14:textFill>
        </w:rPr>
        <w:t>（20分）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选手根据任务要求，完成PLC，触摸屏，视觉系统，六轴工业机器人等设备的参数设置、系统通讯、程序编写与调试工作，实现工业机器人系统的数据采集与可视化操作。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1.变位机数据采集与可视化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（1）编写PLC及HMI画面，选择合适的控件并绑定变量，并将程序下载至系统中。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（2）在触摸屏上可以显示变位机的使能状态、实时位置、实时速度。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2.传送带数据采集与可视化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（1）传送带起始端传感器有无工件，检测到工件触摸屏指示灯显示绿色；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（2）传送带末端传感器有无工件检测到工件触摸屏指示灯显示绿色；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3.视觉系统数据采集与可视化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（1）通过编写PLC程序及HMI界面，实现PLC与视觉系统通信与控制。</w:t>
      </w:r>
    </w:p>
    <w:p>
      <w:pPr>
        <w:widowControl/>
        <w:kinsoku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（2）通过视觉系统编程与调试，能够识别工件的颜色，并在HMI上显示。</w:t>
      </w:r>
    </w:p>
    <w:p>
      <w:pPr>
        <w:spacing w:line="360" w:lineRule="auto"/>
        <w:jc w:val="center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pacing w:val="-3"/>
          <w:sz w:val="28"/>
          <w:szCs w:val="28"/>
          <w:u w:val="double"/>
          <w14:textFill>
            <w14:solidFill>
              <w14:schemeClr w14:val="tx1"/>
            </w14:solidFill>
          </w14:textFill>
        </w:rPr>
        <w:t>完成本任务后，向裁判申请评判</w:t>
      </w:r>
      <w:r>
        <w:rPr>
          <w:rFonts w:hint="eastAsia" w:ascii="楷体" w:hAnsi="楷体" w:eastAsia="楷体" w:cs="楷体"/>
          <w:b/>
          <w:bCs/>
          <w:color w:val="000000" w:themeColor="text1"/>
          <w:spacing w:val="-1"/>
          <w:sz w:val="28"/>
          <w:szCs w:val="28"/>
          <w:u w:val="double"/>
          <w14:textFill>
            <w14:solidFill>
              <w14:schemeClr w14:val="tx1"/>
            </w14:solidFill>
          </w14:textFill>
        </w:rPr>
        <w:t>！！！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before="1"/>
        <w:ind w:left="3"/>
        <w:jc w:val="center"/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pacing w:val="6"/>
          <w:sz w:val="31"/>
          <w:szCs w:val="31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  <w14:textFill>
            <w14:solidFill>
              <w14:schemeClr w14:val="tx1"/>
            </w14:solidFill>
          </w14:textFill>
        </w:rPr>
        <w:t>模块</w:t>
      </w:r>
      <w:r>
        <w:rPr>
          <w:rFonts w:hint="eastAsia" w:ascii="楷体" w:hAnsi="楷体" w:eastAsia="楷体" w:cs="楷体"/>
          <w:color w:val="000000" w:themeColor="text1"/>
          <w:spacing w:val="9"/>
          <w:sz w:val="31"/>
          <w:szCs w:val="31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  <w14:textFill>
            <w14:solidFill>
              <w14:schemeClr w14:val="tx1"/>
            </w14:solidFill>
          </w14:textFill>
        </w:rPr>
        <w:t>四 工业机器人系统操作与调试</w:t>
      </w:r>
      <w:r>
        <w:rPr>
          <w:rFonts w:hint="eastAsia" w:ascii="楷体" w:hAnsi="楷体" w:eastAsia="楷体" w:cs="楷体"/>
          <w:color w:val="000000" w:themeColor="text1"/>
          <w:spacing w:val="6"/>
          <w:sz w:val="31"/>
          <w:szCs w:val="31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  <w14:textFill>
            <w14:solidFill>
              <w14:schemeClr w14:val="tx1"/>
            </w14:solidFill>
          </w14:textFill>
        </w:rPr>
        <w:t>（45分）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任务描述：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选手根据任务要求，编写仿真软件及工业机器人、PLC、触摸屏、视觉系统等程序，实现个性化定制生产。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1.虚拟仿真调试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（1）根据任务要求，利用提供的三维模型，完成工业机器人系统仿真平台搭建。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（2）在仿真系统中利用画笔工具，编写程序完成</w:t>
      </w:r>
      <w:r>
        <w:rPr>
          <w:rFonts w:hint="eastAsia" w:ascii="楷体" w:hAnsi="楷体" w:eastAsia="楷体" w:cs="楷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提供的模型4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轨迹描绘，并下发到控制柜，调试程序点位并验证。</w:t>
      </w:r>
    </w:p>
    <w:p>
      <w:pPr>
        <w:spacing w:line="360" w:lineRule="auto"/>
        <w:jc w:val="center"/>
        <w:rPr>
          <w:rFonts w:ascii="楷体" w:hAnsi="楷体" w:eastAsia="楷体" w:cs="楷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注：要求系统选择工业机器人要和真实工业机器人为同一型号，否则不得分。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left="420" w:hanging="420"/>
        <w:rPr>
          <w:rFonts w:ascii="楷体" w:hAnsi="楷体" w:eastAsia="楷体" w:cs="楷体"/>
          <w:b/>
          <w:bCs/>
          <w:color w:val="000000" w:themeColor="text1"/>
          <w:sz w:val="28"/>
          <w:szCs w:val="28"/>
          <w:u w:val="double"/>
          <w14:textFill>
            <w14:solidFill>
              <w14:schemeClr w14:val="tx1"/>
            </w14:solidFill>
          </w14:textFill>
        </w:rPr>
      </w:pPr>
      <w:r>
        <w:rPr>
          <w:rFonts w:ascii="Wingdings" w:hAnsi="Wingdings" w:eastAsia="楷体" w:cs="楷体"/>
          <w:b/>
          <w:bCs/>
          <w:color w:val="000000" w:themeColor="text1"/>
          <w:sz w:val="28"/>
          <w:szCs w:val="28"/>
          <w:u w:val="double"/>
          <w14:textFill>
            <w14:solidFill>
              <w14:schemeClr w14:val="tx1"/>
            </w14:solidFill>
          </w14:textFill>
        </w:rPr>
        <w:t></w:t>
      </w:r>
      <w:r>
        <w:rPr>
          <w:rFonts w:hint="eastAsia" w:ascii="楷体" w:hAnsi="楷体" w:eastAsia="楷体" w:cs="楷体"/>
          <w:b/>
          <w:bCs/>
          <w:color w:val="000000" w:themeColor="text1"/>
          <w:sz w:val="28"/>
          <w:szCs w:val="28"/>
          <w:u w:val="double"/>
          <w14:textFill>
            <w14:solidFill>
              <w14:schemeClr w14:val="tx1"/>
            </w14:solidFill>
          </w14:textFill>
        </w:rPr>
        <w:t>平台1：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2.系统初始复位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利用示教器将工业机器人手动操作到非原点位置、变位机处于非水平位置状态、井式供料模块缸伸出</w:t>
      </w: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变位机</w:t>
      </w: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装配模块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定位气缸伸出；按下复位按钮返回至工作原点，原点定义（机器人1、2、3、4、6轴处在零点位置5轴朝下90度，变位机处在水平装配台朝上位置，井式供料模块气缸缩回，</w:t>
      </w: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变位机装配模块定位气缸缩回，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工业机器人末端无工具）。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3.工件准备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本任务需要完成一套工件的装配。将黄*1、绿*1、红*1、蓝工件随机放置到井式供料模块中。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4.工作站装配过程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（1）工件供料：机器人自动模式按下触摸屏下方绿色启动按钮，机器人自动</w:t>
      </w: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加装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吸盘工具，控制井式供料模块推料，传送带启动，完成供料；同时机器人移动到传送带末端上方等待工件到位；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（2）工件运输：工件到达传送带末端，末端光电传感器检测到工件，机器人吸取工件3秒后传送带自动停止运动；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（3）视觉检测：机器人将工件移动到视觉模块上方进行检查，将检测到的</w:t>
      </w: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颜色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信息显示到触摸屏上；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（4）工件装配：机器人将工件放置装配桶内（1号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  <w:woUserID w:val="1"/>
        </w:rPr>
        <w:t>装配桶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放置红色工件、2号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  <w:woUserID w:val="1"/>
        </w:rPr>
        <w:t>装配桶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放置绿色工件、3号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  <w:woUserID w:val="1"/>
        </w:rPr>
        <w:t>装配桶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放置黄色工件、蓝色为废料放置到废料区，废料区位置选手自定）；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（5）重复步骤1-4，完成剩余</w:t>
      </w:r>
      <w:bookmarkStart w:id="1" w:name="_GoBack"/>
      <w:bookmarkEnd w:id="1"/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工件的输送、检测和装配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  <w:woUserID w:val="1"/>
        </w:rPr>
        <w:t>，机器人切换夹爪工具将盖板加装至装配桶并旋紧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5.系统结束复位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工业机器人自动将末端工具放入快换装置并返回工作原点。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楷体" w:hAnsi="楷体" w:eastAsia="楷体" w:cs="楷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Wingdings" w:hAnsi="Wingdings" w:eastAsia="楷体" w:cs="楷体"/>
          <w:b/>
          <w:bCs/>
          <w:color w:val="000000" w:themeColor="text1"/>
          <w:sz w:val="28"/>
          <w:szCs w:val="28"/>
          <w:u w:val="double"/>
          <w14:textFill>
            <w14:solidFill>
              <w14:schemeClr w14:val="tx1"/>
            </w14:solidFill>
          </w14:textFill>
        </w:rPr>
        <w:t></w:t>
      </w:r>
      <w:r>
        <w:rPr>
          <w:rFonts w:hint="eastAsia" w:ascii="楷体" w:hAnsi="楷体" w:eastAsia="楷体" w:cs="楷体"/>
          <w:b/>
          <w:bCs/>
          <w:color w:val="000000" w:themeColor="text1"/>
          <w:sz w:val="28"/>
          <w:szCs w:val="28"/>
          <w:u w:val="double"/>
          <w14:textFill>
            <w14:solidFill>
              <w14:schemeClr w14:val="tx1"/>
            </w14:solidFill>
          </w14:textFill>
        </w:rPr>
        <w:t>平台2：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工业机器人装配工作站控制要求如下所示：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2.系统初始复位</w:t>
      </w:r>
    </w:p>
    <w:p>
      <w:pPr>
        <w:tabs>
          <w:tab w:val="left" w:pos="2692"/>
        </w:tabs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利用示教器将工业机器人手动操作到非原点位置、变位机处于非水平位置状态、井式供料模块缸伸出</w:t>
      </w: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变位机</w:t>
      </w: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装配模块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定位气缸伸出；按下复位按钮返回至工作原点，原点定义（机器人1、2、3、4、6轴处在零点位置5轴朝下90度，变位机处在水平装配台朝上位置，井式供料模块气缸缩回，</w:t>
      </w: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变位机装配模块定位气缸缩回，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工业机器人末端无工具）。</w:t>
      </w:r>
    </w:p>
    <w:p>
      <w:pPr>
        <w:tabs>
          <w:tab w:val="left" w:pos="2692"/>
        </w:tabs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3.工件准备</w:t>
      </w: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本任务需要完成一套关节部件的装配，裁判在上料模块中随机放入</w:t>
      </w: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个不同颜色（蓝、黄、红）的部件2(减速器）和</w:t>
      </w: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1个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部件3（输出法兰）；注：部件2在下部件3在上。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4.工作站装配过程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(1)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部件</w:t>
      </w: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(关节底座）上料：按下启动按钮工业机器人自动将部件1（关节底座）放置到装配模块上并加紧（关节底座放在立体仓库模块中，位置由选手自定义）。工业机器人控制上料气缸将供料筒中的一个工件推出，2秒后自动缩回，实现工件上料过程；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(2)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部件2(减速器）输送：工件上料完成后，输送带立即开始运行，并将工件输送至输送带末端，待末端传感器检测到工件3秒后输送带自动停止；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(3)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部件2(减速器）检测：工件输送至末端且输送带停止后，</w:t>
      </w:r>
      <w:bookmarkStart w:id="0" w:name="_Hlk97733032"/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工业机器人触发相机拍照，获取工件信息，</w:t>
      </w:r>
      <w:bookmarkEnd w:id="0"/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在HMI上正确显示工件颜色信息；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(4)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部件2(减速器）装配：正确获取减速器信息后，工业机器人调整吸盘角度吸持工件，将黄色部件2(减速器）装配至部件1（关节底座）内完成装配，其他颜色的部件2机器人将其放置废料区（废料区选手自定）；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(5)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部件3（输出法兰）输送、检测和装配：重复步骤1-4，完成部件3（输出法兰）的输送、检测和装配；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(6)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成品入库：工业机器人自动更换弧口手爪工具，再将成品工件搬运至立体库任意位置，完成一套部件的装配任务。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5.系统结束复位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工业机器人自动将末端工具放入快换装置并返回工作原点。</w:t>
      </w:r>
    </w:p>
    <w:p>
      <w:pPr>
        <w:spacing w:line="360" w:lineRule="auto"/>
        <w:jc w:val="center"/>
        <w:rPr>
          <w:rFonts w:ascii="楷体" w:hAnsi="楷体" w:eastAsia="楷体" w:cs="楷体"/>
          <w:b/>
          <w:bCs/>
          <w:color w:val="000000" w:themeColor="text1"/>
          <w:spacing w:val="-1"/>
          <w:sz w:val="28"/>
          <w:szCs w:val="28"/>
          <w:u w:val="double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pacing w:val="-3"/>
          <w:sz w:val="28"/>
          <w:szCs w:val="28"/>
          <w:u w:val="double"/>
          <w14:textFill>
            <w14:solidFill>
              <w14:schemeClr w14:val="tx1"/>
            </w14:solidFill>
          </w14:textFill>
        </w:rPr>
        <w:t>完成本任务后，向裁判申请评判</w:t>
      </w:r>
      <w:r>
        <w:rPr>
          <w:rFonts w:hint="eastAsia" w:ascii="楷体" w:hAnsi="楷体" w:eastAsia="楷体" w:cs="楷体"/>
          <w:b/>
          <w:bCs/>
          <w:color w:val="000000" w:themeColor="text1"/>
          <w:spacing w:val="-1"/>
          <w:sz w:val="28"/>
          <w:szCs w:val="28"/>
          <w:u w:val="double"/>
          <w14:textFill>
            <w14:solidFill>
              <w14:schemeClr w14:val="tx1"/>
            </w14:solidFill>
          </w14:textFill>
        </w:rPr>
        <w:t>！！！</w:t>
      </w:r>
    </w:p>
    <w:p>
      <w:pPr>
        <w:spacing w:line="360" w:lineRule="auto"/>
        <w:jc w:val="center"/>
        <w:rPr>
          <w:rFonts w:ascii="楷体" w:hAnsi="楷体" w:eastAsia="楷体" w:cs="楷体"/>
          <w:b/>
          <w:bCs/>
          <w:color w:val="000000" w:themeColor="text1"/>
          <w:spacing w:val="-1"/>
          <w:sz w:val="28"/>
          <w:szCs w:val="28"/>
          <w:u w:val="double"/>
          <w14:textFill>
            <w14:solidFill>
              <w14:schemeClr w14:val="tx1"/>
            </w14:solidFill>
          </w14:textFill>
        </w:rPr>
      </w:pP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before="1"/>
        <w:ind w:left="7"/>
        <w:jc w:val="center"/>
        <w:rPr>
          <w:rFonts w:ascii="楷体" w:hAnsi="楷体" w:eastAsia="楷体" w:cs="楷体"/>
          <w:color w:val="000000" w:themeColor="text1"/>
          <w:sz w:val="31"/>
          <w:szCs w:val="3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pacing w:val="8"/>
          <w:sz w:val="31"/>
          <w:szCs w:val="31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  <w14:textFill>
            <w14:solidFill>
              <w14:schemeClr w14:val="tx1"/>
            </w14:solidFill>
          </w14:textFill>
        </w:rPr>
        <w:t>任务五 职业素养</w:t>
      </w:r>
      <w:r>
        <w:rPr>
          <w:rFonts w:hint="eastAsia" w:ascii="楷体" w:hAnsi="楷体" w:eastAsia="楷体" w:cs="楷体"/>
          <w:color w:val="000000" w:themeColor="text1"/>
          <w:spacing w:val="6"/>
          <w:sz w:val="31"/>
          <w:szCs w:val="31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  <w14:textFill>
            <w14:solidFill>
              <w14:schemeClr w14:val="tx1"/>
            </w14:solidFill>
          </w14:textFill>
        </w:rPr>
        <w:t>（5分）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任务描述：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严格遵循相关职业素养要求及安全规范，安全文明参赛；团队协作，着装规范，操作规范；工具摆放整齐；资料归档完整。严格防止电路短路、生产失控造成人身和设备伤害。</w:t>
      </w:r>
    </w:p>
    <w:p>
      <w:pPr>
        <w:widowControl/>
        <w:kinsoku w:val="0"/>
        <w:adjustRightInd w:val="0"/>
        <w:snapToGrid w:val="0"/>
        <w:spacing w:line="360" w:lineRule="auto"/>
        <w:textAlignment w:val="baseline"/>
        <w:rPr>
          <w:rFonts w:ascii="Arial" w:hAnsi="Arial" w:eastAsia="楷体" w:cs="Arial"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p>
      <w:pPr>
        <w:widowControl/>
        <w:kinsoku w:val="0"/>
        <w:adjustRightInd w:val="0"/>
        <w:snapToGrid w:val="0"/>
        <w:spacing w:line="360" w:lineRule="auto"/>
        <w:textAlignment w:val="baseline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Arial" w:hAnsi="Arial" w:eastAsia="楷体" w:cs="Arial"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附件1：故障点检表</w:t>
      </w:r>
    </w:p>
    <w:tbl>
      <w:tblPr>
        <w:tblStyle w:val="9"/>
        <w:tblW w:w="5018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96"/>
        <w:gridCol w:w="4305"/>
        <w:gridCol w:w="4305"/>
        <w:gridCol w:w="430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391" w:type="pct"/>
            <w:vAlign w:val="center"/>
          </w:tcPr>
          <w:p>
            <w:pPr>
              <w:spacing w:line="360" w:lineRule="auto"/>
              <w:jc w:val="center"/>
              <w:rPr>
                <w:rFonts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故障现象</w:t>
            </w: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故障位置</w:t>
            </w:r>
          </w:p>
        </w:tc>
        <w:tc>
          <w:tcPr>
            <w:tcW w:w="1536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解决方法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391" w:type="pct"/>
            <w:vAlign w:val="center"/>
          </w:tcPr>
          <w:p>
            <w:pPr>
              <w:spacing w:line="360" w:lineRule="auto"/>
              <w:jc w:val="center"/>
              <w:rPr>
                <w:rFonts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6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391" w:type="pct"/>
            <w:vAlign w:val="center"/>
          </w:tcPr>
          <w:p>
            <w:pPr>
              <w:spacing w:line="360" w:lineRule="auto"/>
              <w:jc w:val="center"/>
              <w:rPr>
                <w:rFonts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6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391" w:type="pct"/>
            <w:vAlign w:val="center"/>
          </w:tcPr>
          <w:p>
            <w:pPr>
              <w:spacing w:line="360" w:lineRule="auto"/>
              <w:jc w:val="center"/>
              <w:rPr>
                <w:rFonts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6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391" w:type="pct"/>
            <w:vAlign w:val="center"/>
          </w:tcPr>
          <w:p>
            <w:pPr>
              <w:spacing w:line="360" w:lineRule="auto"/>
              <w:jc w:val="center"/>
              <w:rPr>
                <w:rFonts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6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391" w:type="pct"/>
            <w:vAlign w:val="center"/>
          </w:tcPr>
          <w:p>
            <w:pPr>
              <w:spacing w:line="360" w:lineRule="auto"/>
              <w:jc w:val="center"/>
              <w:rPr>
                <w:rFonts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6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391" w:type="pct"/>
            <w:vAlign w:val="center"/>
          </w:tcPr>
          <w:p>
            <w:pPr>
              <w:spacing w:line="360" w:lineRule="auto"/>
              <w:jc w:val="center"/>
              <w:rPr>
                <w:rFonts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6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391" w:type="pct"/>
            <w:vAlign w:val="center"/>
          </w:tcPr>
          <w:p>
            <w:pPr>
              <w:spacing w:line="360" w:lineRule="auto"/>
              <w:jc w:val="center"/>
              <w:rPr>
                <w:rFonts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6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391" w:type="pct"/>
            <w:vAlign w:val="center"/>
          </w:tcPr>
          <w:p>
            <w:pPr>
              <w:spacing w:line="360" w:lineRule="auto"/>
              <w:jc w:val="center"/>
              <w:rPr>
                <w:rFonts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6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391" w:type="pct"/>
            <w:vAlign w:val="center"/>
          </w:tcPr>
          <w:p>
            <w:pPr>
              <w:spacing w:line="360" w:lineRule="auto"/>
              <w:jc w:val="center"/>
              <w:rPr>
                <w:rFonts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6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391" w:type="pct"/>
            <w:vAlign w:val="center"/>
          </w:tcPr>
          <w:p>
            <w:pPr>
              <w:spacing w:line="360" w:lineRule="auto"/>
              <w:jc w:val="center"/>
              <w:rPr>
                <w:rFonts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6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391" w:type="pct"/>
            <w:vAlign w:val="center"/>
          </w:tcPr>
          <w:p>
            <w:pPr>
              <w:spacing w:line="360" w:lineRule="auto"/>
              <w:jc w:val="center"/>
              <w:rPr>
                <w:rFonts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6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391" w:type="pct"/>
            <w:vAlign w:val="center"/>
          </w:tcPr>
          <w:p>
            <w:pPr>
              <w:spacing w:line="360" w:lineRule="auto"/>
              <w:jc w:val="center"/>
              <w:rPr>
                <w:rFonts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6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widowControl/>
        <w:kinsoku w:val="0"/>
        <w:adjustRightInd w:val="0"/>
        <w:snapToGrid w:val="0"/>
        <w:spacing w:line="360" w:lineRule="auto"/>
        <w:textAlignment w:val="baseline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widowControl/>
        <w:kinsoku w:val="0"/>
        <w:adjustRightInd w:val="0"/>
        <w:snapToGrid w:val="0"/>
        <w:spacing w:line="360" w:lineRule="auto"/>
        <w:textAlignment w:val="baseline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sectPr>
      <w:pgSz w:w="16838" w:h="11906" w:orient="landscape"/>
      <w:pgMar w:top="1803" w:right="1440" w:bottom="1803" w:left="1440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">
    <w:altName w:val="汉仪楷体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B73CBFB"/>
    <w:multiLevelType w:val="singleLevel"/>
    <w:tmpl w:val="5B73CBFB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7149AC"/>
    <w:rsid w:val="00135135"/>
    <w:rsid w:val="00350B24"/>
    <w:rsid w:val="00401635"/>
    <w:rsid w:val="004B111A"/>
    <w:rsid w:val="00584891"/>
    <w:rsid w:val="005C7617"/>
    <w:rsid w:val="006525E3"/>
    <w:rsid w:val="0068305A"/>
    <w:rsid w:val="00776C18"/>
    <w:rsid w:val="007B3AC0"/>
    <w:rsid w:val="0084156C"/>
    <w:rsid w:val="008C6719"/>
    <w:rsid w:val="00990685"/>
    <w:rsid w:val="00A22127"/>
    <w:rsid w:val="00B12325"/>
    <w:rsid w:val="00B33A40"/>
    <w:rsid w:val="00C36DC9"/>
    <w:rsid w:val="00C73C27"/>
    <w:rsid w:val="00D02A07"/>
    <w:rsid w:val="00D86794"/>
    <w:rsid w:val="00D91A46"/>
    <w:rsid w:val="00DC4315"/>
    <w:rsid w:val="00EB3AC3"/>
    <w:rsid w:val="00ED709B"/>
    <w:rsid w:val="00F36856"/>
    <w:rsid w:val="037E4FBC"/>
    <w:rsid w:val="04891E6A"/>
    <w:rsid w:val="06436049"/>
    <w:rsid w:val="080E557C"/>
    <w:rsid w:val="0F3B1FB3"/>
    <w:rsid w:val="11F528ED"/>
    <w:rsid w:val="12013301"/>
    <w:rsid w:val="133F3948"/>
    <w:rsid w:val="135C104D"/>
    <w:rsid w:val="15DF162F"/>
    <w:rsid w:val="166C5148"/>
    <w:rsid w:val="16E55626"/>
    <w:rsid w:val="16F507F3"/>
    <w:rsid w:val="1A420699"/>
    <w:rsid w:val="1C0B5C75"/>
    <w:rsid w:val="1CAA0778"/>
    <w:rsid w:val="1D7149AC"/>
    <w:rsid w:val="1EF652A8"/>
    <w:rsid w:val="20CA4326"/>
    <w:rsid w:val="20E3279C"/>
    <w:rsid w:val="26E2748C"/>
    <w:rsid w:val="27C070A1"/>
    <w:rsid w:val="2C242438"/>
    <w:rsid w:val="2C2D49B2"/>
    <w:rsid w:val="2CEB2E12"/>
    <w:rsid w:val="2D4A18E7"/>
    <w:rsid w:val="2D870E4B"/>
    <w:rsid w:val="2ED51684"/>
    <w:rsid w:val="2F3960B7"/>
    <w:rsid w:val="2F9C21A2"/>
    <w:rsid w:val="306F78B6"/>
    <w:rsid w:val="335850A6"/>
    <w:rsid w:val="36FF3742"/>
    <w:rsid w:val="38154973"/>
    <w:rsid w:val="39050468"/>
    <w:rsid w:val="3CF61143"/>
    <w:rsid w:val="3F9E1DE6"/>
    <w:rsid w:val="3FBE7F20"/>
    <w:rsid w:val="421943DC"/>
    <w:rsid w:val="435A7F52"/>
    <w:rsid w:val="465E7D59"/>
    <w:rsid w:val="49E311B3"/>
    <w:rsid w:val="4CCA4B22"/>
    <w:rsid w:val="4DDD3C5A"/>
    <w:rsid w:val="528079D5"/>
    <w:rsid w:val="5966366C"/>
    <w:rsid w:val="59AD4E28"/>
    <w:rsid w:val="5B1E7D8B"/>
    <w:rsid w:val="5C2A09B2"/>
    <w:rsid w:val="5FA6034F"/>
    <w:rsid w:val="607246D5"/>
    <w:rsid w:val="60C05441"/>
    <w:rsid w:val="622814F0"/>
    <w:rsid w:val="62F207AF"/>
    <w:rsid w:val="64843C52"/>
    <w:rsid w:val="648B46FB"/>
    <w:rsid w:val="67F82E31"/>
    <w:rsid w:val="68AA0EB0"/>
    <w:rsid w:val="68E10602"/>
    <w:rsid w:val="69216C99"/>
    <w:rsid w:val="69232A11"/>
    <w:rsid w:val="6C2C03BF"/>
    <w:rsid w:val="6C4F2FBF"/>
    <w:rsid w:val="6FE0340A"/>
    <w:rsid w:val="74FF6AF8"/>
    <w:rsid w:val="777A9327"/>
    <w:rsid w:val="7DDFBD6A"/>
    <w:rsid w:val="7FEB5A2F"/>
    <w:rsid w:val="A7FEA448"/>
    <w:rsid w:val="EF4FFA12"/>
    <w:rsid w:val="FE6F1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semiHidden/>
    <w:qFormat/>
    <w:uiPriority w:val="0"/>
    <w:rPr>
      <w:rFonts w:ascii="Arial" w:hAnsi="Arial" w:eastAsia="Arial" w:cs="Arial"/>
      <w:szCs w:val="21"/>
      <w:lang w:eastAsia="en-US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Table Text"/>
    <w:basedOn w:val="1"/>
    <w:semiHidden/>
    <w:qFormat/>
    <w:uiPriority w:val="0"/>
    <w:rPr>
      <w:rFonts w:ascii="宋体" w:hAnsi="宋体" w:eastAsia="宋体" w:cs="宋体"/>
      <w:sz w:val="24"/>
      <w:lang w:eastAsia="en-US"/>
    </w:rPr>
  </w:style>
  <w:style w:type="paragraph" w:styleId="11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9</Pages>
  <Words>641</Words>
  <Characters>3656</Characters>
  <Lines>30</Lines>
  <Paragraphs>8</Paragraphs>
  <TotalTime>0</TotalTime>
  <ScaleCrop>false</ScaleCrop>
  <LinksUpToDate>false</LinksUpToDate>
  <CharactersWithSpaces>4289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2024-11-20T14:09:00Z</dcterms:created>
  <dc:creator>℃</dc:creator>
  <cp:lastModifiedBy>Augustus Paullette</cp:lastModifiedBy>
  <dcterms:modified xsi:type="dcterms:W3CDTF">2024-12-23T10:19:40Z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04BA9AC3B8BD4108BA1A05AD36E5CE95_13</vt:lpwstr>
  </property>
</Properties>
</file>