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240" w:lineRule="atLeast"/>
        <w:jc w:val="center"/>
        <w:rPr>
          <w:rFonts w:hint="eastAsia" w:ascii="方正小标宋_GBK" w:hAnsi="方正小标宋_GBK" w:eastAsia="方正小标宋_GBK" w:cs="方正小标宋_GBK"/>
          <w:b w:val="0"/>
          <w:bCs w:val="0"/>
          <w:color w:val="auto"/>
          <w:sz w:val="44"/>
          <w:szCs w:val="44"/>
          <w:lang w:eastAsia="zh-CN"/>
        </w:rPr>
      </w:pPr>
      <w:bookmarkStart w:id="0" w:name="_Toc3498"/>
      <w:bookmarkStart w:id="1" w:name="_Toc11538"/>
      <w:bookmarkStart w:id="2" w:name="_Toc2519"/>
      <w:r>
        <w:rPr>
          <w:rFonts w:hint="eastAsia" w:ascii="方正小标宋_GBK" w:hAnsi="方正小标宋_GBK" w:eastAsia="方正小标宋_GBK" w:cs="方正小标宋_GBK"/>
          <w:b w:val="0"/>
          <w:bCs w:val="0"/>
          <w:color w:val="auto"/>
          <w:sz w:val="44"/>
          <w:szCs w:val="44"/>
        </w:rPr>
        <w:t>202</w:t>
      </w:r>
      <w:r>
        <w:rPr>
          <w:rFonts w:hint="eastAsia" w:ascii="方正小标宋_GBK" w:hAnsi="方正小标宋_GBK" w:eastAsia="方正小标宋_GBK" w:cs="方正小标宋_GBK"/>
          <w:b w:val="0"/>
          <w:bCs w:val="0"/>
          <w:color w:val="auto"/>
          <w:sz w:val="44"/>
          <w:szCs w:val="44"/>
          <w:lang w:val="en-US" w:eastAsia="zh-CN"/>
        </w:rPr>
        <w:t>4</w:t>
      </w:r>
      <w:r>
        <w:rPr>
          <w:rFonts w:hint="eastAsia" w:ascii="方正小标宋_GBK" w:hAnsi="方正小标宋_GBK" w:eastAsia="方正小标宋_GBK" w:cs="方正小标宋_GBK"/>
          <w:b w:val="0"/>
          <w:bCs w:val="0"/>
          <w:color w:val="auto"/>
          <w:sz w:val="44"/>
          <w:szCs w:val="44"/>
        </w:rPr>
        <w:t>年河南省高等职业教育技能</w:t>
      </w:r>
      <w:r>
        <w:rPr>
          <w:rFonts w:hint="eastAsia" w:ascii="方正小标宋_GBK" w:hAnsi="方正小标宋_GBK" w:eastAsia="方正小标宋_GBK" w:cs="方正小标宋_GBK"/>
          <w:b w:val="0"/>
          <w:bCs w:val="0"/>
          <w:color w:val="auto"/>
          <w:sz w:val="44"/>
          <w:szCs w:val="44"/>
          <w:lang w:eastAsia="zh-CN"/>
        </w:rPr>
        <w:t>大赛</w:t>
      </w:r>
    </w:p>
    <w:p>
      <w:pPr>
        <w:adjustRightInd w:val="0"/>
        <w:snapToGrid w:val="0"/>
        <w:spacing w:line="240" w:lineRule="atLeast"/>
        <w:jc w:val="center"/>
        <w:rPr>
          <w:rFonts w:hint="eastAsia" w:ascii="方正小标宋_GBK" w:hAnsi="方正小标宋_GBK" w:eastAsia="方正小标宋_GBK" w:cs="方正小标宋_GBK"/>
          <w:b w:val="0"/>
          <w:bCs w:val="0"/>
          <w:color w:val="auto"/>
          <w:sz w:val="44"/>
          <w:szCs w:val="44"/>
        </w:rPr>
      </w:pPr>
      <w:r>
        <w:rPr>
          <w:rFonts w:hint="eastAsia" w:ascii="方正小标宋_GBK" w:hAnsi="方正小标宋_GBK" w:eastAsia="方正小标宋_GBK" w:cs="方正小标宋_GBK"/>
          <w:b w:val="0"/>
          <w:bCs w:val="0"/>
          <w:color w:val="auto"/>
          <w:sz w:val="44"/>
          <w:szCs w:val="44"/>
          <w:lang w:val="en-US" w:eastAsia="zh-CN"/>
        </w:rPr>
        <w:t>校园创编舞</w:t>
      </w:r>
      <w:r>
        <w:rPr>
          <w:rFonts w:hint="eastAsia" w:ascii="方正小标宋_GBK" w:hAnsi="方正小标宋_GBK" w:eastAsia="方正小标宋_GBK" w:cs="方正小标宋_GBK"/>
          <w:b w:val="0"/>
          <w:bCs w:val="0"/>
          <w:color w:val="auto"/>
          <w:sz w:val="44"/>
          <w:szCs w:val="44"/>
        </w:rPr>
        <w:t>赛项竞赛方案</w:t>
      </w:r>
    </w:p>
    <w:p>
      <w:pPr>
        <w:pStyle w:val="2"/>
        <w:ind w:left="0" w:leftChars="0" w:firstLine="0" w:firstLineChars="0"/>
        <w:rPr>
          <w:color w:val="auto"/>
        </w:rPr>
      </w:pPr>
    </w:p>
    <w:p>
      <w:pPr>
        <w:pStyle w:val="2"/>
        <w:rPr>
          <w:color w:val="auto"/>
        </w:rPr>
      </w:pPr>
    </w:p>
    <w:p>
      <w:pPr>
        <w:keepNext w:val="0"/>
        <w:keepLines w:val="0"/>
        <w:pageBreakBefore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rPr>
      </w:pPr>
      <w:r>
        <w:rPr>
          <w:rFonts w:hint="eastAsia" w:ascii="黑体" w:hAnsi="黑体" w:eastAsia="黑体" w:cs="黑体"/>
          <w:b w:val="0"/>
          <w:bCs w:val="0"/>
          <w:color w:val="auto"/>
          <w:sz w:val="30"/>
          <w:szCs w:val="30"/>
        </w:rPr>
        <w:t>一</w:t>
      </w:r>
      <w:r>
        <w:rPr>
          <w:rFonts w:hint="eastAsia" w:ascii="黑体" w:hAnsi="黑体" w:eastAsia="黑体" w:cs="黑体"/>
          <w:b w:val="0"/>
          <w:bCs w:val="0"/>
          <w:color w:val="auto"/>
          <w:sz w:val="30"/>
          <w:szCs w:val="30"/>
          <w:lang w:eastAsia="zh-CN"/>
        </w:rPr>
        <w:t>、</w:t>
      </w:r>
      <w:r>
        <w:rPr>
          <w:rFonts w:hint="eastAsia" w:ascii="黑体" w:hAnsi="黑体" w:eastAsia="黑体" w:cs="黑体"/>
          <w:b w:val="0"/>
          <w:bCs w:val="0"/>
          <w:color w:val="auto"/>
          <w:sz w:val="30"/>
          <w:szCs w:val="30"/>
        </w:rPr>
        <w:t>赛项名称</w:t>
      </w:r>
      <w:bookmarkEnd w:id="0"/>
      <w:bookmarkEnd w:id="1"/>
      <w:bookmarkEnd w:id="2"/>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rPr>
        <w:t>赛项名称：</w:t>
      </w:r>
      <w:r>
        <w:rPr>
          <w:rFonts w:hint="eastAsia" w:ascii="仿宋" w:hAnsi="仿宋" w:eastAsia="仿宋" w:cs="宋体"/>
          <w:color w:val="auto"/>
          <w:kern w:val="0"/>
          <w:sz w:val="30"/>
          <w:szCs w:val="30"/>
          <w:lang w:val="en-US" w:eastAsia="zh-CN"/>
        </w:rPr>
        <w:t>校园创编舞</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竞赛形式：团体赛</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eastAsia" w:ascii="仿宋" w:hAnsi="仿宋" w:eastAsia="仿宋" w:cs="宋体"/>
          <w:color w:val="auto"/>
          <w:kern w:val="0"/>
          <w:sz w:val="30"/>
          <w:szCs w:val="30"/>
        </w:rPr>
      </w:pPr>
      <w:r>
        <w:rPr>
          <w:rFonts w:hint="eastAsia" w:ascii="仿宋" w:hAnsi="仿宋" w:eastAsia="仿宋" w:cs="宋体"/>
          <w:color w:val="auto"/>
          <w:kern w:val="0"/>
          <w:sz w:val="30"/>
          <w:szCs w:val="30"/>
        </w:rPr>
        <w:t>赛项组别：高职组</w:t>
      </w:r>
    </w:p>
    <w:p>
      <w:pPr>
        <w:pStyle w:val="19"/>
        <w:spacing w:line="560" w:lineRule="exact"/>
        <w:ind w:firstLine="600" w:firstLineChars="200"/>
        <w:jc w:val="both"/>
        <w:rPr>
          <w:rFonts w:hint="default" w:ascii="仿宋" w:hAnsi="仿宋" w:eastAsia="仿宋_GB2312" w:cs="宋体"/>
          <w:color w:val="auto"/>
          <w:kern w:val="0"/>
          <w:sz w:val="30"/>
          <w:szCs w:val="30"/>
          <w:lang w:val="en-US" w:eastAsia="zh-CN"/>
        </w:rPr>
      </w:pPr>
      <w:r>
        <w:rPr>
          <w:rFonts w:hint="eastAsia" w:ascii="仿宋_GB2312" w:hAnsi="仿宋_GB2312" w:eastAsia="仿宋_GB2312" w:cs="仿宋_GB2312"/>
          <w:color w:val="auto"/>
          <w:sz w:val="30"/>
          <w:szCs w:val="30"/>
        </w:rPr>
        <w:t>专业大类：</w:t>
      </w:r>
      <w:r>
        <w:rPr>
          <w:rFonts w:hint="eastAsia" w:ascii="仿宋_GB2312" w:hAnsi="仿宋_GB2312" w:eastAsia="仿宋_GB2312" w:cs="仿宋_GB2312"/>
          <w:color w:val="auto"/>
          <w:sz w:val="30"/>
          <w:szCs w:val="30"/>
          <w:lang w:val="en-US" w:eastAsia="zh-CN"/>
        </w:rPr>
        <w:t>公共基础组</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eastAsia" w:ascii="仿宋" w:hAnsi="仿宋" w:eastAsia="仿宋" w:cs="宋体"/>
          <w:color w:val="auto"/>
          <w:kern w:val="0"/>
          <w:sz w:val="30"/>
          <w:szCs w:val="30"/>
        </w:rPr>
      </w:pPr>
      <w:r>
        <w:rPr>
          <w:rFonts w:hint="eastAsia" w:ascii="仿宋" w:hAnsi="仿宋" w:eastAsia="仿宋" w:cs="宋体"/>
          <w:color w:val="auto"/>
          <w:kern w:val="0"/>
          <w:sz w:val="30"/>
          <w:szCs w:val="30"/>
        </w:rPr>
        <w:t>主办单位：河南省教育厅</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eastAsia" w:ascii="仿宋" w:hAnsi="仿宋" w:eastAsia="仿宋" w:cs="宋体"/>
          <w:color w:val="auto"/>
          <w:kern w:val="0"/>
          <w:sz w:val="30"/>
          <w:szCs w:val="30"/>
        </w:rPr>
      </w:pPr>
      <w:r>
        <w:rPr>
          <w:rFonts w:hint="eastAsia" w:ascii="仿宋" w:hAnsi="仿宋" w:eastAsia="仿宋" w:cs="宋体"/>
          <w:color w:val="auto"/>
          <w:kern w:val="0"/>
          <w:sz w:val="30"/>
          <w:szCs w:val="30"/>
        </w:rPr>
        <w:t>承办单位：</w:t>
      </w:r>
      <w:r>
        <w:rPr>
          <w:rFonts w:hint="eastAsia" w:ascii="仿宋" w:hAnsi="仿宋" w:eastAsia="仿宋" w:cs="宋体"/>
          <w:color w:val="auto"/>
          <w:kern w:val="0"/>
          <w:sz w:val="30"/>
          <w:szCs w:val="30"/>
          <w:lang w:val="en-US" w:eastAsia="zh-CN"/>
        </w:rPr>
        <w:t>三门峡</w:t>
      </w:r>
      <w:r>
        <w:rPr>
          <w:rFonts w:hint="eastAsia" w:ascii="仿宋" w:hAnsi="仿宋" w:eastAsia="仿宋" w:cs="宋体"/>
          <w:color w:val="auto"/>
          <w:kern w:val="0"/>
          <w:sz w:val="30"/>
          <w:szCs w:val="30"/>
        </w:rPr>
        <w:t>职业技术学院</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eastAsia" w:ascii="仿宋" w:hAnsi="仿宋" w:eastAsia="仿宋" w:cs="宋体"/>
          <w:color w:val="auto"/>
          <w:kern w:val="0"/>
          <w:sz w:val="30"/>
          <w:szCs w:val="30"/>
          <w:lang w:val="en-US" w:eastAsia="zh-CN"/>
        </w:rPr>
      </w:pPr>
      <w:bookmarkStart w:id="3" w:name="_Toc15725"/>
      <w:bookmarkStart w:id="4" w:name="_Toc18090"/>
      <w:bookmarkStart w:id="5" w:name="_Toc24234"/>
      <w:r>
        <w:rPr>
          <w:rFonts w:hint="eastAsia" w:ascii="仿宋" w:hAnsi="仿宋" w:eastAsia="仿宋" w:cs="宋体"/>
          <w:color w:val="auto"/>
          <w:kern w:val="0"/>
          <w:sz w:val="30"/>
          <w:szCs w:val="30"/>
          <w:lang w:val="en-US" w:eastAsia="zh-CN"/>
        </w:rPr>
        <w:t>报到及推荐住宿地点：另行通知</w:t>
      </w:r>
    </w:p>
    <w:p>
      <w:pPr>
        <w:keepNext w:val="0"/>
        <w:keepLines w:val="0"/>
        <w:pageBreakBefore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rPr>
      </w:pPr>
      <w:r>
        <w:rPr>
          <w:rFonts w:hint="eastAsia" w:ascii="黑体" w:hAnsi="黑体" w:eastAsia="黑体" w:cs="黑体"/>
          <w:b w:val="0"/>
          <w:bCs w:val="0"/>
          <w:color w:val="auto"/>
          <w:sz w:val="30"/>
          <w:szCs w:val="30"/>
        </w:rPr>
        <w:t>二</w:t>
      </w:r>
      <w:r>
        <w:rPr>
          <w:rFonts w:hint="eastAsia" w:ascii="黑体" w:hAnsi="黑体" w:eastAsia="黑体" w:cs="黑体"/>
          <w:b w:val="0"/>
          <w:bCs w:val="0"/>
          <w:color w:val="auto"/>
          <w:sz w:val="30"/>
          <w:szCs w:val="30"/>
          <w:lang w:eastAsia="zh-CN"/>
        </w:rPr>
        <w:t>、</w:t>
      </w:r>
      <w:r>
        <w:rPr>
          <w:rFonts w:hint="eastAsia" w:ascii="黑体" w:hAnsi="黑体" w:eastAsia="黑体" w:cs="黑体"/>
          <w:b w:val="0"/>
          <w:bCs w:val="0"/>
          <w:color w:val="auto"/>
          <w:sz w:val="30"/>
          <w:szCs w:val="30"/>
        </w:rPr>
        <w:t>竞赛目的</w:t>
      </w:r>
      <w:bookmarkEnd w:id="3"/>
      <w:bookmarkEnd w:id="4"/>
      <w:bookmarkEnd w:id="5"/>
    </w:p>
    <w:p>
      <w:pPr>
        <w:spacing w:line="560" w:lineRule="exact"/>
        <w:ind w:firstLine="600" w:firstLineChars="200"/>
        <w:rPr>
          <w:rFonts w:hint="eastAsia" w:ascii="仿宋" w:hAnsi="仿宋" w:eastAsia="仿宋" w:cs="宋体"/>
          <w:color w:val="auto"/>
          <w:kern w:val="0"/>
          <w:sz w:val="30"/>
          <w:szCs w:val="30"/>
        </w:rPr>
      </w:pPr>
      <w:bookmarkStart w:id="6" w:name="_Toc3366"/>
      <w:bookmarkStart w:id="7" w:name="_Toc12344"/>
      <w:r>
        <w:rPr>
          <w:rFonts w:hint="eastAsia" w:ascii="仿宋" w:hAnsi="仿宋" w:eastAsia="仿宋" w:cs="宋体"/>
          <w:color w:val="auto"/>
          <w:kern w:val="0"/>
          <w:sz w:val="30"/>
          <w:szCs w:val="30"/>
        </w:rPr>
        <w:t>深入贯彻落实《国务院关于加快发展现代职业教育的决定》有关要求，</w:t>
      </w:r>
      <w:r>
        <w:rPr>
          <w:rFonts w:hint="eastAsia" w:ascii="仿宋" w:hAnsi="仿宋" w:eastAsia="仿宋" w:cs="宋体"/>
          <w:color w:val="auto"/>
          <w:kern w:val="0"/>
          <w:sz w:val="30"/>
          <w:szCs w:val="30"/>
          <w:lang w:val="en-US" w:eastAsia="zh-CN"/>
        </w:rPr>
        <w:t>落实立德树人根本任务，</w:t>
      </w:r>
      <w:r>
        <w:rPr>
          <w:rFonts w:hint="eastAsia" w:ascii="仿宋" w:hAnsi="仿宋" w:eastAsia="仿宋" w:cs="宋体"/>
          <w:color w:val="auto"/>
          <w:kern w:val="0"/>
          <w:sz w:val="30"/>
          <w:szCs w:val="30"/>
        </w:rPr>
        <w:t>进一步发挥我省高等职业教育技能</w:t>
      </w:r>
      <w:r>
        <w:rPr>
          <w:rFonts w:hint="eastAsia" w:ascii="仿宋" w:hAnsi="仿宋" w:eastAsia="仿宋" w:cs="宋体"/>
          <w:color w:val="auto"/>
          <w:kern w:val="0"/>
          <w:sz w:val="30"/>
          <w:szCs w:val="30"/>
          <w:lang w:eastAsia="zh-CN"/>
        </w:rPr>
        <w:t>大赛</w:t>
      </w:r>
      <w:r>
        <w:rPr>
          <w:rFonts w:hint="eastAsia" w:ascii="仿宋" w:hAnsi="仿宋" w:eastAsia="仿宋" w:cs="宋体"/>
          <w:color w:val="auto"/>
          <w:kern w:val="0"/>
          <w:sz w:val="30"/>
          <w:szCs w:val="30"/>
        </w:rPr>
        <w:t>的宏观指导和品牌作用。通过</w:t>
      </w:r>
      <w:r>
        <w:rPr>
          <w:rFonts w:hint="eastAsia" w:ascii="仿宋" w:hAnsi="仿宋" w:eastAsia="仿宋" w:cs="宋体"/>
          <w:color w:val="auto"/>
          <w:kern w:val="0"/>
          <w:sz w:val="30"/>
          <w:szCs w:val="30"/>
          <w:lang w:eastAsia="zh-CN"/>
        </w:rPr>
        <w:t>比</w:t>
      </w:r>
      <w:r>
        <w:rPr>
          <w:rFonts w:hint="eastAsia" w:ascii="仿宋" w:hAnsi="仿宋" w:eastAsia="仿宋" w:cs="宋体"/>
          <w:color w:val="auto"/>
          <w:kern w:val="0"/>
          <w:sz w:val="30"/>
          <w:szCs w:val="30"/>
        </w:rPr>
        <w:t>赛，全面考查和展示参赛选手的专业技能和</w:t>
      </w:r>
      <w:r>
        <w:rPr>
          <w:rFonts w:hint="eastAsia" w:ascii="仿宋" w:hAnsi="仿宋" w:eastAsia="仿宋" w:cs="宋体"/>
          <w:color w:val="auto"/>
          <w:kern w:val="0"/>
          <w:sz w:val="30"/>
          <w:szCs w:val="30"/>
          <w:lang w:val="en-US" w:eastAsia="zh-CN"/>
        </w:rPr>
        <w:t>创编能力</w:t>
      </w:r>
      <w:r>
        <w:rPr>
          <w:rFonts w:hint="eastAsia" w:ascii="仿宋" w:hAnsi="仿宋" w:eastAsia="仿宋" w:cs="宋体"/>
          <w:color w:val="auto"/>
          <w:kern w:val="0"/>
          <w:sz w:val="30"/>
          <w:szCs w:val="30"/>
        </w:rPr>
        <w:t>，促进院校之间、校企之间的互相学习与交流合作，发挥</w:t>
      </w:r>
      <w:r>
        <w:rPr>
          <w:rFonts w:hint="eastAsia" w:ascii="仿宋" w:hAnsi="仿宋" w:eastAsia="仿宋" w:cs="宋体"/>
          <w:color w:val="auto"/>
          <w:kern w:val="0"/>
          <w:sz w:val="30"/>
          <w:szCs w:val="30"/>
          <w:lang w:eastAsia="zh-CN"/>
        </w:rPr>
        <w:t>竞赛</w:t>
      </w:r>
      <w:r>
        <w:rPr>
          <w:rFonts w:hint="eastAsia" w:ascii="仿宋" w:hAnsi="仿宋" w:eastAsia="仿宋" w:cs="宋体"/>
          <w:color w:val="auto"/>
          <w:kern w:val="0"/>
          <w:sz w:val="30"/>
          <w:szCs w:val="30"/>
        </w:rPr>
        <w:t>示范和引领作用，推进全省高等职业院校</w:t>
      </w:r>
      <w:r>
        <w:rPr>
          <w:rFonts w:hint="eastAsia" w:ascii="仿宋" w:hAnsi="仿宋" w:eastAsia="仿宋" w:cs="宋体"/>
          <w:color w:val="auto"/>
          <w:kern w:val="0"/>
          <w:sz w:val="30"/>
          <w:szCs w:val="30"/>
          <w:lang w:val="en-US" w:eastAsia="zh-CN"/>
        </w:rPr>
        <w:t>美育</w:t>
      </w:r>
      <w:r>
        <w:rPr>
          <w:rFonts w:hint="eastAsia" w:ascii="仿宋" w:hAnsi="仿宋" w:eastAsia="仿宋" w:cs="宋体"/>
          <w:color w:val="auto"/>
          <w:kern w:val="0"/>
          <w:sz w:val="30"/>
          <w:szCs w:val="30"/>
        </w:rPr>
        <w:t>教育教学改革和创新发展，</w:t>
      </w:r>
      <w:bookmarkEnd w:id="6"/>
      <w:bookmarkEnd w:id="7"/>
      <w:r>
        <w:rPr>
          <w:rFonts w:hint="eastAsia" w:ascii="仿宋" w:hAnsi="仿宋" w:eastAsia="仿宋" w:cs="宋体"/>
          <w:color w:val="auto"/>
          <w:kern w:val="0"/>
          <w:sz w:val="30"/>
          <w:szCs w:val="30"/>
        </w:rPr>
        <w:t>提高高等职业教育人才培养质量。</w:t>
      </w:r>
    </w:p>
    <w:p>
      <w:pPr>
        <w:keepNext w:val="0"/>
        <w:keepLines w:val="0"/>
        <w:pageBreakBefore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lang w:val="en-US" w:eastAsia="zh-CN"/>
        </w:rPr>
      </w:pPr>
      <w:r>
        <w:rPr>
          <w:rFonts w:hint="eastAsia" w:ascii="黑体" w:hAnsi="黑体" w:eastAsia="黑体" w:cs="黑体"/>
          <w:b w:val="0"/>
          <w:bCs w:val="0"/>
          <w:color w:val="auto"/>
          <w:sz w:val="30"/>
          <w:szCs w:val="30"/>
          <w:lang w:val="en-US" w:eastAsia="zh-CN"/>
        </w:rPr>
        <w:t>三、参赛资格</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default"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一）参赛选手必须是2024年度高等职业学校全日制在籍学生（含职教本科）或五年制高职四至五年级（含四年级）全日制在籍的学生。舞蹈专业不参赛。（备注：依据《职业教育专业目录（2024年）》，舞蹈专业是指表演艺术类中舞蹈表演、艺术表演、歌舞表演、国际标准舞、舞蹈编导等；民族文化艺术类中民族表演艺术等；教育与体育大类中舞蹈教育、体育艺术表演、</w:t>
      </w:r>
      <w:r>
        <w:rPr>
          <w:rFonts w:hint="eastAsia" w:ascii="仿宋" w:hAnsi="仿宋" w:eastAsia="仿宋" w:cs="宋体"/>
          <w:color w:val="000000" w:themeColor="text1"/>
          <w:kern w:val="0"/>
          <w:sz w:val="30"/>
          <w:szCs w:val="30"/>
          <w:lang w:val="en-US" w:eastAsia="zh-CN"/>
          <w14:textFill>
            <w14:solidFill>
              <w14:schemeClr w14:val="tx1"/>
            </w14:solidFill>
          </w14:textFill>
        </w:rPr>
        <w:t>音乐表演&lt;舞蹈方向&gt;、体育专业&lt;舞蹈方向&gt;。）</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（二）竞赛队伍组成。本次竞赛为团体赛，以学校为单位组队参赛，不得跨校组队；指导教师须为本校专兼职教师。</w:t>
      </w:r>
    </w:p>
    <w:p>
      <w:pPr>
        <w:keepNext w:val="0"/>
        <w:keepLines w:val="0"/>
        <w:pageBreakBefore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lang w:val="en-US" w:eastAsia="zh-CN"/>
        </w:rPr>
      </w:pPr>
      <w:bookmarkStart w:id="8" w:name="_Toc12868"/>
      <w:bookmarkStart w:id="9" w:name="_Toc30963"/>
      <w:bookmarkStart w:id="10" w:name="_Toc5640"/>
      <w:r>
        <w:rPr>
          <w:rFonts w:hint="eastAsia" w:ascii="黑体" w:hAnsi="黑体" w:eastAsia="黑体" w:cs="黑体"/>
          <w:b w:val="0"/>
          <w:bCs w:val="0"/>
          <w:color w:val="auto"/>
          <w:sz w:val="30"/>
          <w:szCs w:val="30"/>
          <w:lang w:val="en-US" w:eastAsia="zh-CN"/>
        </w:rPr>
        <w:t>四、参赛报名</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default"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（一）</w:t>
      </w:r>
      <w:r>
        <w:rPr>
          <w:rFonts w:hint="default" w:ascii="仿宋" w:hAnsi="仿宋" w:eastAsia="仿宋" w:cs="宋体"/>
          <w:color w:val="auto"/>
          <w:kern w:val="0"/>
          <w:sz w:val="30"/>
          <w:szCs w:val="30"/>
          <w:lang w:val="en-US" w:eastAsia="zh-CN"/>
        </w:rPr>
        <w:t>参赛院校须于1</w:t>
      </w:r>
      <w:r>
        <w:rPr>
          <w:rFonts w:hint="eastAsia" w:ascii="仿宋" w:hAnsi="仿宋" w:eastAsia="仿宋" w:cs="宋体"/>
          <w:color w:val="auto"/>
          <w:kern w:val="0"/>
          <w:sz w:val="30"/>
          <w:szCs w:val="30"/>
          <w:lang w:val="en-US" w:eastAsia="zh-CN"/>
        </w:rPr>
        <w:t>2</w:t>
      </w:r>
      <w:r>
        <w:rPr>
          <w:rFonts w:hint="default" w:ascii="仿宋" w:hAnsi="仿宋" w:eastAsia="仿宋" w:cs="宋体"/>
          <w:color w:val="auto"/>
          <w:kern w:val="0"/>
          <w:sz w:val="30"/>
          <w:szCs w:val="30"/>
          <w:lang w:val="en-US" w:eastAsia="zh-CN"/>
        </w:rPr>
        <w:t>月</w:t>
      </w:r>
      <w:r>
        <w:rPr>
          <w:rFonts w:hint="eastAsia" w:ascii="仿宋" w:hAnsi="仿宋" w:eastAsia="仿宋" w:cs="宋体"/>
          <w:color w:val="auto"/>
          <w:kern w:val="0"/>
          <w:sz w:val="30"/>
          <w:szCs w:val="30"/>
          <w:lang w:val="en-US" w:eastAsia="zh-CN"/>
        </w:rPr>
        <w:t>23</w:t>
      </w:r>
      <w:r>
        <w:rPr>
          <w:rFonts w:hint="default" w:ascii="仿宋" w:hAnsi="仿宋" w:eastAsia="仿宋" w:cs="宋体"/>
          <w:color w:val="auto"/>
          <w:kern w:val="0"/>
          <w:sz w:val="30"/>
          <w:szCs w:val="30"/>
          <w:lang w:val="en-US" w:eastAsia="zh-CN"/>
        </w:rPr>
        <w:t>日前登录河南省高等职业教育技能</w:t>
      </w:r>
      <w:r>
        <w:rPr>
          <w:rFonts w:hint="eastAsia" w:ascii="仿宋" w:hAnsi="仿宋" w:eastAsia="仿宋" w:cs="宋体"/>
          <w:color w:val="auto"/>
          <w:kern w:val="0"/>
          <w:sz w:val="30"/>
          <w:szCs w:val="30"/>
          <w:lang w:val="en-US" w:eastAsia="zh-CN"/>
        </w:rPr>
        <w:t>大赛</w:t>
      </w:r>
      <w:r>
        <w:rPr>
          <w:rFonts w:hint="default" w:ascii="仿宋" w:hAnsi="仿宋" w:eastAsia="仿宋" w:cs="宋体"/>
          <w:color w:val="auto"/>
          <w:kern w:val="0"/>
          <w:sz w:val="30"/>
          <w:szCs w:val="30"/>
          <w:lang w:val="en-US" w:eastAsia="zh-CN"/>
        </w:rPr>
        <w:t>报名系统：http://39.105.49.188，按要求填报并提交参赛信息。</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default"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（二）</w:t>
      </w:r>
      <w:r>
        <w:rPr>
          <w:rFonts w:hint="default" w:ascii="仿宋" w:hAnsi="仿宋" w:eastAsia="仿宋" w:cs="宋体"/>
          <w:color w:val="auto"/>
          <w:kern w:val="0"/>
          <w:sz w:val="30"/>
          <w:szCs w:val="30"/>
          <w:lang w:val="en-US" w:eastAsia="zh-CN"/>
        </w:rPr>
        <w:t>各参赛</w:t>
      </w:r>
      <w:r>
        <w:rPr>
          <w:rFonts w:hint="eastAsia" w:ascii="仿宋" w:hAnsi="仿宋" w:eastAsia="仿宋" w:cs="宋体"/>
          <w:color w:val="auto"/>
          <w:kern w:val="0"/>
          <w:sz w:val="30"/>
          <w:szCs w:val="30"/>
          <w:lang w:val="en-US" w:eastAsia="zh-CN"/>
        </w:rPr>
        <w:t>单位</w:t>
      </w:r>
      <w:r>
        <w:rPr>
          <w:rFonts w:hint="default" w:ascii="仿宋" w:hAnsi="仿宋" w:eastAsia="仿宋" w:cs="宋体"/>
          <w:color w:val="auto"/>
          <w:kern w:val="0"/>
          <w:sz w:val="30"/>
          <w:szCs w:val="30"/>
          <w:lang w:val="en-US" w:eastAsia="zh-CN"/>
        </w:rPr>
        <w:t>以学校为单位注册报名平台，专人负责报名工作。（技术支持：</w:t>
      </w:r>
      <w:r>
        <w:rPr>
          <w:rFonts w:hint="eastAsia" w:ascii="仿宋" w:hAnsi="仿宋" w:eastAsia="仿宋" w:cs="宋体"/>
          <w:color w:val="auto"/>
          <w:kern w:val="0"/>
          <w:sz w:val="30"/>
          <w:szCs w:val="30"/>
          <w:lang w:val="en-US" w:eastAsia="zh-CN"/>
        </w:rPr>
        <w:t>王晗</w:t>
      </w:r>
      <w:r>
        <w:rPr>
          <w:rFonts w:hint="default" w:ascii="仿宋" w:hAnsi="仿宋" w:eastAsia="仿宋" w:cs="宋体"/>
          <w:color w:val="auto"/>
          <w:kern w:val="0"/>
          <w:sz w:val="30"/>
          <w:szCs w:val="30"/>
          <w:lang w:val="en-US" w:eastAsia="zh-CN"/>
        </w:rPr>
        <w:t>，电话：</w:t>
      </w:r>
      <w:r>
        <w:rPr>
          <w:rFonts w:hint="eastAsia" w:ascii="仿宋" w:hAnsi="仿宋" w:eastAsia="仿宋" w:cs="宋体"/>
          <w:color w:val="auto"/>
          <w:kern w:val="0"/>
          <w:sz w:val="30"/>
          <w:szCs w:val="30"/>
          <w:lang w:val="en-US" w:eastAsia="zh-CN"/>
        </w:rPr>
        <w:t>18338338901</w:t>
      </w:r>
      <w:r>
        <w:rPr>
          <w:rFonts w:hint="default" w:ascii="仿宋" w:hAnsi="仿宋" w:eastAsia="仿宋" w:cs="宋体"/>
          <w:color w:val="auto"/>
          <w:kern w:val="0"/>
          <w:sz w:val="30"/>
          <w:szCs w:val="30"/>
          <w:lang w:val="en-US" w:eastAsia="zh-CN"/>
        </w:rPr>
        <w:t>）。</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（三）</w:t>
      </w:r>
      <w:r>
        <w:rPr>
          <w:rFonts w:hint="default" w:ascii="仿宋" w:hAnsi="仿宋" w:eastAsia="仿宋" w:cs="宋体"/>
          <w:color w:val="auto"/>
          <w:kern w:val="0"/>
          <w:sz w:val="30"/>
          <w:szCs w:val="30"/>
          <w:lang w:val="en-US" w:eastAsia="zh-CN"/>
        </w:rPr>
        <w:t>提交报名信息后，参赛院校从系统导出参赛选手报名表、参赛信息汇总表后，连同参赛选手身份证复印件和学信网“教育部学籍在线验证报告”或省招办录取名册复印件各1份并加盖院校公章，报送或邮寄到赛项承办院校（</w:t>
      </w:r>
      <w:r>
        <w:rPr>
          <w:rFonts w:hint="eastAsia" w:ascii="仿宋" w:hAnsi="仿宋" w:eastAsia="仿宋" w:cs="宋体"/>
          <w:color w:val="auto"/>
          <w:kern w:val="0"/>
          <w:sz w:val="30"/>
          <w:szCs w:val="30"/>
          <w:lang w:val="en-US" w:eastAsia="zh-CN"/>
        </w:rPr>
        <w:t>三门峡职业技术学院</w:t>
      </w:r>
      <w:r>
        <w:rPr>
          <w:rFonts w:hint="default" w:ascii="仿宋" w:hAnsi="仿宋" w:eastAsia="仿宋" w:cs="宋体"/>
          <w:color w:val="auto"/>
          <w:kern w:val="0"/>
          <w:sz w:val="30"/>
          <w:szCs w:val="30"/>
          <w:lang w:val="en-US" w:eastAsia="zh-CN"/>
        </w:rPr>
        <w:t>）。纸质报名材料接收截止时间为1</w:t>
      </w:r>
      <w:r>
        <w:rPr>
          <w:rFonts w:hint="eastAsia" w:ascii="仿宋" w:hAnsi="仿宋" w:eastAsia="仿宋" w:cs="宋体"/>
          <w:color w:val="auto"/>
          <w:kern w:val="0"/>
          <w:sz w:val="30"/>
          <w:szCs w:val="30"/>
          <w:lang w:val="en-US" w:eastAsia="zh-CN"/>
        </w:rPr>
        <w:t>2</w:t>
      </w:r>
      <w:r>
        <w:rPr>
          <w:rFonts w:hint="default" w:ascii="仿宋" w:hAnsi="仿宋" w:eastAsia="仿宋" w:cs="宋体"/>
          <w:color w:val="auto"/>
          <w:kern w:val="0"/>
          <w:sz w:val="30"/>
          <w:szCs w:val="30"/>
          <w:lang w:val="en-US" w:eastAsia="zh-CN"/>
        </w:rPr>
        <w:t>月</w:t>
      </w:r>
      <w:r>
        <w:rPr>
          <w:rFonts w:hint="eastAsia" w:ascii="仿宋" w:hAnsi="仿宋" w:eastAsia="仿宋" w:cs="宋体"/>
          <w:color w:val="auto"/>
          <w:kern w:val="0"/>
          <w:sz w:val="30"/>
          <w:szCs w:val="30"/>
          <w:lang w:val="en-US" w:eastAsia="zh-CN"/>
        </w:rPr>
        <w:t>24</w:t>
      </w:r>
      <w:r>
        <w:rPr>
          <w:rFonts w:hint="default" w:ascii="仿宋" w:hAnsi="仿宋" w:eastAsia="仿宋" w:cs="宋体"/>
          <w:color w:val="auto"/>
          <w:kern w:val="0"/>
          <w:sz w:val="30"/>
          <w:szCs w:val="30"/>
          <w:lang w:val="en-US" w:eastAsia="zh-CN"/>
        </w:rPr>
        <w:t>日，以邮戳时间为准，过期视为报名不成功。</w:t>
      </w:r>
      <w:r>
        <w:rPr>
          <w:rFonts w:hint="eastAsia" w:ascii="仿宋" w:hAnsi="仿宋" w:eastAsia="仿宋" w:cs="宋体"/>
          <w:color w:val="auto"/>
          <w:kern w:val="0"/>
          <w:sz w:val="30"/>
          <w:szCs w:val="30"/>
          <w:lang w:val="en-US" w:eastAsia="zh-CN"/>
        </w:rPr>
        <w:t>邮寄地址：河南省三门峡市崤山西路42号三门峡职业技术学院。联系人：刘楠  电话：13939888660。</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default"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（四）承办学校收到纸质报名材料，按省赛要求认真审核参赛选手和指导教师资格，审核通过报名成功。</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（五）参赛学生报到时要持有医院出具的健康证明。</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（六）参加比赛的学生需提前办理比赛期间“人身意外伤害”保险并在报名时提交保险单。有效期必须为比赛举行期间，不得以其他长期保险代替。</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（七）报到时携带学生证和身份证原件。</w:t>
      </w:r>
    </w:p>
    <w:p>
      <w:pPr>
        <w:keepNext w:val="0"/>
        <w:keepLines w:val="0"/>
        <w:pageBreakBefore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lang w:val="en-US" w:eastAsia="zh-CN"/>
        </w:rPr>
      </w:pPr>
      <w:r>
        <w:rPr>
          <w:rFonts w:hint="eastAsia" w:ascii="黑体" w:hAnsi="黑体" w:eastAsia="黑体" w:cs="黑体"/>
          <w:b w:val="0"/>
          <w:bCs w:val="0"/>
          <w:color w:val="auto"/>
          <w:sz w:val="30"/>
          <w:szCs w:val="30"/>
          <w:lang w:val="en-US" w:eastAsia="zh-CN"/>
        </w:rPr>
        <w:t>五、竞赛日程</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default" w:ascii="楷体_GB2312" w:hAnsi="楷体_GB2312" w:eastAsia="楷体_GB2312" w:cs="楷体_GB2312"/>
          <w:color w:val="auto"/>
          <w:kern w:val="0"/>
          <w:sz w:val="30"/>
          <w:szCs w:val="30"/>
          <w:lang w:val="en-US" w:eastAsia="zh-CN"/>
        </w:rPr>
      </w:pPr>
      <w:r>
        <w:rPr>
          <w:rFonts w:hint="eastAsia" w:ascii="楷体_GB2312" w:hAnsi="楷体_GB2312" w:eastAsia="楷体_GB2312" w:cs="楷体_GB2312"/>
          <w:color w:val="auto"/>
          <w:kern w:val="0"/>
          <w:sz w:val="30"/>
          <w:szCs w:val="30"/>
          <w:lang w:val="en-US" w:eastAsia="zh-CN"/>
        </w:rPr>
        <w:t>（一）比赛时间、地点、交通方式</w:t>
      </w:r>
    </w:p>
    <w:p>
      <w:pPr>
        <w:keepNext w:val="0"/>
        <w:keepLines w:val="0"/>
        <w:pageBreakBefore w:val="0"/>
        <w:widowControl w:val="0"/>
        <w:kinsoku/>
        <w:wordWrap/>
        <w:overflowPunct/>
        <w:topLinePunct w:val="0"/>
        <w:bidi w:val="0"/>
        <w:snapToGrid/>
        <w:spacing w:line="560" w:lineRule="exact"/>
        <w:ind w:firstLine="602" w:firstLineChars="200"/>
        <w:jc w:val="left"/>
        <w:textAlignment w:val="auto"/>
        <w:rPr>
          <w:rFonts w:hint="default" w:ascii="仿宋" w:hAnsi="仿宋" w:eastAsia="仿宋" w:cs="宋体"/>
          <w:color w:val="auto"/>
          <w:kern w:val="0"/>
          <w:sz w:val="30"/>
          <w:szCs w:val="30"/>
          <w:lang w:val="en-US" w:eastAsia="zh-CN"/>
        </w:rPr>
      </w:pPr>
      <w:r>
        <w:rPr>
          <w:rFonts w:hint="eastAsia" w:ascii="仿宋" w:hAnsi="仿宋" w:eastAsia="仿宋" w:cs="宋体"/>
          <w:b/>
          <w:bCs/>
          <w:color w:val="auto"/>
          <w:kern w:val="0"/>
          <w:sz w:val="30"/>
          <w:szCs w:val="30"/>
          <w:highlight w:val="none"/>
          <w:lang w:val="en-US" w:eastAsia="zh-CN"/>
        </w:rPr>
        <w:t>比赛时间：</w:t>
      </w:r>
      <w:r>
        <w:rPr>
          <w:rFonts w:hint="eastAsia" w:ascii="仿宋" w:hAnsi="仿宋" w:eastAsia="仿宋" w:cs="宋体"/>
          <w:color w:val="auto"/>
          <w:kern w:val="0"/>
          <w:sz w:val="30"/>
          <w:szCs w:val="30"/>
          <w:lang w:val="en-US" w:eastAsia="zh-CN"/>
        </w:rPr>
        <w:t>2024年12月29日报到，30-31日比赛。</w:t>
      </w:r>
    </w:p>
    <w:p>
      <w:pPr>
        <w:pageBreakBefore w:val="0"/>
        <w:widowControl w:val="0"/>
        <w:kinsoku/>
        <w:wordWrap/>
        <w:overflowPunct/>
        <w:topLinePunct w:val="0"/>
        <w:autoSpaceDE/>
        <w:autoSpaceDN/>
        <w:bidi w:val="0"/>
        <w:adjustRightInd/>
        <w:snapToGrid/>
        <w:spacing w:line="600" w:lineRule="exact"/>
        <w:ind w:firstLine="602" w:firstLineChars="200"/>
        <w:jc w:val="both"/>
        <w:textAlignment w:val="auto"/>
        <w:rPr>
          <w:rFonts w:hint="default" w:ascii="仿宋" w:hAnsi="仿宋" w:eastAsia="仿宋" w:cs="宋体"/>
          <w:color w:val="auto"/>
          <w:kern w:val="0"/>
          <w:sz w:val="30"/>
          <w:szCs w:val="30"/>
          <w:highlight w:val="none"/>
          <w:lang w:val="en-US" w:eastAsia="zh-CN"/>
        </w:rPr>
      </w:pPr>
      <w:r>
        <w:rPr>
          <w:rFonts w:hint="eastAsia" w:ascii="仿宋" w:hAnsi="仿宋" w:eastAsia="仿宋" w:cs="宋体"/>
          <w:b/>
          <w:bCs/>
          <w:color w:val="auto"/>
          <w:kern w:val="0"/>
          <w:sz w:val="30"/>
          <w:szCs w:val="30"/>
          <w:lang w:val="en-US" w:eastAsia="zh-CN"/>
        </w:rPr>
        <w:t>报到地点：</w:t>
      </w:r>
      <w:r>
        <w:rPr>
          <w:rFonts w:hint="eastAsia" w:ascii="仿宋" w:hAnsi="仿宋" w:eastAsia="仿宋" w:cs="宋体"/>
          <w:color w:val="auto"/>
          <w:kern w:val="0"/>
          <w:sz w:val="30"/>
          <w:szCs w:val="30"/>
          <w:highlight w:val="none"/>
          <w:lang w:val="en-US" w:eastAsia="zh-CN"/>
        </w:rPr>
        <w:t>酒店大堂(具体酒店另行通知)</w:t>
      </w:r>
    </w:p>
    <w:p>
      <w:pPr>
        <w:keepNext w:val="0"/>
        <w:keepLines w:val="0"/>
        <w:pageBreakBefore w:val="0"/>
        <w:widowControl w:val="0"/>
        <w:kinsoku/>
        <w:wordWrap/>
        <w:overflowPunct/>
        <w:topLinePunct w:val="0"/>
        <w:bidi w:val="0"/>
        <w:snapToGrid/>
        <w:spacing w:line="560" w:lineRule="exact"/>
        <w:ind w:firstLine="602" w:firstLineChars="200"/>
        <w:jc w:val="left"/>
        <w:textAlignment w:val="auto"/>
        <w:rPr>
          <w:rFonts w:hint="eastAsia" w:ascii="仿宋" w:hAnsi="仿宋" w:eastAsia="仿宋" w:cs="宋体"/>
          <w:color w:val="auto"/>
          <w:kern w:val="0"/>
          <w:sz w:val="30"/>
          <w:szCs w:val="30"/>
          <w:lang w:val="en-US" w:eastAsia="zh-CN"/>
        </w:rPr>
      </w:pPr>
      <w:r>
        <w:rPr>
          <w:rFonts w:hint="eastAsia" w:ascii="仿宋" w:hAnsi="仿宋" w:eastAsia="仿宋" w:cs="宋体"/>
          <w:b/>
          <w:bCs/>
          <w:color w:val="auto"/>
          <w:kern w:val="0"/>
          <w:sz w:val="30"/>
          <w:szCs w:val="30"/>
          <w:lang w:val="en-US" w:eastAsia="zh-CN"/>
        </w:rPr>
        <w:t>竞赛地点：</w:t>
      </w:r>
      <w:r>
        <w:rPr>
          <w:rFonts w:hint="eastAsia" w:ascii="仿宋" w:hAnsi="仿宋" w:eastAsia="仿宋" w:cs="宋体"/>
          <w:color w:val="auto"/>
          <w:kern w:val="0"/>
          <w:sz w:val="30"/>
          <w:szCs w:val="30"/>
          <w:lang w:val="en-US" w:eastAsia="zh-CN"/>
        </w:rPr>
        <w:t>三门峡职业技术学院</w:t>
      </w:r>
    </w:p>
    <w:p>
      <w:pPr>
        <w:pStyle w:val="2"/>
        <w:ind w:left="0" w:leftChars="0" w:firstLine="602" w:firstLineChars="200"/>
        <w:rPr>
          <w:rFonts w:hint="default" w:ascii="仿宋" w:hAnsi="仿宋" w:eastAsia="仿宋" w:cs="宋体"/>
          <w:color w:val="auto"/>
          <w:kern w:val="0"/>
          <w:sz w:val="30"/>
          <w:szCs w:val="30"/>
          <w:lang w:val="en-US" w:eastAsia="zh-CN"/>
        </w:rPr>
      </w:pPr>
      <w:r>
        <w:rPr>
          <w:rFonts w:hint="eastAsia" w:ascii="仿宋" w:hAnsi="仿宋" w:eastAsia="仿宋" w:cs="宋体"/>
          <w:b/>
          <w:bCs/>
          <w:color w:val="auto"/>
          <w:kern w:val="0"/>
          <w:sz w:val="30"/>
          <w:szCs w:val="30"/>
          <w:lang w:val="en-US" w:eastAsia="zh-CN" w:bidi="ar-SA"/>
        </w:rPr>
        <w:t>交通方式：</w:t>
      </w:r>
      <w:r>
        <w:rPr>
          <w:rFonts w:hint="eastAsia" w:ascii="仿宋" w:hAnsi="仿宋" w:eastAsia="仿宋" w:cs="宋体"/>
          <w:color w:val="auto"/>
          <w:kern w:val="0"/>
          <w:sz w:val="30"/>
          <w:szCs w:val="30"/>
          <w:lang w:val="en-US" w:eastAsia="zh-CN" w:bidi="ar-SA"/>
        </w:rPr>
        <w:t>另行通知(详见竞赛指南)。</w:t>
      </w:r>
    </w:p>
    <w:p>
      <w:pPr>
        <w:keepNext w:val="0"/>
        <w:keepLines w:val="0"/>
        <w:pageBreakBefore w:val="0"/>
        <w:widowControl w:val="0"/>
        <w:kinsoku/>
        <w:wordWrap/>
        <w:overflowPunct/>
        <w:topLinePunct w:val="0"/>
        <w:bidi w:val="0"/>
        <w:snapToGrid/>
        <w:spacing w:line="560" w:lineRule="exact"/>
        <w:ind w:firstLine="602" w:firstLineChars="200"/>
        <w:jc w:val="left"/>
        <w:textAlignment w:val="auto"/>
        <w:rPr>
          <w:rFonts w:hint="eastAsia" w:ascii="仿宋" w:hAnsi="仿宋" w:eastAsia="仿宋" w:cs="宋体"/>
          <w:b/>
          <w:bCs/>
          <w:color w:val="auto"/>
          <w:kern w:val="0"/>
          <w:sz w:val="30"/>
          <w:szCs w:val="30"/>
          <w:lang w:val="en-US" w:eastAsia="zh-CN"/>
        </w:rPr>
      </w:pPr>
      <w:r>
        <w:rPr>
          <w:rFonts w:hint="eastAsia" w:ascii="仿宋" w:hAnsi="仿宋" w:eastAsia="仿宋" w:cs="宋体"/>
          <w:b/>
          <w:bCs/>
          <w:color w:val="auto"/>
          <w:kern w:val="0"/>
          <w:sz w:val="30"/>
          <w:szCs w:val="30"/>
          <w:lang w:val="en-US" w:eastAsia="zh-CN"/>
        </w:rPr>
        <w:t>赛事</w:t>
      </w:r>
      <w:r>
        <w:rPr>
          <w:rFonts w:hint="default" w:ascii="仿宋" w:hAnsi="仿宋" w:eastAsia="仿宋" w:cs="宋体"/>
          <w:b/>
          <w:bCs/>
          <w:color w:val="auto"/>
          <w:kern w:val="0"/>
          <w:sz w:val="30"/>
          <w:szCs w:val="30"/>
          <w:lang w:val="en-US" w:eastAsia="zh-CN"/>
        </w:rPr>
        <w:t>微信</w:t>
      </w:r>
      <w:r>
        <w:rPr>
          <w:rFonts w:hint="eastAsia" w:ascii="仿宋" w:hAnsi="仿宋" w:eastAsia="仿宋" w:cs="宋体"/>
          <w:b/>
          <w:bCs/>
          <w:color w:val="auto"/>
          <w:kern w:val="0"/>
          <w:sz w:val="30"/>
          <w:szCs w:val="30"/>
          <w:lang w:val="en-US" w:eastAsia="zh-CN"/>
        </w:rPr>
        <w:t>群：</w:t>
      </w:r>
      <w:r>
        <w:rPr>
          <w:rFonts w:hint="eastAsia" w:ascii="仿宋" w:hAnsi="仿宋" w:eastAsia="仿宋" w:cs="宋体"/>
          <w:b/>
          <w:bCs/>
          <w:color w:val="0000FF"/>
          <w:kern w:val="0"/>
          <w:sz w:val="30"/>
          <w:szCs w:val="30"/>
          <w:lang w:val="en-US" w:eastAsia="zh-CN"/>
        </w:rPr>
        <w:t>(请添加赛事联系人微信后，由赛事联系人邀请加入竞赛群)</w:t>
      </w:r>
    </w:p>
    <w:p>
      <w:pPr>
        <w:keepNext w:val="0"/>
        <w:keepLines w:val="0"/>
        <w:pageBreakBefore w:val="0"/>
        <w:widowControl w:val="0"/>
        <w:kinsoku/>
        <w:wordWrap/>
        <w:overflowPunct/>
        <w:topLinePunct w:val="0"/>
        <w:bidi w:val="0"/>
        <w:snapToGrid/>
        <w:spacing w:line="240" w:lineRule="auto"/>
        <w:ind w:firstLine="420" w:firstLineChars="200"/>
        <w:jc w:val="left"/>
        <w:textAlignment w:val="auto"/>
        <w:rPr>
          <w:rFonts w:hint="eastAsia" w:ascii="楷体_GB2312" w:hAnsi="楷体_GB2312" w:eastAsia="楷体_GB2312" w:cs="楷体_GB2312"/>
          <w:color w:val="auto"/>
          <w:kern w:val="0"/>
          <w:sz w:val="30"/>
          <w:szCs w:val="30"/>
          <w:lang w:val="en-US" w:eastAsia="zh-CN"/>
        </w:rPr>
      </w:pPr>
      <w:r>
        <w:drawing>
          <wp:inline distT="0" distB="0" distL="114300" distR="114300">
            <wp:extent cx="2434590" cy="3084830"/>
            <wp:effectExtent l="0" t="0" r="3810" b="1270"/>
            <wp:docPr id="2"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true"/>
                    </pic:cNvPicPr>
                  </pic:nvPicPr>
                  <pic:blipFill>
                    <a:blip r:embed="rId5"/>
                    <a:stretch>
                      <a:fillRect/>
                    </a:stretch>
                  </pic:blipFill>
                  <pic:spPr>
                    <a:xfrm>
                      <a:off x="0" y="0"/>
                      <a:ext cx="2434590" cy="3084830"/>
                    </a:xfrm>
                    <a:prstGeom prst="rect">
                      <a:avLst/>
                    </a:prstGeom>
                    <a:noFill/>
                    <a:ln>
                      <a:noFill/>
                    </a:ln>
                  </pic:spPr>
                </pic:pic>
              </a:graphicData>
            </a:graphic>
          </wp:inline>
        </w:drawing>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default" w:ascii="楷体_GB2312" w:hAnsi="楷体_GB2312" w:eastAsia="楷体_GB2312" w:cs="楷体_GB2312"/>
          <w:color w:val="auto"/>
          <w:kern w:val="0"/>
          <w:sz w:val="30"/>
          <w:szCs w:val="30"/>
          <w:lang w:val="en-US" w:eastAsia="zh-CN"/>
        </w:rPr>
      </w:pPr>
      <w:r>
        <w:rPr>
          <w:rFonts w:hint="eastAsia" w:ascii="楷体_GB2312" w:hAnsi="楷体_GB2312" w:eastAsia="楷体_GB2312" w:cs="楷体_GB2312"/>
          <w:color w:val="auto"/>
          <w:kern w:val="0"/>
          <w:sz w:val="30"/>
          <w:szCs w:val="30"/>
          <w:lang w:val="en-US" w:eastAsia="zh-CN"/>
        </w:rPr>
        <w:t>（二）竞赛日程安排</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default"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将根据学校队伍报名情况，制定具体竞赛日程表，详见竞赛指南。</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default"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本项赛事持续进行2-3天，参赛队29日报到，29日下午15:30召开赛前说明会和场次抽签活动、并安排选手熟悉赛场；30、31日两天进行比赛。</w:t>
      </w:r>
      <w:r>
        <w:rPr>
          <w:rFonts w:hint="default" w:ascii="仿宋" w:hAnsi="仿宋" w:eastAsia="仿宋" w:cs="宋体"/>
          <w:color w:val="auto"/>
          <w:kern w:val="0"/>
          <w:sz w:val="30"/>
          <w:szCs w:val="30"/>
          <w:lang w:val="en-US" w:eastAsia="zh-CN"/>
        </w:rPr>
        <w:t>（具体以</w:t>
      </w:r>
      <w:r>
        <w:rPr>
          <w:rFonts w:hint="eastAsia" w:ascii="仿宋" w:hAnsi="仿宋" w:eastAsia="仿宋" w:cs="宋体"/>
          <w:color w:val="auto"/>
          <w:kern w:val="0"/>
          <w:sz w:val="30"/>
          <w:szCs w:val="30"/>
          <w:lang w:val="en-US" w:eastAsia="zh-CN"/>
        </w:rPr>
        <w:t>竞赛指南</w:t>
      </w:r>
      <w:r>
        <w:rPr>
          <w:rFonts w:hint="default" w:ascii="仿宋" w:hAnsi="仿宋" w:eastAsia="仿宋" w:cs="宋体"/>
          <w:color w:val="auto"/>
          <w:kern w:val="0"/>
          <w:sz w:val="30"/>
          <w:szCs w:val="30"/>
          <w:lang w:val="en-US" w:eastAsia="zh-CN"/>
        </w:rPr>
        <w:t>为准）</w:t>
      </w:r>
    </w:p>
    <w:p>
      <w:pPr>
        <w:keepNext w:val="0"/>
        <w:keepLines w:val="0"/>
        <w:pageBreakBefore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rPr>
      </w:pPr>
      <w:r>
        <w:rPr>
          <w:rFonts w:hint="eastAsia" w:ascii="黑体" w:hAnsi="黑体" w:eastAsia="黑体" w:cs="黑体"/>
          <w:b w:val="0"/>
          <w:bCs w:val="0"/>
          <w:color w:val="auto"/>
          <w:sz w:val="30"/>
          <w:szCs w:val="30"/>
          <w:lang w:val="en-US" w:eastAsia="zh-CN"/>
        </w:rPr>
        <w:t>六、</w:t>
      </w:r>
      <w:r>
        <w:rPr>
          <w:rFonts w:hint="eastAsia" w:ascii="黑体" w:hAnsi="黑体" w:eastAsia="黑体" w:cs="黑体"/>
          <w:b w:val="0"/>
          <w:bCs w:val="0"/>
          <w:color w:val="auto"/>
          <w:sz w:val="30"/>
          <w:szCs w:val="30"/>
        </w:rPr>
        <w:t>竞赛内容</w:t>
      </w:r>
      <w:bookmarkEnd w:id="8"/>
      <w:bookmarkEnd w:id="9"/>
      <w:bookmarkEnd w:id="10"/>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default"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本赛项分为四个舞种（中国舞、健美操、街舞、国际标准舞）。</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（一）创编要求：</w:t>
      </w:r>
      <w:r>
        <w:rPr>
          <w:rFonts w:hint="default" w:ascii="仿宋" w:hAnsi="仿宋" w:eastAsia="仿宋" w:cs="宋体"/>
          <w:color w:val="auto"/>
          <w:kern w:val="0"/>
          <w:sz w:val="30"/>
          <w:szCs w:val="30"/>
          <w:lang w:val="en-US" w:eastAsia="zh-CN"/>
        </w:rPr>
        <w:t>尊重</w:t>
      </w:r>
      <w:r>
        <w:rPr>
          <w:rFonts w:hint="eastAsia" w:ascii="仿宋" w:hAnsi="仿宋" w:eastAsia="仿宋" w:cs="宋体"/>
          <w:color w:val="auto"/>
          <w:kern w:val="0"/>
          <w:sz w:val="30"/>
          <w:szCs w:val="30"/>
          <w:lang w:val="en-US" w:eastAsia="zh-CN"/>
        </w:rPr>
        <w:t>原创，动作、队形与方向变化均为可创编。创编内容要求设计巧妙、造型优美、完成流畅、要与音乐风格吻合，连接流畅、自然，鼓励创新，突出个性特点和风格；动作编排不得超出参赛选手的能力范围，不得编排可能造成参赛选手伤害的动作内容。</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（二）完成要求：参赛选手在指定音乐的伴奏下，完成作品的展示，充分展示运动技巧，体现青春活力、团队精神。</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三）着装仪容：男、女参赛选手着装应整洁美观，头发不遮脸，允许化淡妆，不得佩戴有可能造成身体健康伤害的首饰；必须着合适服装，不得过于暴露，不得显露纹身，不得造型怪异；服装上禁止描绘战争、暴力、宗教信仰或性爱主题的元素。</w:t>
      </w:r>
    </w:p>
    <w:p>
      <w:pPr>
        <w:keepNext w:val="0"/>
        <w:keepLines w:val="0"/>
        <w:pageBreakBefore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lang w:val="en-US" w:eastAsia="zh-CN"/>
        </w:rPr>
      </w:pPr>
      <w:r>
        <w:rPr>
          <w:rFonts w:hint="eastAsia" w:ascii="黑体" w:hAnsi="黑体" w:eastAsia="黑体" w:cs="黑体"/>
          <w:b w:val="0"/>
          <w:bCs w:val="0"/>
          <w:color w:val="auto"/>
          <w:sz w:val="30"/>
          <w:szCs w:val="30"/>
          <w:lang w:val="en-US" w:eastAsia="zh-CN"/>
        </w:rPr>
        <w:t>七、竞赛方式</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default"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（一）竞赛形式：线下比赛。</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（二）组队方式：团体赛，每所学校报领队1人，每个舞种限</w:t>
      </w:r>
      <w:r>
        <w:rPr>
          <w:rFonts w:hint="eastAsia" w:ascii="仿宋" w:hAnsi="仿宋" w:eastAsia="仿宋" w:cs="宋体"/>
          <w:color w:val="auto"/>
          <w:kern w:val="0"/>
          <w:sz w:val="30"/>
          <w:szCs w:val="30"/>
          <w:highlight w:val="none"/>
          <w:lang w:val="en-US" w:eastAsia="zh-CN"/>
        </w:rPr>
        <w:t>报1-2名指导教师</w:t>
      </w:r>
      <w:r>
        <w:rPr>
          <w:rFonts w:hint="eastAsia" w:ascii="仿宋" w:hAnsi="仿宋" w:eastAsia="仿宋" w:cs="宋体"/>
          <w:color w:val="auto"/>
          <w:kern w:val="0"/>
          <w:sz w:val="30"/>
          <w:szCs w:val="30"/>
          <w:lang w:val="en-US" w:eastAsia="zh-CN"/>
        </w:rPr>
        <w:t>，须为本校专兼职教师。</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default"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三）参赛赛项：同一学校参赛队伍总数不超过3支；同一学校同一舞种限报2支参赛队伍；每个舞种参赛人数3-6人，参赛选手限报一个舞种，不得兼报；可报替补队员1人，只有报名的参赛队员和替补队员才有资格参加比赛。</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（四）赛制：四个项目的比赛均采用预决赛同场制，比赛出场顺序由赛前抽签决定。</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五）组织机构：在河南省高等职业教育技能大赛组委会的指导下，由三门峡职业技术学院牵头成立2024年河南省高等职业教育技能大赛校园创编舞赛项执委会，下设本赛项仲裁组、专家组、监督组、裁判组等工作机构。</w:t>
      </w:r>
    </w:p>
    <w:p>
      <w:pPr>
        <w:keepNext w:val="0"/>
        <w:keepLines w:val="0"/>
        <w:pageBreakBefore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lang w:val="en-US" w:eastAsia="zh-CN"/>
        </w:rPr>
      </w:pPr>
      <w:r>
        <w:rPr>
          <w:rFonts w:hint="eastAsia" w:ascii="黑体" w:hAnsi="黑体" w:eastAsia="黑体" w:cs="黑体"/>
          <w:b w:val="0"/>
          <w:bCs w:val="0"/>
          <w:color w:val="auto"/>
          <w:sz w:val="30"/>
          <w:szCs w:val="30"/>
          <w:lang w:val="en-US" w:eastAsia="zh-CN"/>
        </w:rPr>
        <w:t>八、竞赛规则</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eastAsia" w:ascii="楷体_GB2312" w:hAnsi="楷体_GB2312" w:eastAsia="楷体_GB2312" w:cs="楷体_GB2312"/>
          <w:color w:val="auto"/>
          <w:kern w:val="0"/>
          <w:sz w:val="30"/>
          <w:szCs w:val="30"/>
          <w:lang w:val="en-US" w:eastAsia="zh-CN"/>
        </w:rPr>
      </w:pPr>
      <w:r>
        <w:rPr>
          <w:rFonts w:hint="eastAsia" w:ascii="楷体_GB2312" w:hAnsi="楷体_GB2312" w:eastAsia="楷体_GB2312" w:cs="楷体_GB2312"/>
          <w:color w:val="auto"/>
          <w:kern w:val="0"/>
          <w:sz w:val="30"/>
          <w:szCs w:val="30"/>
          <w:lang w:val="en-US" w:eastAsia="zh-CN"/>
        </w:rPr>
        <w:t>（一）赛题</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赛项专家组负责本赛项赛题的编制工作，编制工作赛前保密。比赛音乐由主办方统一提供，并于文件下发之日予以公布，各参赛单位根据规定音乐进行动作创编。</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eastAsia" w:ascii="楷体_GB2312" w:hAnsi="楷体_GB2312" w:eastAsia="楷体_GB2312" w:cs="楷体_GB2312"/>
          <w:color w:val="auto"/>
          <w:kern w:val="0"/>
          <w:sz w:val="30"/>
          <w:szCs w:val="30"/>
          <w:lang w:val="en-US" w:eastAsia="zh-CN"/>
        </w:rPr>
      </w:pPr>
      <w:r>
        <w:rPr>
          <w:rFonts w:hint="eastAsia" w:ascii="楷体_GB2312" w:hAnsi="楷体_GB2312" w:eastAsia="楷体_GB2312" w:cs="楷体_GB2312"/>
          <w:color w:val="auto"/>
          <w:kern w:val="0"/>
          <w:sz w:val="30"/>
          <w:szCs w:val="30"/>
          <w:lang w:val="en-US" w:eastAsia="zh-CN"/>
        </w:rPr>
        <w:t>（二）选手报名</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1.通过“河南省高等职业院校技能大赛报名系统”报名参赛。</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2.不符合参赛资格的学生不得参赛，一经发现即取消参赛资格，且大赛执委会有权责令其退回已经获得的有关荣誉和奖励，并予以通报。</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eastAsia" w:ascii="楷体_GB2312" w:hAnsi="楷体_GB2312" w:eastAsia="楷体_GB2312" w:cs="楷体_GB2312"/>
          <w:color w:val="auto"/>
          <w:kern w:val="0"/>
          <w:sz w:val="30"/>
          <w:szCs w:val="30"/>
          <w:lang w:val="en-US" w:eastAsia="zh-CN"/>
        </w:rPr>
      </w:pPr>
      <w:r>
        <w:rPr>
          <w:rFonts w:hint="eastAsia" w:ascii="楷体_GB2312" w:hAnsi="楷体_GB2312" w:eastAsia="楷体_GB2312" w:cs="楷体_GB2312"/>
          <w:color w:val="auto"/>
          <w:kern w:val="0"/>
          <w:sz w:val="30"/>
          <w:szCs w:val="30"/>
          <w:lang w:val="en-US" w:eastAsia="zh-CN"/>
        </w:rPr>
        <w:t>（三）熟悉场地</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比赛场地在比赛日前一天对选手开放，并安排参赛单位的具体试场地时间，限定在指定区域。</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（四）入场规则</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1.选手按规定时间准时到达赛场检录区集合。</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2.选手须提供本人的参赛证、身份证、学生证。</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3.参赛选手具体比赛时间、顺序由抽签决定。须提前在规定时间内到达赛区现场检录；迟到超过15分钟的选手，视作弃权，不得入场比赛。</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4.参赛人员禁止携带易燃易爆、有毒有害、管制刀具等危险品进入赛场。</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eastAsia" w:ascii="楷体_GB2312" w:hAnsi="楷体_GB2312" w:eastAsia="楷体_GB2312" w:cs="楷体_GB2312"/>
          <w:color w:val="auto"/>
          <w:kern w:val="0"/>
          <w:sz w:val="30"/>
          <w:szCs w:val="30"/>
          <w:lang w:val="en-US" w:eastAsia="zh-CN"/>
        </w:rPr>
      </w:pPr>
      <w:r>
        <w:rPr>
          <w:rFonts w:hint="eastAsia" w:ascii="楷体_GB2312" w:hAnsi="楷体_GB2312" w:eastAsia="楷体_GB2312" w:cs="楷体_GB2312"/>
          <w:color w:val="auto"/>
          <w:kern w:val="0"/>
          <w:sz w:val="30"/>
          <w:szCs w:val="30"/>
          <w:lang w:val="en-US" w:eastAsia="zh-CN"/>
        </w:rPr>
        <w:t>（五）赛场规则</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1.选手须严格遵守竞赛规程规定的安全操作流程，防止发生安全事故。</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2.比赛过程中接受裁判员的监督和警示。若因选手个人原因造成设备故障，裁判长有权中止比赛，所造成后果由参赛队负责。</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3.竞赛选手对于认为有影响个人比赛成绩的裁判行为或设备故障等，应向指导老师反映，由指导教师按比赛制度规定进行申诉。参赛选手不得利用微信群、QQ群、自媒体等媒介发表虚假信息和不当言论。</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eastAsia" w:ascii="楷体_GB2312" w:hAnsi="楷体_GB2312" w:eastAsia="楷体_GB2312" w:cs="楷体_GB2312"/>
          <w:color w:val="auto"/>
          <w:kern w:val="0"/>
          <w:sz w:val="30"/>
          <w:szCs w:val="30"/>
          <w:lang w:val="en-US" w:eastAsia="zh-CN"/>
        </w:rPr>
      </w:pPr>
      <w:r>
        <w:rPr>
          <w:rFonts w:hint="eastAsia" w:ascii="楷体_GB2312" w:hAnsi="楷体_GB2312" w:eastAsia="楷体_GB2312" w:cs="楷体_GB2312"/>
          <w:color w:val="auto"/>
          <w:kern w:val="0"/>
          <w:sz w:val="30"/>
          <w:szCs w:val="30"/>
          <w:lang w:val="en-US" w:eastAsia="zh-CN"/>
        </w:rPr>
        <w:t>（六）离场规则</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1.选手在比赛结束后，方可离开赛场。</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2.裁判长宣布终止比赛时，参赛选手应停止竞赛任务的操作。</w:t>
      </w:r>
    </w:p>
    <w:p>
      <w:pPr>
        <w:keepNext w:val="0"/>
        <w:keepLines w:val="0"/>
        <w:pageBreakBefore w:val="0"/>
        <w:widowControl w:val="0"/>
        <w:kinsoku/>
        <w:wordWrap/>
        <w:overflowPunct/>
        <w:topLinePunct w:val="0"/>
        <w:bidi w:val="0"/>
        <w:snapToGrid/>
        <w:spacing w:line="560" w:lineRule="exact"/>
        <w:ind w:firstLine="600" w:firstLineChars="200"/>
        <w:jc w:val="left"/>
        <w:textAlignment w:val="auto"/>
        <w:rPr>
          <w:rFonts w:hint="eastAsia" w:ascii="楷体_GB2312" w:hAnsi="楷体_GB2312" w:eastAsia="楷体_GB2312" w:cs="楷体_GB2312"/>
          <w:color w:val="auto"/>
          <w:kern w:val="0"/>
          <w:sz w:val="30"/>
          <w:szCs w:val="30"/>
          <w:lang w:val="en-US" w:eastAsia="zh-CN"/>
        </w:rPr>
      </w:pPr>
      <w:r>
        <w:rPr>
          <w:rFonts w:hint="eastAsia" w:ascii="楷体_GB2312" w:hAnsi="楷体_GB2312" w:eastAsia="楷体_GB2312" w:cs="楷体_GB2312"/>
          <w:color w:val="auto"/>
          <w:kern w:val="0"/>
          <w:sz w:val="30"/>
          <w:szCs w:val="30"/>
          <w:lang w:val="en-US" w:eastAsia="zh-CN"/>
        </w:rPr>
        <w:t>（七）成绩评定与结果公布</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default" w:ascii="仿宋" w:hAnsi="仿宋" w:eastAsia="仿宋" w:cs="宋体"/>
          <w:color w:val="auto"/>
          <w:kern w:val="0"/>
          <w:sz w:val="30"/>
          <w:szCs w:val="30"/>
          <w:lang w:val="zh-CN" w:eastAsia="zh-CN"/>
        </w:rPr>
      </w:pPr>
      <w:r>
        <w:rPr>
          <w:rFonts w:hint="default" w:ascii="仿宋" w:hAnsi="仿宋" w:eastAsia="仿宋" w:cs="宋体"/>
          <w:color w:val="auto"/>
          <w:kern w:val="0"/>
          <w:sz w:val="30"/>
          <w:szCs w:val="30"/>
          <w:lang w:val="zh-CN" w:eastAsia="zh-CN"/>
        </w:rPr>
        <w:t>1.由裁判组成员进行执裁。</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zh-CN" w:eastAsia="zh-CN"/>
        </w:rPr>
      </w:pPr>
      <w:r>
        <w:rPr>
          <w:rFonts w:hint="eastAsia" w:ascii="仿宋" w:hAnsi="仿宋" w:eastAsia="仿宋" w:cs="宋体"/>
          <w:color w:val="auto"/>
          <w:kern w:val="0"/>
          <w:sz w:val="30"/>
          <w:szCs w:val="30"/>
          <w:lang w:val="zh-CN" w:eastAsia="zh-CN"/>
        </w:rPr>
        <w:t>2.各裁判根据最终提交</w:t>
      </w:r>
      <w:r>
        <w:rPr>
          <w:rFonts w:hint="eastAsia" w:ascii="仿宋" w:hAnsi="仿宋" w:eastAsia="仿宋" w:cs="宋体"/>
          <w:color w:val="auto"/>
          <w:kern w:val="0"/>
          <w:sz w:val="30"/>
          <w:szCs w:val="30"/>
          <w:lang w:val="en-US" w:eastAsia="zh-CN"/>
        </w:rPr>
        <w:t>比</w:t>
      </w:r>
      <w:r>
        <w:rPr>
          <w:rFonts w:hint="eastAsia" w:ascii="仿宋" w:hAnsi="仿宋" w:eastAsia="仿宋" w:cs="宋体"/>
          <w:color w:val="auto"/>
          <w:kern w:val="0"/>
          <w:sz w:val="30"/>
          <w:szCs w:val="30"/>
          <w:lang w:val="zh-CN" w:eastAsia="zh-CN"/>
        </w:rPr>
        <w:t>赛结果进行评分。</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default" w:ascii="仿宋" w:hAnsi="仿宋" w:eastAsia="仿宋" w:cs="宋体"/>
          <w:color w:val="auto"/>
          <w:kern w:val="0"/>
          <w:sz w:val="30"/>
          <w:szCs w:val="30"/>
          <w:lang w:val="zh-CN" w:eastAsia="zh-CN"/>
        </w:rPr>
      </w:pPr>
      <w:r>
        <w:rPr>
          <w:rFonts w:hint="eastAsia" w:ascii="仿宋" w:hAnsi="仿宋" w:eastAsia="仿宋" w:cs="宋体"/>
          <w:color w:val="auto"/>
          <w:kern w:val="0"/>
          <w:sz w:val="30"/>
          <w:szCs w:val="30"/>
          <w:lang w:val="zh-CN" w:eastAsia="zh-CN"/>
        </w:rPr>
        <w:t>3.比赛成绩经专人复核后，经裁判组、监督仲裁组签字后进行公示。公示时间为2小时。</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zh-CN" w:eastAsia="zh-CN"/>
        </w:rPr>
        <w:t>4.赛场裁判</w:t>
      </w:r>
      <w:r>
        <w:rPr>
          <w:rFonts w:hint="eastAsia" w:ascii="仿宋" w:hAnsi="仿宋" w:eastAsia="仿宋" w:cs="宋体"/>
          <w:color w:val="auto"/>
          <w:kern w:val="0"/>
          <w:sz w:val="30"/>
          <w:szCs w:val="30"/>
          <w:lang w:val="en-US" w:eastAsia="zh-CN"/>
        </w:rPr>
        <w:t>员</w:t>
      </w:r>
      <w:r>
        <w:rPr>
          <w:rFonts w:hint="eastAsia" w:ascii="仿宋" w:hAnsi="仿宋" w:eastAsia="仿宋" w:cs="宋体"/>
          <w:color w:val="auto"/>
          <w:kern w:val="0"/>
          <w:sz w:val="30"/>
          <w:szCs w:val="30"/>
          <w:lang w:val="zh-CN" w:eastAsia="zh-CN"/>
        </w:rPr>
        <w:t>将数据进</w:t>
      </w:r>
      <w:r>
        <w:rPr>
          <w:rFonts w:hint="eastAsia" w:ascii="仿宋" w:hAnsi="仿宋" w:eastAsia="仿宋" w:cs="宋体"/>
          <w:color w:val="auto"/>
          <w:kern w:val="0"/>
          <w:sz w:val="30"/>
          <w:szCs w:val="30"/>
          <w:lang w:val="en-US" w:eastAsia="zh-CN"/>
        </w:rPr>
        <w:t>行备份和保存，成绩单提交给大赛执委会备案。</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5.参赛代表队若对赛事有异议，可由领队按规程提出书面申诉。</w:t>
      </w:r>
    </w:p>
    <w:p>
      <w:pPr>
        <w:keepNext w:val="0"/>
        <w:keepLines w:val="0"/>
        <w:pageBreakBefore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lang w:val="en-US" w:eastAsia="zh-CN"/>
        </w:rPr>
      </w:pPr>
      <w:r>
        <w:rPr>
          <w:rFonts w:hint="eastAsia" w:ascii="黑体" w:hAnsi="黑体" w:eastAsia="黑体" w:cs="黑体"/>
          <w:b w:val="0"/>
          <w:bCs w:val="0"/>
          <w:color w:val="auto"/>
          <w:sz w:val="30"/>
          <w:szCs w:val="30"/>
          <w:lang w:val="en-US" w:eastAsia="zh-CN"/>
        </w:rPr>
        <w:t>九、竞赛环境</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赛场采光、照明、通风和温控条件良好，划分为检录区、候赛区、竞赛区、裁判区、观摩区、休息区、选手通道、观摩通道等区域，区域之间有明显标志或警示带。</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赛场有保安、消防、电力维修等人员待命，并设置安全应急通道，以防突发事件。赛场配备医疗等服务站点，为选手和工作人员提供服务。</w:t>
      </w:r>
      <w:bookmarkStart w:id="11" w:name="_Toc2391"/>
      <w:bookmarkStart w:id="12" w:name="_Toc3385"/>
      <w:bookmarkStart w:id="13" w:name="_Toc24921"/>
    </w:p>
    <w:p>
      <w:pPr>
        <w:keepNext w:val="0"/>
        <w:keepLines w:val="0"/>
        <w:pageBreakBefore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lang w:val="en-US" w:eastAsia="zh-CN"/>
        </w:rPr>
      </w:pPr>
      <w:r>
        <w:rPr>
          <w:rFonts w:hint="eastAsia" w:ascii="黑体" w:hAnsi="黑体" w:eastAsia="黑体" w:cs="黑体"/>
          <w:b w:val="0"/>
          <w:bCs w:val="0"/>
          <w:color w:val="auto"/>
          <w:sz w:val="30"/>
          <w:szCs w:val="30"/>
          <w:lang w:val="en-US" w:eastAsia="zh-CN"/>
        </w:rPr>
        <w:t>十、成绩评定</w:t>
      </w:r>
      <w:bookmarkEnd w:id="11"/>
      <w:bookmarkEnd w:id="12"/>
      <w:bookmarkEnd w:id="13"/>
      <w:bookmarkStart w:id="14" w:name="_Toc15104"/>
      <w:bookmarkStart w:id="15" w:name="_Toc31407"/>
      <w:bookmarkStart w:id="16" w:name="_Toc6201"/>
    </w:p>
    <w:bookmarkEnd w:id="14"/>
    <w:bookmarkEnd w:id="15"/>
    <w:bookmarkEnd w:id="16"/>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方正楷体_GBK" w:hAnsi="方正楷体_GBK" w:eastAsia="方正楷体_GBK" w:cs="方正楷体_GBK"/>
          <w:color w:val="auto"/>
          <w:kern w:val="0"/>
          <w:sz w:val="30"/>
          <w:szCs w:val="30"/>
          <w:lang w:val="en-US" w:eastAsia="zh-CN"/>
        </w:rPr>
      </w:pPr>
      <w:r>
        <w:rPr>
          <w:rFonts w:hint="eastAsia" w:ascii="方正楷体_GBK" w:hAnsi="方正楷体_GBK" w:eastAsia="方正楷体_GBK" w:cs="方正楷体_GBK"/>
          <w:color w:val="auto"/>
          <w:kern w:val="0"/>
          <w:sz w:val="30"/>
          <w:szCs w:val="30"/>
          <w:lang w:val="en-US" w:eastAsia="zh-CN"/>
        </w:rPr>
        <w:t>（一）赛项评分标准</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default"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成绩评定遵循科学合理、规范严谨、公平公正的原则，既全面衡量，又突出重点；既重视基础水平和质量，又重视综合表现和创造能力；专业性与职业性相融合。（详细评分标准见附件《校园创编舞评分细则》</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方正楷体_GBK" w:hAnsi="方正楷体_GBK" w:eastAsia="方正楷体_GBK" w:cs="方正楷体_GBK"/>
          <w:color w:val="auto"/>
          <w:kern w:val="0"/>
          <w:sz w:val="30"/>
          <w:szCs w:val="30"/>
          <w:lang w:val="en-US" w:eastAsia="zh-CN"/>
        </w:rPr>
      </w:pPr>
      <w:bookmarkStart w:id="17" w:name="_Toc18211"/>
      <w:bookmarkStart w:id="18" w:name="_Toc15642"/>
      <w:bookmarkStart w:id="19" w:name="_Toc5133"/>
      <w:r>
        <w:rPr>
          <w:rFonts w:hint="eastAsia" w:ascii="方正楷体_GBK" w:hAnsi="方正楷体_GBK" w:eastAsia="方正楷体_GBK" w:cs="方正楷体_GBK"/>
          <w:color w:val="auto"/>
          <w:kern w:val="0"/>
          <w:sz w:val="30"/>
          <w:szCs w:val="30"/>
          <w:lang w:val="en-US" w:eastAsia="zh-CN"/>
        </w:rPr>
        <w:t>（二）评分</w:t>
      </w:r>
      <w:bookmarkEnd w:id="17"/>
      <w:bookmarkEnd w:id="18"/>
      <w:bookmarkEnd w:id="19"/>
      <w:r>
        <w:rPr>
          <w:rFonts w:hint="eastAsia" w:ascii="方正楷体_GBK" w:hAnsi="方正楷体_GBK" w:eastAsia="方正楷体_GBK" w:cs="方正楷体_GBK"/>
          <w:color w:val="auto"/>
          <w:kern w:val="0"/>
          <w:sz w:val="30"/>
          <w:szCs w:val="30"/>
          <w:lang w:val="en-US" w:eastAsia="zh-CN"/>
        </w:rPr>
        <w:t>方式</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1.裁判组成条件</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由校园创编舞赛项竞赛执委会在河南省职业院校技能大赛专家库抽定裁判员。</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default"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2.裁判组实行“裁判长负责制”，设裁判长1名，全面负责赛项的裁判与管理工作。</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3.成绩产生及评分方法</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（1）每位裁判依据选手的现场竞赛表现，按照评分标准独立评分。由专门计分人员在统一时间收取裁判评分表后统计分数。评分采用百分制，取小数点后两位。</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（2）去掉裁判评分一个最高分和一个最低分后，计算得出其它裁判评分的平均分；即为选手该项目的竞赛成绩。</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（3）最终成绩经复核无误后，由裁判组、监督仲裁组签字确认并公示。成绩公示无异议后，由监督仲裁组长在成绩单上签字，赛项执委会审核后正式公布。</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（4）如果作品最终总成绩出现并列的情况下，以作品总分的成绩来评定。</w:t>
      </w:r>
      <w:bookmarkStart w:id="20" w:name="_Toc19333"/>
      <w:bookmarkStart w:id="21" w:name="_Toc28883"/>
      <w:bookmarkStart w:id="22" w:name="_Toc16065"/>
    </w:p>
    <w:bookmarkEnd w:id="20"/>
    <w:bookmarkEnd w:id="21"/>
    <w:bookmarkEnd w:id="22"/>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4.违规行为分数判定</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在比赛期间，参赛选手如出现扰乱赛场秩序、干扰裁判和比赛正常工作等不文明行为的，由裁判长扣减该专项相应分数，情节严重的取消比赛资格，该专项成绩为0分。</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5.成绩公示</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最终成绩由裁判长、监督仲裁组长签字后进行公示，公示时间为2小时，在公示期间，对成绩有争议的参赛队，可按程序申请仲裁，由仲裁组长组织仲裁。</w:t>
      </w:r>
    </w:p>
    <w:p>
      <w:pPr>
        <w:keepNext w:val="0"/>
        <w:keepLines w:val="0"/>
        <w:pageBreakBefore w:val="0"/>
        <w:widowControl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rPr>
      </w:pPr>
      <w:bookmarkStart w:id="23" w:name="_Toc13381"/>
      <w:bookmarkStart w:id="24" w:name="_Toc32177"/>
      <w:bookmarkStart w:id="25" w:name="_Toc24782"/>
      <w:r>
        <w:rPr>
          <w:rFonts w:hint="eastAsia" w:ascii="黑体" w:hAnsi="黑体" w:eastAsia="黑体" w:cs="黑体"/>
          <w:b w:val="0"/>
          <w:bCs w:val="0"/>
          <w:color w:val="auto"/>
          <w:sz w:val="30"/>
          <w:szCs w:val="30"/>
        </w:rPr>
        <w:t>十</w:t>
      </w:r>
      <w:r>
        <w:rPr>
          <w:rFonts w:hint="eastAsia" w:ascii="黑体" w:hAnsi="黑体" w:eastAsia="黑体" w:cs="黑体"/>
          <w:b w:val="0"/>
          <w:bCs w:val="0"/>
          <w:color w:val="auto"/>
          <w:sz w:val="30"/>
          <w:szCs w:val="30"/>
          <w:lang w:val="en-US" w:eastAsia="zh-CN"/>
        </w:rPr>
        <w:t>一</w:t>
      </w:r>
      <w:r>
        <w:rPr>
          <w:rFonts w:hint="eastAsia" w:ascii="黑体" w:hAnsi="黑体" w:eastAsia="黑体" w:cs="黑体"/>
          <w:b w:val="0"/>
          <w:bCs w:val="0"/>
          <w:color w:val="auto"/>
          <w:sz w:val="30"/>
          <w:szCs w:val="30"/>
          <w:lang w:eastAsia="zh-CN"/>
        </w:rPr>
        <w:t>、</w:t>
      </w:r>
      <w:r>
        <w:rPr>
          <w:rFonts w:hint="eastAsia" w:ascii="黑体" w:hAnsi="黑体" w:eastAsia="黑体" w:cs="黑体"/>
          <w:b w:val="0"/>
          <w:bCs w:val="0"/>
          <w:color w:val="auto"/>
          <w:sz w:val="30"/>
          <w:szCs w:val="30"/>
        </w:rPr>
        <w:t>奖项设定</w:t>
      </w:r>
      <w:bookmarkEnd w:id="23"/>
      <w:bookmarkEnd w:id="24"/>
      <w:bookmarkEnd w:id="25"/>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按照《河南省教育厅办公室关于举办2024年河南省高等职业教育技能大赛的通知》（教办职成〔2024〕331号）文件要求。</w:t>
      </w:r>
      <w:bookmarkStart w:id="26" w:name="_Toc32009"/>
      <w:bookmarkStart w:id="27" w:name="_Toc17572"/>
      <w:bookmarkStart w:id="28" w:name="_Toc20177"/>
    </w:p>
    <w:p>
      <w:pPr>
        <w:keepNext w:val="0"/>
        <w:keepLines w:val="0"/>
        <w:pageBreakBefore w:val="0"/>
        <w:widowControl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rPr>
      </w:pPr>
      <w:r>
        <w:rPr>
          <w:rFonts w:hint="eastAsia" w:ascii="黑体" w:hAnsi="黑体" w:eastAsia="黑体" w:cs="黑体"/>
          <w:b w:val="0"/>
          <w:bCs w:val="0"/>
          <w:color w:val="auto"/>
          <w:sz w:val="30"/>
          <w:szCs w:val="30"/>
        </w:rPr>
        <w:t>十</w:t>
      </w:r>
      <w:r>
        <w:rPr>
          <w:rFonts w:hint="eastAsia" w:ascii="黑体" w:hAnsi="黑体" w:eastAsia="黑体" w:cs="黑体"/>
          <w:b w:val="0"/>
          <w:bCs w:val="0"/>
          <w:color w:val="auto"/>
          <w:sz w:val="30"/>
          <w:szCs w:val="30"/>
          <w:lang w:val="en-US" w:eastAsia="zh-CN"/>
        </w:rPr>
        <w:t>二</w:t>
      </w:r>
      <w:r>
        <w:rPr>
          <w:rFonts w:hint="eastAsia" w:ascii="黑体" w:hAnsi="黑体" w:eastAsia="黑体" w:cs="黑体"/>
          <w:b w:val="0"/>
          <w:bCs w:val="0"/>
          <w:color w:val="auto"/>
          <w:sz w:val="30"/>
          <w:szCs w:val="30"/>
          <w:lang w:eastAsia="zh-CN"/>
        </w:rPr>
        <w:t>、</w:t>
      </w:r>
      <w:r>
        <w:rPr>
          <w:rFonts w:hint="eastAsia" w:ascii="黑体" w:hAnsi="黑体" w:eastAsia="黑体" w:cs="黑体"/>
          <w:b w:val="0"/>
          <w:bCs w:val="0"/>
          <w:color w:val="auto"/>
          <w:sz w:val="30"/>
          <w:szCs w:val="30"/>
        </w:rPr>
        <w:t>赛场预案</w:t>
      </w:r>
      <w:bookmarkEnd w:id="26"/>
      <w:bookmarkEnd w:id="27"/>
      <w:bookmarkEnd w:id="28"/>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根据校园创编舞赛项特点，比赛过程中可能出现影响比赛正常进行的设施设备事故，主要是电路故障和音响故障。</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一）比赛现场配备竞赛所用设备的专业维修人员，话筒、音控台、音响等均应有备份。比赛时如意外出现故障，将立即更换或由维修人员抢修，竞赛暂停。故障排除，从暂停比赛的作品开始重新比赛，裁判员重新评分。</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（二）比赛现场须配备专业医护人员，备有紧急通道。比赛时如选手出现意外伤病，及时进行医治救护，或立即送往医院救治。</w:t>
      </w:r>
    </w:p>
    <w:p>
      <w:pPr>
        <w:keepNext w:val="0"/>
        <w:keepLines w:val="0"/>
        <w:pageBreakBefore w:val="0"/>
        <w:widowControl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rPr>
      </w:pPr>
      <w:bookmarkStart w:id="29" w:name="_Toc28525"/>
      <w:bookmarkStart w:id="30" w:name="_Toc15112"/>
      <w:bookmarkStart w:id="31" w:name="_Toc15220"/>
      <w:r>
        <w:rPr>
          <w:rFonts w:hint="eastAsia" w:ascii="黑体" w:hAnsi="黑体" w:eastAsia="黑体" w:cs="黑体"/>
          <w:b w:val="0"/>
          <w:bCs w:val="0"/>
          <w:color w:val="auto"/>
          <w:sz w:val="30"/>
          <w:szCs w:val="30"/>
        </w:rPr>
        <w:t>十</w:t>
      </w:r>
      <w:r>
        <w:rPr>
          <w:rFonts w:hint="eastAsia" w:ascii="黑体" w:hAnsi="黑体" w:eastAsia="黑体" w:cs="黑体"/>
          <w:b w:val="0"/>
          <w:bCs w:val="0"/>
          <w:color w:val="auto"/>
          <w:sz w:val="30"/>
          <w:szCs w:val="30"/>
          <w:lang w:val="en-US" w:eastAsia="zh-CN"/>
        </w:rPr>
        <w:t>三</w:t>
      </w:r>
      <w:r>
        <w:rPr>
          <w:rFonts w:hint="eastAsia" w:ascii="黑体" w:hAnsi="黑体" w:eastAsia="黑体" w:cs="黑体"/>
          <w:b w:val="0"/>
          <w:bCs w:val="0"/>
          <w:color w:val="auto"/>
          <w:sz w:val="30"/>
          <w:szCs w:val="30"/>
          <w:lang w:eastAsia="zh-CN"/>
        </w:rPr>
        <w:t>、</w:t>
      </w:r>
      <w:r>
        <w:rPr>
          <w:rFonts w:hint="eastAsia" w:ascii="黑体" w:hAnsi="黑体" w:eastAsia="黑体" w:cs="黑体"/>
          <w:b w:val="0"/>
          <w:bCs w:val="0"/>
          <w:color w:val="auto"/>
          <w:sz w:val="30"/>
          <w:szCs w:val="30"/>
        </w:rPr>
        <w:t>赛项安全</w:t>
      </w:r>
      <w:bookmarkEnd w:id="29"/>
      <w:bookmarkEnd w:id="30"/>
      <w:bookmarkEnd w:id="31"/>
    </w:p>
    <w:p>
      <w:pPr>
        <w:keepNext w:val="0"/>
        <w:keepLines w:val="0"/>
        <w:pageBreakBefore w:val="0"/>
        <w:widowControl w:val="0"/>
        <w:kinsoku/>
        <w:wordWrap/>
        <w:overflowPunct/>
        <w:topLinePunct w:val="0"/>
        <w:autoSpaceDE/>
        <w:autoSpaceDN/>
        <w:bidi w:val="0"/>
        <w:snapToGrid/>
        <w:spacing w:line="560" w:lineRule="exact"/>
        <w:ind w:firstLine="600" w:firstLineChars="200"/>
        <w:jc w:val="left"/>
        <w:textAlignment w:val="auto"/>
        <w:rPr>
          <w:rFonts w:hint="eastAsia" w:ascii="楷体_GB2312" w:hAnsi="楷体_GB2312" w:eastAsia="楷体_GB2312" w:cs="楷体_GB2312"/>
          <w:color w:val="auto"/>
          <w:kern w:val="0"/>
          <w:sz w:val="30"/>
          <w:szCs w:val="30"/>
          <w:lang w:val="en-US" w:eastAsia="zh-CN"/>
        </w:rPr>
      </w:pPr>
      <w:bookmarkStart w:id="32" w:name="_Toc17659"/>
      <w:bookmarkStart w:id="33" w:name="_Toc8289"/>
      <w:bookmarkStart w:id="34" w:name="_Toc920"/>
      <w:r>
        <w:rPr>
          <w:rFonts w:hint="eastAsia" w:ascii="楷体_GB2312" w:hAnsi="楷体_GB2312" w:eastAsia="楷体_GB2312" w:cs="楷体_GB2312"/>
          <w:color w:val="auto"/>
          <w:kern w:val="0"/>
          <w:sz w:val="30"/>
          <w:szCs w:val="30"/>
          <w:lang w:val="en-US" w:eastAsia="zh-CN"/>
        </w:rPr>
        <w:t>（一）比赛环境</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1.赛场的布置，赛场内的器材、设备，符合国家有关安全规定。</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2.赛场周围设立警戒线，无关人员不得进入赛场。比赛现场内应参照相关职业岗位的要求为选手提供必要的劳动保护。在具有危险性的操作环节，裁判员要严防选手出现错误操作。</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3.承办单位提供保证应急预案实施的条件。对于比赛内容涉及高空作业、可能有坠物、大用电量、易发生火灾等情况，具有明确制度和预案，并配备急救人员与设施。</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4.赛项执委会须会同承办单位制定开放赛场和体验区的人员疏导方案。赛场环境中存在人员密集的区域，除了设置齐全的指示标志外，须增加引导人员，并开辟备用通道。</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5.竞赛期间，承办单位须在赛场管理的关键岗位，增加力量，建立安全管理日志。</w:t>
      </w:r>
    </w:p>
    <w:p>
      <w:pPr>
        <w:keepNext w:val="0"/>
        <w:keepLines w:val="0"/>
        <w:pageBreakBefore w:val="0"/>
        <w:widowControl w:val="0"/>
        <w:kinsoku/>
        <w:wordWrap/>
        <w:overflowPunct/>
        <w:topLinePunct w:val="0"/>
        <w:autoSpaceDE/>
        <w:autoSpaceDN/>
        <w:bidi w:val="0"/>
        <w:snapToGrid/>
        <w:spacing w:line="560" w:lineRule="exact"/>
        <w:ind w:firstLine="600" w:firstLineChars="200"/>
        <w:jc w:val="left"/>
        <w:textAlignment w:val="auto"/>
        <w:rPr>
          <w:rFonts w:hint="eastAsia" w:ascii="楷体_GB2312" w:hAnsi="楷体_GB2312" w:eastAsia="楷体_GB2312" w:cs="楷体_GB2312"/>
          <w:color w:val="auto"/>
          <w:kern w:val="0"/>
          <w:sz w:val="30"/>
          <w:szCs w:val="30"/>
          <w:lang w:val="en-US" w:eastAsia="zh-CN"/>
        </w:rPr>
      </w:pPr>
      <w:r>
        <w:rPr>
          <w:rFonts w:hint="eastAsia" w:ascii="楷体_GB2312" w:hAnsi="楷体_GB2312" w:eastAsia="楷体_GB2312" w:cs="楷体_GB2312"/>
          <w:color w:val="auto"/>
          <w:kern w:val="0"/>
          <w:sz w:val="30"/>
          <w:szCs w:val="30"/>
          <w:lang w:val="en-US" w:eastAsia="zh-CN"/>
        </w:rPr>
        <w:t>（二）生活条件</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1.比赛期间，原则上由赛项执委会统一安排参赛选手和指导教师食宿（费用自理）。承办单位须尊重少数民族的信仰及文化，根据国家相关的民族政策，安排好少数民族选手和教师的饮食起居。</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2.比赛期间有组织的参观和观摩活动的交通安全由执委会负责。执委会和承办单位须保证比赛期间选手、指导教师和裁判员、工作人员的交通安全。因个人原因造成的安全事故，责任由本人承担。</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3.各赛项的安全管理，除了可以采取必要的安全隔离措施外，应严格遵守国家相关法律法规，保护个人隐私和人身自由。</w:t>
      </w:r>
    </w:p>
    <w:p>
      <w:pPr>
        <w:keepNext w:val="0"/>
        <w:keepLines w:val="0"/>
        <w:pageBreakBefore w:val="0"/>
        <w:widowControl w:val="0"/>
        <w:kinsoku/>
        <w:wordWrap/>
        <w:overflowPunct/>
        <w:topLinePunct w:val="0"/>
        <w:autoSpaceDE/>
        <w:autoSpaceDN/>
        <w:bidi w:val="0"/>
        <w:snapToGrid/>
        <w:spacing w:line="560" w:lineRule="exact"/>
        <w:ind w:firstLine="600" w:firstLineChars="200"/>
        <w:jc w:val="left"/>
        <w:textAlignment w:val="auto"/>
        <w:rPr>
          <w:rFonts w:hint="eastAsia" w:ascii="楷体_GB2312" w:hAnsi="楷体_GB2312" w:eastAsia="楷体_GB2312" w:cs="楷体_GB2312"/>
          <w:color w:val="auto"/>
          <w:kern w:val="0"/>
          <w:sz w:val="30"/>
          <w:szCs w:val="30"/>
          <w:lang w:val="en-US" w:eastAsia="zh-CN"/>
        </w:rPr>
      </w:pPr>
      <w:r>
        <w:rPr>
          <w:rFonts w:hint="eastAsia" w:ascii="楷体_GB2312" w:hAnsi="楷体_GB2312" w:eastAsia="楷体_GB2312" w:cs="楷体_GB2312"/>
          <w:color w:val="auto"/>
          <w:kern w:val="0"/>
          <w:sz w:val="30"/>
          <w:szCs w:val="30"/>
          <w:lang w:val="en-US" w:eastAsia="zh-CN"/>
        </w:rPr>
        <w:t>（三）组队责任</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1.各学校组织代表队时，须安排为参赛选手购买竞赛期间的人身意外伤害保险。如果因未购买保险而出现的一切后果，由参赛院校自行承担。</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2.各学校代表队组成后，须制定相关管理制度，并对所有选手、指导教师进行安全教育。</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3.各参赛队伍须加强对参与比赛人员的安全管理，实现与赛场安全管理的对接。</w:t>
      </w:r>
    </w:p>
    <w:p>
      <w:pPr>
        <w:keepNext w:val="0"/>
        <w:keepLines w:val="0"/>
        <w:pageBreakBefore w:val="0"/>
        <w:widowControl w:val="0"/>
        <w:kinsoku/>
        <w:wordWrap/>
        <w:overflowPunct/>
        <w:topLinePunct w:val="0"/>
        <w:autoSpaceDE/>
        <w:autoSpaceDN/>
        <w:bidi w:val="0"/>
        <w:snapToGrid/>
        <w:spacing w:line="560" w:lineRule="exact"/>
        <w:ind w:firstLine="600" w:firstLineChars="200"/>
        <w:jc w:val="left"/>
        <w:textAlignment w:val="auto"/>
        <w:rPr>
          <w:rFonts w:hint="eastAsia" w:ascii="楷体_GB2312" w:hAnsi="楷体_GB2312" w:eastAsia="楷体_GB2312" w:cs="楷体_GB2312"/>
          <w:color w:val="auto"/>
          <w:kern w:val="0"/>
          <w:sz w:val="30"/>
          <w:szCs w:val="30"/>
          <w:lang w:val="en-US" w:eastAsia="zh-CN"/>
        </w:rPr>
      </w:pPr>
      <w:r>
        <w:rPr>
          <w:rFonts w:hint="eastAsia" w:ascii="楷体_GB2312" w:hAnsi="楷体_GB2312" w:eastAsia="楷体_GB2312" w:cs="楷体_GB2312"/>
          <w:color w:val="auto"/>
          <w:kern w:val="0"/>
          <w:sz w:val="30"/>
          <w:szCs w:val="30"/>
          <w:lang w:val="en-US" w:eastAsia="zh-CN"/>
        </w:rPr>
        <w:t>（四）应急处理</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比赛期间发生意外事故，发现者应第一时间报告赛项执委会，同时采取措施避免事态扩大。赛项执委会应立即启动预案予以解决并上报竞赛执委会。赛项出现重大安全问题可以停赛，是否停赛由赛项执委会决定。事后，赛项执委会应向竞赛执委会报告详细情况。</w:t>
      </w:r>
    </w:p>
    <w:p>
      <w:pPr>
        <w:keepNext w:val="0"/>
        <w:keepLines w:val="0"/>
        <w:pageBreakBefore w:val="0"/>
        <w:widowControl w:val="0"/>
        <w:kinsoku/>
        <w:wordWrap/>
        <w:overflowPunct/>
        <w:topLinePunct w:val="0"/>
        <w:autoSpaceDE/>
        <w:autoSpaceDN/>
        <w:bidi w:val="0"/>
        <w:snapToGrid/>
        <w:spacing w:line="560" w:lineRule="exact"/>
        <w:ind w:firstLine="600" w:firstLineChars="200"/>
        <w:jc w:val="left"/>
        <w:textAlignment w:val="auto"/>
        <w:rPr>
          <w:rFonts w:hint="eastAsia" w:ascii="楷体_GB2312" w:hAnsi="楷体_GB2312" w:eastAsia="楷体_GB2312" w:cs="楷体_GB2312"/>
          <w:color w:val="auto"/>
          <w:kern w:val="0"/>
          <w:sz w:val="30"/>
          <w:szCs w:val="30"/>
          <w:lang w:val="en-US" w:eastAsia="zh-CN"/>
        </w:rPr>
      </w:pPr>
      <w:r>
        <w:rPr>
          <w:rFonts w:hint="eastAsia" w:ascii="楷体_GB2312" w:hAnsi="楷体_GB2312" w:eastAsia="楷体_GB2312" w:cs="楷体_GB2312"/>
          <w:color w:val="auto"/>
          <w:kern w:val="0"/>
          <w:sz w:val="30"/>
          <w:szCs w:val="30"/>
          <w:lang w:val="en-US" w:eastAsia="zh-CN"/>
        </w:rPr>
        <w:t>（五）处罚措施</w:t>
      </w:r>
    </w:p>
    <w:p>
      <w:pPr>
        <w:keepNext w:val="0"/>
        <w:keepLines w:val="0"/>
        <w:pageBreakBefore w:val="0"/>
        <w:widowControl w:val="0"/>
        <w:kinsoku/>
        <w:wordWrap/>
        <w:overflowPunct/>
        <w:topLinePunct w:val="0"/>
        <w:autoSpaceDE/>
        <w:autoSpaceDN/>
        <w:bidi w:val="0"/>
        <w:snapToGrid w:val="0"/>
        <w:spacing w:line="560" w:lineRule="exact"/>
        <w:ind w:firstLine="600" w:firstLineChars="200"/>
        <w:textAlignment w:val="auto"/>
        <w:rPr>
          <w:rFonts w:hint="eastAsia" w:ascii="仿宋" w:hAnsi="仿宋" w:eastAsia="仿宋" w:cs="仿宋"/>
          <w:bCs/>
          <w:color w:val="auto"/>
          <w:sz w:val="30"/>
          <w:szCs w:val="30"/>
        </w:rPr>
      </w:pPr>
      <w:r>
        <w:rPr>
          <w:rFonts w:hint="eastAsia" w:ascii="仿宋" w:hAnsi="仿宋" w:eastAsia="仿宋" w:cs="仿宋"/>
          <w:bCs/>
          <w:color w:val="auto"/>
          <w:sz w:val="30"/>
          <w:szCs w:val="30"/>
        </w:rPr>
        <w:t>1</w:t>
      </w:r>
      <w:r>
        <w:rPr>
          <w:rFonts w:hint="eastAsia" w:ascii="仿宋_GB2312" w:hAnsi="仿宋_GB2312" w:eastAsia="仿宋_GB2312" w:cs="仿宋_GB2312"/>
          <w:color w:val="auto"/>
          <w:sz w:val="30"/>
          <w:szCs w:val="30"/>
        </w:rPr>
        <w:t>.</w:t>
      </w:r>
      <w:r>
        <w:rPr>
          <w:rFonts w:hint="eastAsia" w:ascii="仿宋" w:hAnsi="仿宋" w:eastAsia="仿宋" w:cs="仿宋"/>
          <w:bCs/>
          <w:color w:val="auto"/>
          <w:sz w:val="30"/>
          <w:szCs w:val="30"/>
        </w:rPr>
        <w:t>因参赛队伍原因造成重大安全事故的，取消其获奖资格。</w:t>
      </w:r>
    </w:p>
    <w:p>
      <w:pPr>
        <w:keepNext w:val="0"/>
        <w:keepLines w:val="0"/>
        <w:pageBreakBefore w:val="0"/>
        <w:widowControl w:val="0"/>
        <w:kinsoku/>
        <w:wordWrap/>
        <w:overflowPunct/>
        <w:topLinePunct w:val="0"/>
        <w:autoSpaceDE/>
        <w:autoSpaceDN/>
        <w:bidi w:val="0"/>
        <w:snapToGrid w:val="0"/>
        <w:spacing w:line="560" w:lineRule="exact"/>
        <w:ind w:firstLine="600" w:firstLineChars="200"/>
        <w:textAlignment w:val="auto"/>
        <w:rPr>
          <w:rFonts w:hint="eastAsia" w:ascii="仿宋" w:hAnsi="仿宋" w:eastAsia="仿宋" w:cs="仿宋"/>
          <w:bCs/>
          <w:color w:val="auto"/>
          <w:sz w:val="30"/>
          <w:szCs w:val="30"/>
        </w:rPr>
      </w:pPr>
      <w:r>
        <w:rPr>
          <w:rFonts w:hint="eastAsia" w:ascii="仿宋" w:hAnsi="仿宋" w:eastAsia="仿宋" w:cs="仿宋"/>
          <w:bCs/>
          <w:color w:val="auto"/>
          <w:sz w:val="30"/>
          <w:szCs w:val="30"/>
        </w:rPr>
        <w:t>2</w:t>
      </w:r>
      <w:r>
        <w:rPr>
          <w:rFonts w:hint="eastAsia" w:ascii="仿宋_GB2312" w:hAnsi="仿宋_GB2312" w:eastAsia="仿宋_GB2312" w:cs="仿宋_GB2312"/>
          <w:color w:val="auto"/>
          <w:sz w:val="30"/>
          <w:szCs w:val="30"/>
        </w:rPr>
        <w:t>.</w:t>
      </w:r>
      <w:r>
        <w:rPr>
          <w:rFonts w:hint="eastAsia" w:ascii="仿宋" w:hAnsi="仿宋" w:eastAsia="仿宋" w:cs="仿宋"/>
          <w:bCs/>
          <w:color w:val="auto"/>
          <w:sz w:val="30"/>
          <w:szCs w:val="30"/>
        </w:rPr>
        <w:t>参赛队伍有发生重大安全事故隐患，经赛场工作人员提示、警告无效的，可取消其继续比赛的资格。</w:t>
      </w:r>
    </w:p>
    <w:p>
      <w:pPr>
        <w:keepNext w:val="0"/>
        <w:keepLines w:val="0"/>
        <w:pageBreakBefore w:val="0"/>
        <w:widowControl w:val="0"/>
        <w:kinsoku/>
        <w:wordWrap/>
        <w:overflowPunct/>
        <w:topLinePunct w:val="0"/>
        <w:autoSpaceDE/>
        <w:autoSpaceDN/>
        <w:bidi w:val="0"/>
        <w:snapToGrid w:val="0"/>
        <w:spacing w:line="560" w:lineRule="exact"/>
        <w:ind w:firstLine="600" w:firstLineChars="200"/>
        <w:textAlignment w:val="auto"/>
        <w:rPr>
          <w:rFonts w:hint="eastAsia" w:ascii="仿宋" w:hAnsi="仿宋" w:eastAsia="仿宋" w:cs="仿宋"/>
          <w:bCs/>
          <w:color w:val="auto"/>
          <w:sz w:val="30"/>
          <w:szCs w:val="30"/>
        </w:rPr>
      </w:pPr>
      <w:r>
        <w:rPr>
          <w:rFonts w:hint="eastAsia" w:ascii="仿宋" w:hAnsi="仿宋" w:eastAsia="仿宋" w:cs="仿宋"/>
          <w:bCs/>
          <w:color w:val="auto"/>
          <w:sz w:val="30"/>
          <w:szCs w:val="30"/>
        </w:rPr>
        <w:t>3</w:t>
      </w:r>
      <w:r>
        <w:rPr>
          <w:rFonts w:hint="eastAsia" w:ascii="仿宋_GB2312" w:hAnsi="仿宋_GB2312" w:eastAsia="仿宋_GB2312" w:cs="仿宋_GB2312"/>
          <w:color w:val="auto"/>
          <w:sz w:val="30"/>
          <w:szCs w:val="30"/>
        </w:rPr>
        <w:t>.</w:t>
      </w:r>
      <w:r>
        <w:rPr>
          <w:rFonts w:hint="eastAsia" w:ascii="仿宋" w:hAnsi="仿宋" w:eastAsia="仿宋" w:cs="仿宋"/>
          <w:bCs/>
          <w:color w:val="auto"/>
          <w:sz w:val="30"/>
          <w:szCs w:val="30"/>
        </w:rPr>
        <w:t>赛事工作人员违规的，按照相应的制度追究责任。情节恶劣并造成重大安全事故的，由司法机关追究相应法律责任。</w:t>
      </w:r>
    </w:p>
    <w:p>
      <w:pPr>
        <w:keepNext w:val="0"/>
        <w:keepLines w:val="0"/>
        <w:pageBreakBefore w:val="0"/>
        <w:widowControl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rPr>
      </w:pPr>
      <w:r>
        <w:rPr>
          <w:rFonts w:hint="eastAsia" w:ascii="黑体" w:hAnsi="黑体" w:eastAsia="黑体" w:cs="黑体"/>
          <w:b w:val="0"/>
          <w:bCs w:val="0"/>
          <w:color w:val="auto"/>
          <w:sz w:val="30"/>
          <w:szCs w:val="30"/>
          <w:lang w:val="en-US" w:eastAsia="zh-CN"/>
        </w:rPr>
        <w:t>十四、</w:t>
      </w:r>
      <w:r>
        <w:rPr>
          <w:rFonts w:hint="eastAsia" w:ascii="黑体" w:hAnsi="黑体" w:eastAsia="黑体" w:cs="黑体"/>
          <w:b w:val="0"/>
          <w:bCs w:val="0"/>
          <w:color w:val="auto"/>
          <w:sz w:val="30"/>
          <w:szCs w:val="30"/>
        </w:rPr>
        <w:t>申诉与仲裁</w:t>
      </w:r>
    </w:p>
    <w:p>
      <w:pPr>
        <w:keepNext w:val="0"/>
        <w:keepLines w:val="0"/>
        <w:pageBreakBefore w:val="0"/>
        <w:widowControl w:val="0"/>
        <w:kinsoku/>
        <w:wordWrap/>
        <w:overflowPunct/>
        <w:topLinePunct w:val="0"/>
        <w:autoSpaceDE/>
        <w:autoSpaceDN/>
        <w:bidi w:val="0"/>
        <w:snapToGrid w:val="0"/>
        <w:spacing w:line="560" w:lineRule="exact"/>
        <w:ind w:firstLine="600" w:firstLineChars="200"/>
        <w:textAlignment w:val="auto"/>
        <w:rPr>
          <w:rFonts w:hint="eastAsia" w:ascii="仿宋" w:hAnsi="仿宋" w:eastAsia="仿宋" w:cs="仿宋"/>
          <w:bCs/>
          <w:color w:val="auto"/>
          <w:sz w:val="30"/>
          <w:szCs w:val="30"/>
        </w:rPr>
      </w:pPr>
      <w:r>
        <w:rPr>
          <w:rFonts w:hint="eastAsia" w:ascii="仿宋" w:hAnsi="仿宋" w:eastAsia="仿宋" w:cs="仿宋"/>
          <w:bCs/>
          <w:color w:val="auto"/>
          <w:sz w:val="30"/>
          <w:szCs w:val="30"/>
          <w:lang w:eastAsia="zh-CN"/>
        </w:rPr>
        <w:t>（</w:t>
      </w:r>
      <w:r>
        <w:rPr>
          <w:rFonts w:hint="eastAsia" w:ascii="仿宋" w:hAnsi="仿宋" w:eastAsia="仿宋" w:cs="仿宋"/>
          <w:bCs/>
          <w:color w:val="auto"/>
          <w:sz w:val="30"/>
          <w:szCs w:val="30"/>
          <w:lang w:val="en-US" w:eastAsia="zh-CN"/>
        </w:rPr>
        <w:t>一</w:t>
      </w:r>
      <w:r>
        <w:rPr>
          <w:rFonts w:hint="eastAsia" w:ascii="仿宋" w:hAnsi="仿宋" w:eastAsia="仿宋" w:cs="仿宋"/>
          <w:bCs/>
          <w:color w:val="auto"/>
          <w:sz w:val="30"/>
          <w:szCs w:val="30"/>
          <w:lang w:eastAsia="zh-CN"/>
        </w:rPr>
        <w:t>）</w:t>
      </w:r>
      <w:r>
        <w:rPr>
          <w:rFonts w:hint="eastAsia" w:ascii="仿宋" w:hAnsi="仿宋" w:eastAsia="仿宋" w:cs="仿宋"/>
          <w:bCs/>
          <w:color w:val="auto"/>
          <w:sz w:val="30"/>
          <w:szCs w:val="30"/>
        </w:rPr>
        <w:t>各参赛队对不符合</w:t>
      </w:r>
      <w:r>
        <w:rPr>
          <w:rFonts w:hint="eastAsia" w:ascii="仿宋" w:hAnsi="仿宋" w:eastAsia="仿宋" w:cs="仿宋"/>
          <w:bCs/>
          <w:color w:val="auto"/>
          <w:sz w:val="30"/>
          <w:szCs w:val="30"/>
          <w:lang w:eastAsia="zh-CN"/>
        </w:rPr>
        <w:t>比</w:t>
      </w:r>
      <w:r>
        <w:rPr>
          <w:rFonts w:hint="eastAsia" w:ascii="仿宋" w:hAnsi="仿宋" w:eastAsia="仿宋" w:cs="仿宋"/>
          <w:bCs/>
          <w:color w:val="auto"/>
          <w:sz w:val="30"/>
          <w:szCs w:val="30"/>
        </w:rPr>
        <w:t>赛和赛项规程规定的仪器、设备、材料、竞赛执裁、赛场管理、竞赛成绩以及工作人员的不规范行为等，可向赛项仲裁组提出申诉。</w:t>
      </w:r>
    </w:p>
    <w:p>
      <w:pPr>
        <w:keepNext w:val="0"/>
        <w:keepLines w:val="0"/>
        <w:pageBreakBefore w:val="0"/>
        <w:widowControl w:val="0"/>
        <w:kinsoku/>
        <w:wordWrap/>
        <w:overflowPunct/>
        <w:topLinePunct w:val="0"/>
        <w:autoSpaceDE/>
        <w:autoSpaceDN/>
        <w:bidi w:val="0"/>
        <w:snapToGrid w:val="0"/>
        <w:spacing w:line="560" w:lineRule="exact"/>
        <w:ind w:firstLine="600" w:firstLineChars="200"/>
        <w:textAlignment w:val="auto"/>
        <w:rPr>
          <w:rFonts w:hint="eastAsia" w:ascii="仿宋" w:hAnsi="仿宋" w:eastAsia="仿宋" w:cs="仿宋"/>
          <w:bCs/>
          <w:color w:val="auto"/>
          <w:sz w:val="30"/>
          <w:szCs w:val="30"/>
        </w:rPr>
      </w:pPr>
      <w:r>
        <w:rPr>
          <w:rFonts w:hint="eastAsia" w:ascii="仿宋" w:hAnsi="仿宋" w:eastAsia="仿宋" w:cs="仿宋"/>
          <w:bCs/>
          <w:color w:val="auto"/>
          <w:sz w:val="30"/>
          <w:szCs w:val="30"/>
          <w:lang w:eastAsia="zh-CN"/>
        </w:rPr>
        <w:t>（</w:t>
      </w:r>
      <w:r>
        <w:rPr>
          <w:rFonts w:hint="eastAsia" w:ascii="仿宋" w:hAnsi="仿宋" w:eastAsia="仿宋" w:cs="仿宋"/>
          <w:bCs/>
          <w:color w:val="auto"/>
          <w:sz w:val="30"/>
          <w:szCs w:val="30"/>
          <w:lang w:val="en-US" w:eastAsia="zh-CN"/>
        </w:rPr>
        <w:t>二</w:t>
      </w:r>
      <w:r>
        <w:rPr>
          <w:rFonts w:hint="eastAsia" w:ascii="仿宋" w:hAnsi="仿宋" w:eastAsia="仿宋" w:cs="仿宋"/>
          <w:bCs/>
          <w:color w:val="auto"/>
          <w:sz w:val="30"/>
          <w:szCs w:val="30"/>
          <w:lang w:eastAsia="zh-CN"/>
        </w:rPr>
        <w:t>）</w:t>
      </w:r>
      <w:r>
        <w:rPr>
          <w:rFonts w:hint="eastAsia" w:ascii="仿宋" w:hAnsi="仿宋" w:eastAsia="仿宋" w:cs="仿宋"/>
          <w:bCs/>
          <w:color w:val="auto"/>
          <w:sz w:val="30"/>
          <w:szCs w:val="30"/>
        </w:rPr>
        <w:t>申诉主体为参赛队领队。</w:t>
      </w:r>
    </w:p>
    <w:p>
      <w:pPr>
        <w:keepNext w:val="0"/>
        <w:keepLines w:val="0"/>
        <w:pageBreakBefore w:val="0"/>
        <w:widowControl w:val="0"/>
        <w:kinsoku/>
        <w:wordWrap/>
        <w:overflowPunct/>
        <w:topLinePunct w:val="0"/>
        <w:autoSpaceDE/>
        <w:autoSpaceDN/>
        <w:bidi w:val="0"/>
        <w:snapToGrid w:val="0"/>
        <w:spacing w:line="560" w:lineRule="exact"/>
        <w:ind w:firstLine="600" w:firstLineChars="200"/>
        <w:textAlignment w:val="auto"/>
        <w:rPr>
          <w:rFonts w:hint="eastAsia" w:ascii="仿宋" w:hAnsi="仿宋" w:eastAsia="仿宋" w:cs="仿宋"/>
          <w:bCs/>
          <w:color w:val="auto"/>
          <w:sz w:val="30"/>
          <w:szCs w:val="30"/>
        </w:rPr>
      </w:pPr>
      <w:r>
        <w:rPr>
          <w:rFonts w:hint="eastAsia" w:ascii="仿宋" w:hAnsi="仿宋" w:eastAsia="仿宋" w:cs="仿宋"/>
          <w:bCs/>
          <w:color w:val="auto"/>
          <w:sz w:val="30"/>
          <w:szCs w:val="30"/>
          <w:lang w:eastAsia="zh-CN"/>
        </w:rPr>
        <w:t>（</w:t>
      </w:r>
      <w:r>
        <w:rPr>
          <w:rFonts w:hint="eastAsia" w:ascii="仿宋" w:hAnsi="仿宋" w:eastAsia="仿宋" w:cs="仿宋"/>
          <w:bCs/>
          <w:color w:val="auto"/>
          <w:sz w:val="30"/>
          <w:szCs w:val="30"/>
          <w:lang w:val="en-US" w:eastAsia="zh-CN"/>
        </w:rPr>
        <w:t>三</w:t>
      </w:r>
      <w:r>
        <w:rPr>
          <w:rFonts w:hint="eastAsia" w:ascii="仿宋" w:hAnsi="仿宋" w:eastAsia="仿宋" w:cs="仿宋"/>
          <w:bCs/>
          <w:color w:val="auto"/>
          <w:sz w:val="30"/>
          <w:szCs w:val="30"/>
          <w:lang w:eastAsia="zh-CN"/>
        </w:rPr>
        <w:t>）</w:t>
      </w:r>
      <w:r>
        <w:rPr>
          <w:rFonts w:hint="eastAsia" w:ascii="仿宋" w:hAnsi="仿宋" w:eastAsia="仿宋" w:cs="仿宋"/>
          <w:bCs/>
          <w:color w:val="auto"/>
          <w:sz w:val="30"/>
          <w:szCs w:val="30"/>
        </w:rPr>
        <w:t>申诉启动时，参赛队向赛项仲裁工作组递交领队亲笔签字同意的书面报告。书面报告应对申诉事件的现象、发生时间、</w:t>
      </w:r>
      <w:r>
        <w:rPr>
          <w:rFonts w:hint="eastAsia" w:ascii="仿宋" w:hAnsi="仿宋" w:eastAsia="仿宋"/>
          <w:color w:val="auto"/>
          <w:sz w:val="32"/>
          <w:szCs w:val="32"/>
        </w:rPr>
        <w:t>涉</w:t>
      </w:r>
      <w:r>
        <w:rPr>
          <w:rFonts w:hint="eastAsia" w:ascii="仿宋" w:hAnsi="仿宋" w:eastAsia="仿宋" w:cs="仿宋"/>
          <w:bCs/>
          <w:color w:val="auto"/>
          <w:sz w:val="30"/>
          <w:szCs w:val="30"/>
        </w:rPr>
        <w:t>及人员、申诉依据等进行充分、实事求是的叙述。非书面申诉不予受理。</w:t>
      </w:r>
    </w:p>
    <w:p>
      <w:pPr>
        <w:keepNext w:val="0"/>
        <w:keepLines w:val="0"/>
        <w:pageBreakBefore w:val="0"/>
        <w:widowControl w:val="0"/>
        <w:kinsoku/>
        <w:wordWrap/>
        <w:overflowPunct/>
        <w:topLinePunct w:val="0"/>
        <w:autoSpaceDE/>
        <w:autoSpaceDN/>
        <w:bidi w:val="0"/>
        <w:snapToGrid w:val="0"/>
        <w:spacing w:line="560" w:lineRule="exact"/>
        <w:ind w:firstLine="600" w:firstLineChars="200"/>
        <w:textAlignment w:val="auto"/>
        <w:rPr>
          <w:rFonts w:hint="eastAsia" w:ascii="仿宋" w:hAnsi="仿宋" w:eastAsia="仿宋" w:cs="仿宋"/>
          <w:bCs/>
          <w:color w:val="auto"/>
          <w:sz w:val="30"/>
          <w:szCs w:val="30"/>
        </w:rPr>
      </w:pPr>
      <w:r>
        <w:rPr>
          <w:rFonts w:hint="eastAsia" w:ascii="仿宋" w:hAnsi="仿宋" w:eastAsia="仿宋" w:cs="仿宋"/>
          <w:bCs/>
          <w:color w:val="auto"/>
          <w:sz w:val="30"/>
          <w:szCs w:val="30"/>
          <w:lang w:eastAsia="zh-CN"/>
        </w:rPr>
        <w:t>（</w:t>
      </w:r>
      <w:r>
        <w:rPr>
          <w:rFonts w:hint="eastAsia" w:ascii="仿宋" w:hAnsi="仿宋" w:eastAsia="仿宋" w:cs="仿宋"/>
          <w:bCs/>
          <w:color w:val="auto"/>
          <w:sz w:val="30"/>
          <w:szCs w:val="30"/>
          <w:lang w:val="en-US" w:eastAsia="zh-CN"/>
        </w:rPr>
        <w:t>四</w:t>
      </w:r>
      <w:r>
        <w:rPr>
          <w:rFonts w:hint="eastAsia" w:ascii="仿宋" w:hAnsi="仿宋" w:eastAsia="仿宋" w:cs="仿宋"/>
          <w:bCs/>
          <w:color w:val="auto"/>
          <w:sz w:val="30"/>
          <w:szCs w:val="30"/>
          <w:lang w:eastAsia="zh-CN"/>
        </w:rPr>
        <w:t>）</w:t>
      </w:r>
      <w:r>
        <w:rPr>
          <w:rFonts w:hint="eastAsia" w:ascii="仿宋" w:hAnsi="仿宋" w:eastAsia="仿宋" w:cs="仿宋"/>
          <w:bCs/>
          <w:color w:val="auto"/>
          <w:sz w:val="30"/>
          <w:szCs w:val="30"/>
        </w:rPr>
        <w:t>申诉应在比赛结束后2小时内向赛项仲裁工作组提出。超过时效不予受理。</w:t>
      </w:r>
    </w:p>
    <w:p>
      <w:pPr>
        <w:keepNext w:val="0"/>
        <w:keepLines w:val="0"/>
        <w:pageBreakBefore w:val="0"/>
        <w:widowControl w:val="0"/>
        <w:kinsoku/>
        <w:wordWrap/>
        <w:overflowPunct/>
        <w:topLinePunct w:val="0"/>
        <w:autoSpaceDE/>
        <w:autoSpaceDN/>
        <w:bidi w:val="0"/>
        <w:snapToGrid w:val="0"/>
        <w:spacing w:line="560" w:lineRule="exact"/>
        <w:ind w:firstLine="600" w:firstLineChars="200"/>
        <w:textAlignment w:val="auto"/>
        <w:rPr>
          <w:rFonts w:ascii="仿宋" w:hAnsi="仿宋" w:eastAsia="仿宋"/>
          <w:color w:val="auto"/>
          <w:sz w:val="32"/>
          <w:szCs w:val="32"/>
        </w:rPr>
      </w:pPr>
      <w:r>
        <w:rPr>
          <w:rFonts w:hint="eastAsia" w:ascii="仿宋" w:hAnsi="仿宋" w:eastAsia="仿宋" w:cs="仿宋"/>
          <w:bCs/>
          <w:color w:val="auto"/>
          <w:sz w:val="30"/>
          <w:szCs w:val="30"/>
          <w:lang w:eastAsia="zh-CN"/>
        </w:rPr>
        <w:t>（</w:t>
      </w:r>
      <w:r>
        <w:rPr>
          <w:rFonts w:hint="eastAsia" w:ascii="仿宋" w:hAnsi="仿宋" w:eastAsia="仿宋" w:cs="仿宋"/>
          <w:bCs/>
          <w:color w:val="auto"/>
          <w:sz w:val="30"/>
          <w:szCs w:val="30"/>
          <w:lang w:val="en-US" w:eastAsia="zh-CN"/>
        </w:rPr>
        <w:t>五</w:t>
      </w:r>
      <w:r>
        <w:rPr>
          <w:rFonts w:hint="eastAsia" w:ascii="仿宋" w:hAnsi="仿宋" w:eastAsia="仿宋" w:cs="仿宋"/>
          <w:bCs/>
          <w:color w:val="auto"/>
          <w:sz w:val="30"/>
          <w:szCs w:val="30"/>
          <w:lang w:eastAsia="zh-CN"/>
        </w:rPr>
        <w:t>）</w:t>
      </w:r>
      <w:r>
        <w:rPr>
          <w:rFonts w:hint="eastAsia" w:ascii="仿宋" w:hAnsi="仿宋" w:eastAsia="仿宋" w:cs="仿宋"/>
          <w:bCs/>
          <w:color w:val="auto"/>
          <w:sz w:val="30"/>
          <w:szCs w:val="30"/>
        </w:rPr>
        <w:t>赛项仲裁工作组在接到申诉报告后的2小时内组织复议，并及时将复议结果以书面形式告知申诉方。申诉方对复议结果仍有异议，可由领队向仲裁委员会提出申诉。</w:t>
      </w:r>
    </w:p>
    <w:p>
      <w:pPr>
        <w:keepNext w:val="0"/>
        <w:keepLines w:val="0"/>
        <w:pageBreakBefore w:val="0"/>
        <w:widowControl w:val="0"/>
        <w:kinsoku/>
        <w:wordWrap/>
        <w:overflowPunct/>
        <w:topLinePunct w:val="0"/>
        <w:autoSpaceDE/>
        <w:autoSpaceDN/>
        <w:bidi w:val="0"/>
        <w:snapToGrid w:val="0"/>
        <w:spacing w:line="560" w:lineRule="exact"/>
        <w:ind w:firstLine="600" w:firstLineChars="200"/>
        <w:textAlignment w:val="auto"/>
        <w:rPr>
          <w:rFonts w:hint="eastAsia" w:ascii="仿宋" w:hAnsi="仿宋" w:eastAsia="仿宋" w:cs="仿宋"/>
          <w:bCs/>
          <w:color w:val="auto"/>
          <w:sz w:val="30"/>
          <w:szCs w:val="30"/>
        </w:rPr>
      </w:pPr>
      <w:r>
        <w:rPr>
          <w:rFonts w:hint="eastAsia" w:ascii="仿宋" w:hAnsi="仿宋" w:eastAsia="仿宋" w:cs="仿宋"/>
          <w:bCs/>
          <w:color w:val="auto"/>
          <w:sz w:val="30"/>
          <w:szCs w:val="30"/>
          <w:lang w:eastAsia="zh-CN"/>
        </w:rPr>
        <w:t>（</w:t>
      </w:r>
      <w:r>
        <w:rPr>
          <w:rFonts w:hint="eastAsia" w:ascii="仿宋" w:hAnsi="仿宋" w:eastAsia="仿宋" w:cs="仿宋"/>
          <w:bCs/>
          <w:color w:val="auto"/>
          <w:sz w:val="30"/>
          <w:szCs w:val="30"/>
          <w:lang w:val="en-US" w:eastAsia="zh-CN"/>
        </w:rPr>
        <w:t>六</w:t>
      </w:r>
      <w:r>
        <w:rPr>
          <w:rFonts w:hint="eastAsia" w:ascii="仿宋" w:hAnsi="仿宋" w:eastAsia="仿宋" w:cs="仿宋"/>
          <w:bCs/>
          <w:color w:val="auto"/>
          <w:sz w:val="30"/>
          <w:szCs w:val="30"/>
          <w:lang w:eastAsia="zh-CN"/>
        </w:rPr>
        <w:t>）</w:t>
      </w:r>
      <w:r>
        <w:rPr>
          <w:rFonts w:hint="eastAsia" w:ascii="仿宋" w:hAnsi="仿宋" w:eastAsia="仿宋" w:cs="仿宋"/>
          <w:bCs/>
          <w:color w:val="auto"/>
          <w:sz w:val="30"/>
          <w:szCs w:val="30"/>
        </w:rPr>
        <w:t>申诉方不得以任何理由拒绝接收仲裁结果，不得以任何理由采取过激行为扰乱赛场秩序。仲裁结果由申诉人签收，不能代收，如在约定时间和地点申诉人离开，视为自行放弃申诉。</w:t>
      </w:r>
    </w:p>
    <w:p>
      <w:pPr>
        <w:keepNext w:val="0"/>
        <w:keepLines w:val="0"/>
        <w:pageBreakBefore w:val="0"/>
        <w:widowControl w:val="0"/>
        <w:kinsoku/>
        <w:wordWrap/>
        <w:overflowPunct/>
        <w:topLinePunct w:val="0"/>
        <w:autoSpaceDE/>
        <w:autoSpaceDN/>
        <w:bidi w:val="0"/>
        <w:snapToGrid w:val="0"/>
        <w:spacing w:line="560" w:lineRule="exact"/>
        <w:ind w:firstLine="600" w:firstLineChars="200"/>
        <w:textAlignment w:val="auto"/>
        <w:rPr>
          <w:rFonts w:hint="eastAsia" w:ascii="仿宋" w:hAnsi="仿宋" w:eastAsia="仿宋" w:cs="仿宋"/>
          <w:bCs/>
          <w:color w:val="auto"/>
          <w:sz w:val="30"/>
          <w:szCs w:val="30"/>
        </w:rPr>
      </w:pPr>
      <w:r>
        <w:rPr>
          <w:rFonts w:hint="eastAsia" w:ascii="仿宋" w:hAnsi="仿宋" w:eastAsia="仿宋" w:cs="仿宋"/>
          <w:bCs/>
          <w:color w:val="auto"/>
          <w:sz w:val="30"/>
          <w:szCs w:val="30"/>
          <w:lang w:eastAsia="zh-CN"/>
        </w:rPr>
        <w:t>（</w:t>
      </w:r>
      <w:r>
        <w:rPr>
          <w:rFonts w:hint="eastAsia" w:ascii="仿宋" w:hAnsi="仿宋" w:eastAsia="仿宋" w:cs="仿宋"/>
          <w:bCs/>
          <w:color w:val="auto"/>
          <w:sz w:val="30"/>
          <w:szCs w:val="30"/>
          <w:lang w:val="en-US" w:eastAsia="zh-CN"/>
        </w:rPr>
        <w:t>七</w:t>
      </w:r>
      <w:r>
        <w:rPr>
          <w:rFonts w:hint="eastAsia" w:ascii="仿宋" w:hAnsi="仿宋" w:eastAsia="仿宋" w:cs="仿宋"/>
          <w:bCs/>
          <w:color w:val="auto"/>
          <w:sz w:val="30"/>
          <w:szCs w:val="30"/>
          <w:lang w:eastAsia="zh-CN"/>
        </w:rPr>
        <w:t>）</w:t>
      </w:r>
      <w:r>
        <w:rPr>
          <w:rFonts w:hint="eastAsia" w:ascii="仿宋" w:hAnsi="仿宋" w:eastAsia="仿宋" w:cs="仿宋"/>
          <w:bCs/>
          <w:color w:val="auto"/>
          <w:sz w:val="30"/>
          <w:szCs w:val="30"/>
        </w:rPr>
        <w:t>申诉方可随时提出放弃申诉。</w:t>
      </w:r>
    </w:p>
    <w:p>
      <w:pPr>
        <w:keepNext w:val="0"/>
        <w:keepLines w:val="0"/>
        <w:pageBreakBefore w:val="0"/>
        <w:widowControl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rPr>
      </w:pPr>
      <w:r>
        <w:rPr>
          <w:rFonts w:hint="eastAsia" w:ascii="黑体" w:hAnsi="黑体" w:eastAsia="黑体" w:cs="黑体"/>
          <w:b w:val="0"/>
          <w:bCs w:val="0"/>
          <w:color w:val="auto"/>
          <w:sz w:val="30"/>
          <w:szCs w:val="30"/>
        </w:rPr>
        <w:t>十</w:t>
      </w:r>
      <w:r>
        <w:rPr>
          <w:rFonts w:hint="eastAsia" w:ascii="黑体" w:hAnsi="黑体" w:eastAsia="黑体" w:cs="黑体"/>
          <w:b w:val="0"/>
          <w:bCs w:val="0"/>
          <w:color w:val="auto"/>
          <w:sz w:val="30"/>
          <w:szCs w:val="30"/>
          <w:lang w:val="en-US" w:eastAsia="zh-CN"/>
        </w:rPr>
        <w:t>五</w:t>
      </w:r>
      <w:r>
        <w:rPr>
          <w:rFonts w:hint="eastAsia" w:ascii="黑体" w:hAnsi="黑体" w:eastAsia="黑体" w:cs="黑体"/>
          <w:b w:val="0"/>
          <w:bCs w:val="0"/>
          <w:color w:val="auto"/>
          <w:sz w:val="30"/>
          <w:szCs w:val="30"/>
        </w:rPr>
        <w:t>、竞赛观摩</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竞赛场地内设观摩区和参观路线，向参赛单位代表、院校师生以及社会公众开放，观摩区自开赛式开始直至闭赛式结束。观摩期间，任何人不得有大声喧哗等影响参赛选手竞赛的不良行为发生。指导教师等观摩人员凭证件可进入赛场观摩区观摩，但不能进入赛场内指导。</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观摩人员在观摩期间应遵循：凭证进入观摩区。不得与参赛选手在准备或比赛中交谈或欢呼；不得和参赛选手打手势，包括哑语、沟通等明示、暗示行为，禁止鼓掌喝彩等发出声音的行为。观摩人员不得在观摩区内使用相机、摄影机等带有闪光灯、快门音的设备。须在规划的观摩席或者安全线以外观看比赛，并遵循赛场内工作人员和竞赛裁判人员的指挥。须保持观摩区及赛场清洁、干净，严禁在观摩区吸烟。</w:t>
      </w:r>
    </w:p>
    <w:p>
      <w:pPr>
        <w:keepNext w:val="0"/>
        <w:keepLines w:val="0"/>
        <w:pageBreakBefore w:val="0"/>
        <w:widowControl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rPr>
      </w:pPr>
      <w:bookmarkStart w:id="35" w:name="_Toc383039619"/>
      <w:r>
        <w:rPr>
          <w:rFonts w:hint="eastAsia" w:ascii="黑体" w:hAnsi="黑体" w:eastAsia="黑体" w:cs="黑体"/>
          <w:b w:val="0"/>
          <w:bCs w:val="0"/>
          <w:color w:val="auto"/>
          <w:sz w:val="30"/>
          <w:szCs w:val="30"/>
        </w:rPr>
        <w:t>十</w:t>
      </w:r>
      <w:r>
        <w:rPr>
          <w:rFonts w:hint="eastAsia" w:ascii="黑体" w:hAnsi="黑体" w:eastAsia="黑体" w:cs="黑体"/>
          <w:b w:val="0"/>
          <w:bCs w:val="0"/>
          <w:color w:val="auto"/>
          <w:sz w:val="30"/>
          <w:szCs w:val="30"/>
          <w:lang w:val="en-US" w:eastAsia="zh-CN"/>
        </w:rPr>
        <w:t>六</w:t>
      </w:r>
      <w:r>
        <w:rPr>
          <w:rFonts w:hint="eastAsia" w:ascii="黑体" w:hAnsi="黑体" w:eastAsia="黑体" w:cs="黑体"/>
          <w:b w:val="0"/>
          <w:bCs w:val="0"/>
          <w:color w:val="auto"/>
          <w:sz w:val="30"/>
          <w:szCs w:val="30"/>
        </w:rPr>
        <w:t>、竞赛视频</w:t>
      </w:r>
      <w:bookmarkEnd w:id="35"/>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zh-CN" w:eastAsia="zh-CN"/>
        </w:rPr>
      </w:pPr>
      <w:bookmarkStart w:id="36" w:name="_Toc383039620"/>
      <w:r>
        <w:rPr>
          <w:rFonts w:hint="eastAsia" w:ascii="仿宋" w:hAnsi="仿宋" w:eastAsia="仿宋" w:cs="宋体"/>
          <w:color w:val="auto"/>
          <w:kern w:val="0"/>
          <w:sz w:val="30"/>
          <w:szCs w:val="30"/>
          <w:lang w:val="zh-CN" w:eastAsia="zh-CN"/>
        </w:rPr>
        <w:t>（</w:t>
      </w:r>
      <w:r>
        <w:rPr>
          <w:rFonts w:hint="eastAsia" w:ascii="仿宋" w:hAnsi="仿宋" w:eastAsia="仿宋" w:cs="宋体"/>
          <w:color w:val="auto"/>
          <w:kern w:val="0"/>
          <w:sz w:val="30"/>
          <w:szCs w:val="30"/>
          <w:lang w:val="en-US" w:eastAsia="zh-CN"/>
        </w:rPr>
        <w:t>一</w:t>
      </w:r>
      <w:r>
        <w:rPr>
          <w:rFonts w:hint="eastAsia" w:ascii="仿宋" w:hAnsi="仿宋" w:eastAsia="仿宋" w:cs="宋体"/>
          <w:color w:val="auto"/>
          <w:kern w:val="0"/>
          <w:sz w:val="30"/>
          <w:szCs w:val="30"/>
          <w:lang w:val="zh-CN" w:eastAsia="zh-CN"/>
        </w:rPr>
        <w:t>）在赛项组委会的领导下，成立专业工作小组。</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zh-CN" w:eastAsia="zh-CN"/>
        </w:rPr>
      </w:pPr>
      <w:r>
        <w:rPr>
          <w:rFonts w:hint="eastAsia" w:ascii="仿宋" w:hAnsi="仿宋" w:eastAsia="仿宋" w:cs="宋体"/>
          <w:color w:val="auto"/>
          <w:kern w:val="0"/>
          <w:sz w:val="30"/>
          <w:szCs w:val="30"/>
          <w:lang w:val="zh-CN" w:eastAsia="zh-CN"/>
        </w:rPr>
        <w:t>（</w:t>
      </w:r>
      <w:r>
        <w:rPr>
          <w:rFonts w:hint="eastAsia" w:ascii="仿宋" w:hAnsi="仿宋" w:eastAsia="仿宋" w:cs="宋体"/>
          <w:color w:val="auto"/>
          <w:kern w:val="0"/>
          <w:sz w:val="30"/>
          <w:szCs w:val="30"/>
          <w:lang w:val="en-US" w:eastAsia="zh-CN"/>
        </w:rPr>
        <w:t>二</w:t>
      </w:r>
      <w:r>
        <w:rPr>
          <w:rFonts w:hint="eastAsia" w:ascii="仿宋" w:hAnsi="仿宋" w:eastAsia="仿宋" w:cs="宋体"/>
          <w:color w:val="auto"/>
          <w:kern w:val="0"/>
          <w:sz w:val="30"/>
          <w:szCs w:val="30"/>
          <w:lang w:val="zh-CN" w:eastAsia="zh-CN"/>
        </w:rPr>
        <w:t>）利用多媒体技术及设备录制视频资料，记录竞赛全过程，为宣传、仲裁、资源转化提供全面的信息资料，赛后制作课程流媒体资源。</w:t>
      </w:r>
    </w:p>
    <w:p>
      <w:pPr>
        <w:keepNext w:val="0"/>
        <w:keepLines w:val="0"/>
        <w:pageBreakBefore w:val="0"/>
        <w:widowControl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rPr>
      </w:pPr>
      <w:r>
        <w:rPr>
          <w:rFonts w:hint="eastAsia" w:ascii="黑体" w:hAnsi="黑体" w:eastAsia="黑体" w:cs="黑体"/>
          <w:b w:val="0"/>
          <w:bCs w:val="0"/>
          <w:color w:val="auto"/>
          <w:sz w:val="30"/>
          <w:szCs w:val="30"/>
        </w:rPr>
        <w:t>十</w:t>
      </w:r>
      <w:r>
        <w:rPr>
          <w:rFonts w:hint="eastAsia" w:ascii="黑体" w:hAnsi="黑体" w:eastAsia="黑体" w:cs="黑体"/>
          <w:b w:val="0"/>
          <w:bCs w:val="0"/>
          <w:color w:val="auto"/>
          <w:sz w:val="30"/>
          <w:szCs w:val="30"/>
          <w:lang w:val="en-US" w:eastAsia="zh-CN"/>
        </w:rPr>
        <w:t>七</w:t>
      </w:r>
      <w:r>
        <w:rPr>
          <w:rFonts w:hint="eastAsia" w:ascii="黑体" w:hAnsi="黑体" w:eastAsia="黑体" w:cs="黑体"/>
          <w:b w:val="0"/>
          <w:bCs w:val="0"/>
          <w:color w:val="auto"/>
          <w:sz w:val="30"/>
          <w:szCs w:val="30"/>
        </w:rPr>
        <w:t>、竞赛须知</w:t>
      </w:r>
      <w:bookmarkEnd w:id="36"/>
    </w:p>
    <w:p>
      <w:pPr>
        <w:keepNext w:val="0"/>
        <w:keepLines w:val="0"/>
        <w:pageBreakBefore w:val="0"/>
        <w:widowControl w:val="0"/>
        <w:kinsoku/>
        <w:wordWrap/>
        <w:overflowPunct/>
        <w:topLinePunct w:val="0"/>
        <w:autoSpaceDE/>
        <w:autoSpaceDN/>
        <w:bidi w:val="0"/>
        <w:snapToGrid/>
        <w:spacing w:line="560" w:lineRule="exact"/>
        <w:ind w:firstLine="600" w:firstLineChars="200"/>
        <w:jc w:val="left"/>
        <w:textAlignment w:val="auto"/>
        <w:rPr>
          <w:rFonts w:hint="eastAsia" w:ascii="楷体_GB2312" w:hAnsi="楷体_GB2312" w:eastAsia="楷体_GB2312" w:cs="楷体_GB2312"/>
          <w:color w:val="auto"/>
          <w:kern w:val="0"/>
          <w:sz w:val="30"/>
          <w:szCs w:val="30"/>
          <w:lang w:val="en-US" w:eastAsia="zh-CN"/>
        </w:rPr>
      </w:pPr>
      <w:r>
        <w:rPr>
          <w:rFonts w:hint="eastAsia" w:ascii="楷体_GB2312" w:hAnsi="楷体_GB2312" w:eastAsia="楷体_GB2312" w:cs="楷体_GB2312"/>
          <w:color w:val="auto"/>
          <w:kern w:val="0"/>
          <w:sz w:val="30"/>
          <w:szCs w:val="30"/>
          <w:lang w:val="en-US" w:eastAsia="zh-CN"/>
        </w:rPr>
        <w:t>（一）参赛队须知</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1.参赛队使用规范的学校名称为代表队，不得使用其他组织、团体的名称。</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2.每支代表队设领队1人，参赛的队员为3-6人，指导教师最多2人，工作人员1人。</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3.每支代表队参赛的队员必须是本校在校全日制学生。</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4.每支代表队指导教师经报名并通过资格审查后不得进行更换。</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5.每支代表队往返的交通费、食宿费及保险费等由各代表队自理。</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6.各参赛队须按规定时间到规定地点报到，按要求履行报到手续，领取赛项材料，了解比赛安排等情况，有问题须由领队及时与赛项竞赛组委会联系。</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7.比赛过程中或比赛后发现问题，只能由领队在当天向赛项竞赛组委会提出陈述。</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8.参赛队成员按照竞赛赛程安排，凭竞赛组委会颁发的工作牌或有效证件参加相关赛事活动。</w:t>
      </w:r>
    </w:p>
    <w:p>
      <w:pPr>
        <w:keepNext w:val="0"/>
        <w:keepLines w:val="0"/>
        <w:pageBreakBefore w:val="0"/>
        <w:widowControl w:val="0"/>
        <w:kinsoku/>
        <w:wordWrap/>
        <w:overflowPunct/>
        <w:topLinePunct w:val="0"/>
        <w:autoSpaceDE/>
        <w:autoSpaceDN/>
        <w:bidi w:val="0"/>
        <w:snapToGrid/>
        <w:spacing w:line="560" w:lineRule="exact"/>
        <w:ind w:firstLine="600" w:firstLineChars="200"/>
        <w:jc w:val="left"/>
        <w:textAlignment w:val="auto"/>
        <w:rPr>
          <w:rFonts w:hint="eastAsia" w:ascii="楷体_GB2312" w:hAnsi="楷体_GB2312" w:eastAsia="楷体_GB2312" w:cs="楷体_GB2312"/>
          <w:color w:val="auto"/>
          <w:kern w:val="0"/>
          <w:sz w:val="30"/>
          <w:szCs w:val="30"/>
          <w:lang w:val="en-US" w:eastAsia="zh-CN"/>
        </w:rPr>
      </w:pPr>
      <w:r>
        <w:rPr>
          <w:rFonts w:hint="eastAsia" w:ascii="楷体_GB2312" w:hAnsi="楷体_GB2312" w:eastAsia="楷体_GB2312" w:cs="楷体_GB2312"/>
          <w:color w:val="auto"/>
          <w:kern w:val="0"/>
          <w:sz w:val="30"/>
          <w:szCs w:val="30"/>
          <w:lang w:val="en-US" w:eastAsia="zh-CN"/>
        </w:rPr>
        <w:t>（二）指导教师须知</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1.领队及指导教师需按照组委会要求准时参加相关会议，并认真传达会议精神。做好赛前抽签工作，协助赛项承办方组织好本代表参赛选手的各项参赛事宜。</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2.做好本代表队参赛选手的业务辅导、心理疏导和思想引导工作，对参赛过程与结果报以平和、包容的心态，共同维护竞赛秩序。</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3.自觉遵守竞赛规则，尊重和支持裁判工作，在竞赛指定地点观摩赛场实况转播，不随意进入禁止入内的区域，确保比赛的顺利进行。竞赛期间严格遵守纪律，不得有违纪违法行为。</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4.当本队参赛选手在比赛进程中出现疑问或出现突发事项，应及时了解情况，客观公正做出判断，做好选手的安抚工作，必要时可在规定时间内由领队向赛项仲裁委反映情况或提出书面仲裁申请。</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5.所有人员应团结、友爱、互助、协作，树立良好赛风，确保竞赛顺利进行。</w:t>
      </w:r>
    </w:p>
    <w:p>
      <w:pPr>
        <w:keepNext w:val="0"/>
        <w:keepLines w:val="0"/>
        <w:pageBreakBefore w:val="0"/>
        <w:widowControl w:val="0"/>
        <w:kinsoku/>
        <w:wordWrap/>
        <w:overflowPunct/>
        <w:topLinePunct w:val="0"/>
        <w:autoSpaceDE/>
        <w:autoSpaceDN/>
        <w:bidi w:val="0"/>
        <w:snapToGrid/>
        <w:spacing w:line="560" w:lineRule="exact"/>
        <w:ind w:firstLine="600" w:firstLineChars="200"/>
        <w:jc w:val="left"/>
        <w:textAlignment w:val="auto"/>
        <w:rPr>
          <w:rFonts w:hint="eastAsia" w:ascii="楷体_GB2312" w:hAnsi="楷体_GB2312" w:eastAsia="楷体_GB2312" w:cs="楷体_GB2312"/>
          <w:color w:val="auto"/>
          <w:kern w:val="0"/>
          <w:sz w:val="30"/>
          <w:szCs w:val="30"/>
          <w:lang w:val="en-US" w:eastAsia="zh-CN"/>
        </w:rPr>
      </w:pPr>
      <w:r>
        <w:rPr>
          <w:rFonts w:hint="eastAsia" w:ascii="楷体_GB2312" w:hAnsi="楷体_GB2312" w:eastAsia="楷体_GB2312" w:cs="楷体_GB2312"/>
          <w:color w:val="auto"/>
          <w:kern w:val="0"/>
          <w:sz w:val="30"/>
          <w:szCs w:val="30"/>
          <w:lang w:val="en-US" w:eastAsia="zh-CN"/>
        </w:rPr>
        <w:t>（三）参赛选手须知</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1.参赛选手应按有关要求如实填报个人信息，不符合参赛资格的学生不得参赛，一经发现即取消参赛资格，且竞赛执委会有权责令其退回已经获得的有关荣誉和奖励，并予以通报。</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2.参赛选手凭统一印制的参赛证和有效身份证件参加比赛。</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3.参赛选手应认真学习领会本次竞赛相关文件，自觉遵守竞赛纪律，服从指挥，听从安排，文明参赛。</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4.参赛选手应按照规定时间抵达赛场，凭参赛证、学生证、身份证件检录，按要求入场，不得迟到早退。</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5.参赛选手须在确认竞赛内容和现场设备等无误后开始比赛。在比赛过程中，如有疑问，参赛选手可举手示意，项目裁判长应按照有关要求及时予以答疑。如遇设备或软件等故障，参赛选手应举手示意，项目裁判长、技术人员等应及时予以解决。</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6.各参赛选手必须按规范要求进行参赛。一旦出现较严重的安全事故，经裁判长批准后将立即取消其参赛资格。</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7.在比赛期间，未经组委会的批准，参赛选手不得接受其他单位和个人进行的与竞赛内容相关的采访。参赛选手不得将竞赛的相关信息私自公布。</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ascii="仿宋" w:hAnsi="仿宋" w:eastAsia="仿宋"/>
          <w:color w:val="auto"/>
          <w:sz w:val="30"/>
          <w:szCs w:val="30"/>
        </w:rPr>
      </w:pPr>
      <w:r>
        <w:rPr>
          <w:rFonts w:hint="eastAsia" w:ascii="仿宋" w:hAnsi="仿宋" w:eastAsia="仿宋" w:cs="宋体"/>
          <w:color w:val="auto"/>
          <w:kern w:val="0"/>
          <w:sz w:val="30"/>
          <w:szCs w:val="30"/>
          <w:lang w:val="en-US" w:eastAsia="zh-CN"/>
        </w:rPr>
        <w:t>8.如遇身体不适，参赛选手可求助现场医务人员予以救治。</w:t>
      </w:r>
    </w:p>
    <w:p>
      <w:pPr>
        <w:keepNext w:val="0"/>
        <w:keepLines w:val="0"/>
        <w:pageBreakBefore w:val="0"/>
        <w:widowControl w:val="0"/>
        <w:kinsoku/>
        <w:wordWrap/>
        <w:overflowPunct/>
        <w:topLinePunct w:val="0"/>
        <w:autoSpaceDE/>
        <w:autoSpaceDN/>
        <w:bidi w:val="0"/>
        <w:snapToGrid/>
        <w:spacing w:line="560" w:lineRule="exact"/>
        <w:ind w:firstLine="600" w:firstLineChars="200"/>
        <w:jc w:val="left"/>
        <w:textAlignment w:val="auto"/>
        <w:rPr>
          <w:rFonts w:hint="eastAsia" w:ascii="楷体_GB2312" w:hAnsi="楷体_GB2312" w:eastAsia="楷体_GB2312" w:cs="楷体_GB2312"/>
          <w:color w:val="auto"/>
          <w:kern w:val="0"/>
          <w:sz w:val="30"/>
          <w:szCs w:val="30"/>
          <w:lang w:val="en-US" w:eastAsia="zh-CN"/>
        </w:rPr>
      </w:pPr>
      <w:r>
        <w:rPr>
          <w:rFonts w:hint="eastAsia" w:ascii="楷体_GB2312" w:hAnsi="楷体_GB2312" w:eastAsia="楷体_GB2312" w:cs="楷体_GB2312"/>
          <w:color w:val="auto"/>
          <w:kern w:val="0"/>
          <w:sz w:val="30"/>
          <w:szCs w:val="30"/>
          <w:lang w:val="en-US" w:eastAsia="zh-CN"/>
        </w:rPr>
        <w:t>（四）工作人员须知</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1.工作人员必须统一佩戴由竞赛执行委会签发的相应证件，着装整齐。</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2.工作人员不得影响参赛选手比赛，不允许有影响比赛公平的行为。</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3.服从领导，听从指挥，以高度负责的精神、严肃认真的态度做好各项工作。</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4.熟悉比赛规程，认真遵守各项比赛规则和工作要求。</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5.坚守岗位，如有急事需要离开岗位时，应经领导同意，并做好工作衔接。</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6.严格遵守比赛纪律，如发现其他人员有违反比赛纪律的行为，应予以制止。情节严重的，应向竞赛组委会反映。</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7.发扬无私奉献和团结协作的精神，提供热情、优质服务。</w:t>
      </w:r>
    </w:p>
    <w:p>
      <w:pPr>
        <w:pStyle w:val="3"/>
        <w:ind w:firstLine="600" w:firstLineChars="200"/>
        <w:rPr>
          <w:rFonts w:hint="eastAsia" w:ascii="楷体_GB2312" w:hAnsi="楷体_GB2312" w:eastAsia="楷体_GB2312" w:cs="楷体_GB2312"/>
          <w:color w:val="auto"/>
          <w:kern w:val="0"/>
          <w:sz w:val="30"/>
          <w:szCs w:val="30"/>
          <w:lang w:val="en-US" w:eastAsia="zh-CN" w:bidi="ar-SA"/>
        </w:rPr>
      </w:pPr>
      <w:r>
        <w:rPr>
          <w:rFonts w:hint="eastAsia" w:ascii="楷体_GB2312" w:hAnsi="楷体_GB2312" w:eastAsia="楷体_GB2312" w:cs="楷体_GB2312"/>
          <w:color w:val="auto"/>
          <w:kern w:val="0"/>
          <w:sz w:val="30"/>
          <w:szCs w:val="30"/>
          <w:lang w:val="en-US" w:eastAsia="zh-CN" w:bidi="ar-SA"/>
        </w:rPr>
        <w:t>（五）设备清单</w:t>
      </w:r>
    </w:p>
    <w:p>
      <w:pPr>
        <w:pStyle w:val="3"/>
        <w:ind w:firstLine="600" w:firstLineChars="200"/>
        <w:jc w:val="center"/>
        <w:rPr>
          <w:rFonts w:hint="eastAsia" w:ascii="仿宋" w:hAnsi="仿宋" w:eastAsia="仿宋" w:cs="宋体"/>
          <w:color w:val="auto"/>
          <w:kern w:val="0"/>
          <w:sz w:val="30"/>
          <w:szCs w:val="30"/>
          <w:lang w:val="en-US" w:eastAsia="zh-CN" w:bidi="ar-SA"/>
        </w:rPr>
      </w:pPr>
      <w:r>
        <w:rPr>
          <w:rFonts w:hint="default" w:ascii="仿宋" w:hAnsi="仿宋" w:eastAsia="仿宋" w:cs="宋体"/>
          <w:color w:val="auto"/>
          <w:kern w:val="0"/>
          <w:sz w:val="30"/>
          <w:szCs w:val="30"/>
          <w:lang w:val="en-US" w:eastAsia="zh-CN" w:bidi="ar-SA"/>
        </w:rPr>
        <w:t>承办学校提供的设备和场地信息清单</w:t>
      </w:r>
    </w:p>
    <w:tbl>
      <w:tblPr>
        <w:tblStyle w:val="11"/>
        <w:tblW w:w="924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080"/>
        <w:gridCol w:w="2400"/>
        <w:gridCol w:w="746"/>
        <w:gridCol w:w="1803"/>
        <w:gridCol w:w="998"/>
        <w:gridCol w:w="121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20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仿宋_GB2312" w:hAnsi="仿宋_GB2312" w:eastAsia="仿宋_GB2312" w:cs="仿宋_GB2312"/>
                <w:i w:val="0"/>
                <w:iCs w:val="0"/>
                <w:color w:val="auto"/>
                <w:sz w:val="24"/>
                <w:szCs w:val="24"/>
                <w:u w:val="none"/>
              </w:rPr>
            </w:pPr>
            <w:r>
              <w:rPr>
                <w:rFonts w:ascii="仿宋_GB2312" w:hAnsi="仿宋_GB2312" w:eastAsia="仿宋_GB2312" w:cs="仿宋_GB2312"/>
                <w:i w:val="0"/>
                <w:iCs w:val="0"/>
                <w:color w:val="auto"/>
                <w:kern w:val="0"/>
                <w:sz w:val="24"/>
                <w:szCs w:val="24"/>
                <w:u w:val="none"/>
                <w:lang w:val="en-US" w:eastAsia="zh-CN" w:bidi="ar"/>
              </w:rPr>
              <w:t>承办学校</w:t>
            </w:r>
          </w:p>
        </w:tc>
        <w:tc>
          <w:tcPr>
            <w:tcW w:w="7160"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三门峡职业技术学院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20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仿宋_GB2312" w:hAnsi="仿宋_GB2312" w:eastAsia="仿宋_GB2312" w:cs="仿宋_GB2312"/>
                <w:i w:val="0"/>
                <w:iCs w:val="0"/>
                <w:color w:val="auto"/>
                <w:sz w:val="24"/>
                <w:szCs w:val="24"/>
                <w:u w:val="none"/>
              </w:rPr>
            </w:pPr>
            <w:r>
              <w:rPr>
                <w:rFonts w:ascii="仿宋_GB2312" w:hAnsi="仿宋_GB2312" w:eastAsia="仿宋_GB2312" w:cs="仿宋_GB2312"/>
                <w:i w:val="0"/>
                <w:iCs w:val="0"/>
                <w:color w:val="auto"/>
                <w:kern w:val="0"/>
                <w:sz w:val="24"/>
                <w:szCs w:val="24"/>
                <w:u w:val="none"/>
                <w:lang w:val="en-US" w:eastAsia="zh-CN" w:bidi="ar"/>
              </w:rPr>
              <w:t>组别</w:t>
            </w:r>
          </w:p>
        </w:tc>
        <w:tc>
          <w:tcPr>
            <w:tcW w:w="240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高职</w:t>
            </w:r>
          </w:p>
        </w:tc>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赛道</w:t>
            </w:r>
          </w:p>
        </w:tc>
        <w:tc>
          <w:tcPr>
            <w:tcW w:w="180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公共基础赛项</w:t>
            </w:r>
          </w:p>
        </w:tc>
        <w:tc>
          <w:tcPr>
            <w:tcW w:w="99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小组</w:t>
            </w:r>
          </w:p>
        </w:tc>
        <w:tc>
          <w:tcPr>
            <w:tcW w:w="121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校园创编舞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2080"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center"/>
              <w:rPr>
                <w:rFonts w:hint="eastAsia" w:ascii="仿宋_GB2312" w:hAnsi="仿宋_GB2312" w:eastAsia="仿宋_GB2312" w:cs="仿宋_GB2312"/>
                <w:i w:val="0"/>
                <w:iCs w:val="0"/>
                <w:color w:val="auto"/>
                <w:sz w:val="24"/>
                <w:szCs w:val="24"/>
                <w:u w:val="none"/>
              </w:rPr>
            </w:pPr>
          </w:p>
        </w:tc>
        <w:tc>
          <w:tcPr>
            <w:tcW w:w="240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名称</w:t>
            </w:r>
          </w:p>
        </w:tc>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型号</w:t>
            </w:r>
          </w:p>
        </w:tc>
        <w:tc>
          <w:tcPr>
            <w:tcW w:w="180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主要技术参数</w:t>
            </w:r>
          </w:p>
        </w:tc>
        <w:tc>
          <w:tcPr>
            <w:tcW w:w="99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台套数</w:t>
            </w:r>
          </w:p>
        </w:tc>
        <w:tc>
          <w:tcPr>
            <w:tcW w:w="121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2080"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仿宋_GB2312" w:hAnsi="仿宋_GB2312" w:eastAsia="仿宋_GB2312" w:cs="仿宋_GB2312"/>
                <w:i w:val="0"/>
                <w:iCs w:val="0"/>
                <w:color w:val="auto"/>
                <w:sz w:val="24"/>
                <w:szCs w:val="24"/>
                <w:u w:val="none"/>
              </w:rPr>
            </w:pPr>
            <w:r>
              <w:rPr>
                <w:rFonts w:ascii="仿宋_GB2312" w:hAnsi="仿宋_GB2312" w:eastAsia="仿宋_GB2312" w:cs="仿宋_GB2312"/>
                <w:i w:val="0"/>
                <w:iCs w:val="0"/>
                <w:color w:val="auto"/>
                <w:kern w:val="0"/>
                <w:sz w:val="24"/>
                <w:szCs w:val="24"/>
                <w:u w:val="none"/>
                <w:lang w:val="en-US" w:eastAsia="zh-CN" w:bidi="ar"/>
              </w:rPr>
              <w:t>硬件</w:t>
            </w:r>
          </w:p>
        </w:tc>
        <w:tc>
          <w:tcPr>
            <w:tcW w:w="240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喷绘</w:t>
            </w:r>
          </w:p>
        </w:tc>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p>
        </w:tc>
        <w:tc>
          <w:tcPr>
            <w:tcW w:w="180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p>
        </w:tc>
        <w:tc>
          <w:tcPr>
            <w:tcW w:w="99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3</w:t>
            </w:r>
          </w:p>
        </w:tc>
        <w:tc>
          <w:tcPr>
            <w:tcW w:w="121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2080"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jc w:val="center"/>
              <w:rPr>
                <w:rFonts w:hint="eastAsia" w:ascii="仿宋_GB2312" w:hAnsi="仿宋_GB2312" w:eastAsia="仿宋_GB2312" w:cs="仿宋_GB2312"/>
                <w:i w:val="0"/>
                <w:iCs w:val="0"/>
                <w:color w:val="auto"/>
                <w:sz w:val="24"/>
                <w:szCs w:val="24"/>
                <w:u w:val="none"/>
              </w:rPr>
            </w:pPr>
          </w:p>
        </w:tc>
        <w:tc>
          <w:tcPr>
            <w:tcW w:w="240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行架</w:t>
            </w:r>
          </w:p>
        </w:tc>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p>
        </w:tc>
        <w:tc>
          <w:tcPr>
            <w:tcW w:w="180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p>
        </w:tc>
        <w:tc>
          <w:tcPr>
            <w:tcW w:w="99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3</w:t>
            </w:r>
          </w:p>
        </w:tc>
        <w:tc>
          <w:tcPr>
            <w:tcW w:w="121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2080"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jc w:val="center"/>
              <w:rPr>
                <w:rFonts w:hint="eastAsia" w:ascii="仿宋_GB2312" w:hAnsi="仿宋_GB2312" w:eastAsia="仿宋_GB2312" w:cs="仿宋_GB2312"/>
                <w:i w:val="0"/>
                <w:iCs w:val="0"/>
                <w:color w:val="auto"/>
                <w:sz w:val="24"/>
                <w:szCs w:val="24"/>
                <w:u w:val="none"/>
              </w:rPr>
            </w:pPr>
          </w:p>
        </w:tc>
        <w:tc>
          <w:tcPr>
            <w:tcW w:w="240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音响设备</w:t>
            </w:r>
          </w:p>
        </w:tc>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p>
        </w:tc>
        <w:tc>
          <w:tcPr>
            <w:tcW w:w="180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p>
        </w:tc>
        <w:tc>
          <w:tcPr>
            <w:tcW w:w="99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1</w:t>
            </w:r>
          </w:p>
        </w:tc>
        <w:tc>
          <w:tcPr>
            <w:tcW w:w="121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2080"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jc w:val="center"/>
              <w:rPr>
                <w:rFonts w:hint="eastAsia" w:ascii="仿宋_GB2312" w:hAnsi="仿宋_GB2312" w:eastAsia="仿宋_GB2312" w:cs="仿宋_GB2312"/>
                <w:i w:val="0"/>
                <w:iCs w:val="0"/>
                <w:color w:val="auto"/>
                <w:sz w:val="24"/>
                <w:szCs w:val="24"/>
                <w:u w:val="none"/>
              </w:rPr>
            </w:pPr>
          </w:p>
        </w:tc>
        <w:tc>
          <w:tcPr>
            <w:tcW w:w="240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灯光设备</w:t>
            </w:r>
          </w:p>
        </w:tc>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p>
        </w:tc>
        <w:tc>
          <w:tcPr>
            <w:tcW w:w="180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p>
        </w:tc>
        <w:tc>
          <w:tcPr>
            <w:tcW w:w="99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1</w:t>
            </w:r>
          </w:p>
        </w:tc>
        <w:tc>
          <w:tcPr>
            <w:tcW w:w="121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20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仿宋_GB2312" w:hAnsi="仿宋_GB2312" w:eastAsia="仿宋_GB2312" w:cs="仿宋_GB2312"/>
                <w:i w:val="0"/>
                <w:iCs w:val="0"/>
                <w:color w:val="auto"/>
                <w:sz w:val="24"/>
                <w:szCs w:val="24"/>
                <w:u w:val="none"/>
              </w:rPr>
            </w:pPr>
            <w:r>
              <w:rPr>
                <w:rFonts w:ascii="仿宋_GB2312" w:hAnsi="仿宋_GB2312" w:eastAsia="仿宋_GB2312" w:cs="仿宋_GB2312"/>
                <w:i w:val="0"/>
                <w:iCs w:val="0"/>
                <w:color w:val="auto"/>
                <w:kern w:val="0"/>
                <w:sz w:val="24"/>
                <w:szCs w:val="24"/>
                <w:u w:val="none"/>
                <w:lang w:val="en-US" w:eastAsia="zh-CN" w:bidi="ar"/>
              </w:rPr>
              <w:t>场地及环境</w:t>
            </w:r>
          </w:p>
        </w:tc>
        <w:tc>
          <w:tcPr>
            <w:tcW w:w="240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舞台</w:t>
            </w:r>
          </w:p>
        </w:tc>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p>
        </w:tc>
        <w:tc>
          <w:tcPr>
            <w:tcW w:w="180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仿宋_GB2312" w:hAnsi="仿宋_GB2312" w:eastAsia="仿宋_GB2312" w:cs="仿宋_GB2312"/>
                <w:i w:val="0"/>
                <w:iCs w:val="0"/>
                <w:color w:val="auto"/>
                <w:kern w:val="0"/>
                <w:sz w:val="24"/>
                <w:szCs w:val="24"/>
                <w:u w:val="none"/>
                <w:lang w:val="en-US" w:eastAsia="zh-CN" w:bidi="ar"/>
              </w:rPr>
            </w:pPr>
          </w:p>
        </w:tc>
        <w:tc>
          <w:tcPr>
            <w:tcW w:w="99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auto"/>
                <w:kern w:val="0"/>
                <w:sz w:val="24"/>
                <w:szCs w:val="24"/>
                <w:u w:val="none"/>
                <w:lang w:val="en-US" w:eastAsia="zh-CN" w:bidi="ar"/>
              </w:rPr>
              <w:t>1</w:t>
            </w:r>
          </w:p>
        </w:tc>
        <w:tc>
          <w:tcPr>
            <w:tcW w:w="121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p>
        </w:tc>
      </w:tr>
    </w:tbl>
    <w:p>
      <w:pPr>
        <w:keepNext w:val="0"/>
        <w:keepLines w:val="0"/>
        <w:pageBreakBefore w:val="0"/>
        <w:widowControl w:val="0"/>
        <w:kinsoku/>
        <w:wordWrap/>
        <w:overflowPunct/>
        <w:topLinePunct w:val="0"/>
        <w:autoSpaceDE/>
        <w:autoSpaceDN/>
        <w:bidi w:val="0"/>
        <w:spacing w:line="560" w:lineRule="exact"/>
        <w:ind w:firstLine="600" w:firstLineChars="200"/>
        <w:textAlignment w:val="auto"/>
        <w:outlineLvl w:val="1"/>
        <w:rPr>
          <w:rFonts w:hint="eastAsia" w:ascii="黑体" w:hAnsi="黑体" w:eastAsia="黑体" w:cs="黑体"/>
          <w:b w:val="0"/>
          <w:bCs w:val="0"/>
          <w:color w:val="auto"/>
          <w:sz w:val="30"/>
          <w:szCs w:val="30"/>
        </w:rPr>
      </w:pPr>
      <w:r>
        <w:rPr>
          <w:rFonts w:hint="eastAsia" w:ascii="黑体" w:hAnsi="黑体" w:eastAsia="黑体" w:cs="黑体"/>
          <w:b w:val="0"/>
          <w:bCs w:val="0"/>
          <w:color w:val="auto"/>
          <w:sz w:val="30"/>
          <w:szCs w:val="30"/>
          <w:lang w:val="en-US" w:eastAsia="zh-CN"/>
        </w:rPr>
        <w:t>十八</w:t>
      </w:r>
      <w:r>
        <w:rPr>
          <w:rFonts w:hint="eastAsia" w:ascii="黑体" w:hAnsi="黑体" w:eastAsia="黑体" w:cs="黑体"/>
          <w:b w:val="0"/>
          <w:bCs w:val="0"/>
          <w:color w:val="auto"/>
          <w:sz w:val="30"/>
          <w:szCs w:val="30"/>
        </w:rPr>
        <w:t>、其他</w:t>
      </w:r>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r>
        <w:rPr>
          <w:rFonts w:hint="eastAsia" w:ascii="仿宋" w:hAnsi="仿宋" w:eastAsia="仿宋" w:cs="宋体"/>
          <w:color w:val="auto"/>
          <w:kern w:val="0"/>
          <w:sz w:val="30"/>
          <w:szCs w:val="30"/>
          <w:lang w:val="en-US" w:eastAsia="zh-CN"/>
        </w:rPr>
        <w:t>本次选拔赛不收取参赛费用与报名费用，竞赛期间食宿统一安排，费用由参赛单位自理。</w:t>
      </w:r>
    </w:p>
    <w:bookmarkEnd w:id="32"/>
    <w:bookmarkEnd w:id="33"/>
    <w:bookmarkEnd w:id="34"/>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仿宋" w:hAnsi="仿宋" w:eastAsia="仿宋" w:cs="宋体"/>
          <w:color w:val="auto"/>
          <w:kern w:val="0"/>
          <w:sz w:val="30"/>
          <w:szCs w:val="30"/>
          <w:lang w:val="en-US" w:eastAsia="zh-CN"/>
        </w:rPr>
      </w:pPr>
      <w:bookmarkStart w:id="37" w:name="_GoBack"/>
      <w:bookmarkEnd w:id="37"/>
    </w:p>
    <w:p>
      <w:pPr>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方正公文小标宋" w:hAnsi="方正公文小标宋" w:eastAsia="方正公文小标宋" w:cs="方正公文小标宋"/>
          <w:color w:val="auto"/>
          <w:kern w:val="0"/>
          <w:sz w:val="36"/>
          <w:szCs w:val="36"/>
          <w:lang w:val="en-US" w:eastAsia="zh-CN" w:bidi="ar-SA"/>
        </w:rPr>
        <w:sectPr>
          <w:footerReference r:id="rId3" w:type="default"/>
          <w:pgSz w:w="11906" w:h="16838"/>
          <w:pgMar w:top="1361" w:right="1191" w:bottom="1247" w:left="1304" w:header="851" w:footer="992" w:gutter="0"/>
          <w:cols w:space="425" w:num="1"/>
          <w:docGrid w:type="lines" w:linePitch="312" w:charSpace="0"/>
        </w:sectPr>
      </w:pPr>
      <w:r>
        <w:rPr>
          <w:rFonts w:hint="eastAsia" w:ascii="仿宋" w:hAnsi="仿宋" w:eastAsia="仿宋" w:cs="宋体"/>
          <w:color w:val="auto"/>
          <w:kern w:val="0"/>
          <w:sz w:val="30"/>
          <w:szCs w:val="30"/>
          <w:lang w:val="en-US" w:eastAsia="zh-CN"/>
        </w:rPr>
        <w:t>附件《校园创编舞评分细则》</w:t>
      </w:r>
    </w:p>
    <w:p>
      <w:pPr>
        <w:pStyle w:val="2"/>
        <w:ind w:left="0" w:leftChars="0" w:firstLine="0" w:firstLineChars="0"/>
        <w:jc w:val="center"/>
        <w:rPr>
          <w:rFonts w:hint="eastAsia" w:ascii="方正公文小标宋" w:hAnsi="方正公文小标宋" w:eastAsia="方正公文小标宋" w:cs="方正公文小标宋"/>
          <w:color w:val="auto"/>
          <w:kern w:val="0"/>
          <w:sz w:val="36"/>
          <w:szCs w:val="36"/>
          <w:lang w:val="en-US" w:eastAsia="zh-CN" w:bidi="ar-SA"/>
        </w:rPr>
      </w:pPr>
      <w:r>
        <w:rPr>
          <w:rFonts w:hint="eastAsia" w:ascii="方正公文小标宋" w:hAnsi="方正公文小标宋" w:eastAsia="方正公文小标宋" w:cs="方正公文小标宋"/>
          <w:color w:val="auto"/>
          <w:kern w:val="0"/>
          <w:sz w:val="36"/>
          <w:szCs w:val="36"/>
          <w:lang w:val="en-US" w:eastAsia="zh-CN" w:bidi="ar-SA"/>
        </w:rPr>
        <w:t>校园创编舞评分细则</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黑体" w:hAnsi="黑体" w:eastAsia="黑体" w:cs="黑体"/>
          <w:color w:val="auto"/>
          <w:sz w:val="30"/>
          <w:szCs w:val="30"/>
          <w:lang w:val="en-US" w:eastAsia="zh-CN"/>
        </w:rPr>
      </w:pPr>
      <w:r>
        <w:rPr>
          <w:rFonts w:hint="eastAsia" w:ascii="黑体" w:hAnsi="黑体" w:eastAsia="黑体" w:cs="黑体"/>
          <w:color w:val="auto"/>
          <w:sz w:val="30"/>
          <w:szCs w:val="30"/>
          <w:lang w:val="en-US" w:eastAsia="zh-CN"/>
        </w:rPr>
        <w:t>一.校园创编舞要求</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健美操音乐为2分10秒，街舞音乐为2分33秒，中国舞音乐为3分54秒，国际标准舞音乐为2分35秒。</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成套操舞动作评分分值为10分。现场评判人员5名或7名，裁判长1名，裁判员评分过程中需要对评分要素中的各个细节要素进行记录和综合判断，裁判员打分精确到小数点后一位。最终成绩为：去掉裁判员打分中最高分、最低分后取平均分+裁判长减分，最终成绩精确到小数点后两位。</w:t>
      </w:r>
    </w:p>
    <w:p>
      <w:pPr>
        <w:pStyle w:val="3"/>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楷体_GBK" w:hAnsi="方正楷体_GBK" w:eastAsia="方正楷体_GBK" w:cs="方正楷体_GBK"/>
          <w:b w:val="0"/>
          <w:bCs w:val="0"/>
          <w:color w:val="auto"/>
          <w:kern w:val="2"/>
          <w:sz w:val="30"/>
          <w:szCs w:val="30"/>
          <w:lang w:val="en-US" w:eastAsia="zh-CN" w:bidi="ar-SA"/>
        </w:rPr>
      </w:pPr>
      <w:r>
        <w:rPr>
          <w:rFonts w:hint="eastAsia" w:ascii="方正楷体_GBK" w:hAnsi="方正楷体_GBK" w:eastAsia="方正楷体_GBK" w:cs="方正楷体_GBK"/>
          <w:b w:val="0"/>
          <w:bCs w:val="0"/>
          <w:color w:val="auto"/>
          <w:kern w:val="2"/>
          <w:sz w:val="30"/>
          <w:szCs w:val="30"/>
          <w:lang w:val="en-US" w:eastAsia="zh-CN" w:bidi="ar-SA"/>
        </w:rPr>
        <w:t>（一）成套创编</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编排尽量有简单明了的主题，可以是情景、事件、人物、情感、校园生活等，主题应提倡积极健康的情绪和状态，不得表现反社会、宗教类、低俗、颓废、悲哀、痛苦以及内心阴暗面的主题。新颖的主题、结构、动作、连接、配合、队形都富有创意，是校园创编舞比赛中比较推崇的理念，如果整体编排没有很好的创意，可以通过队伍扎实的基本功和高超的技术技巧来弥补，但在技术水平相当的队伍之间，创意好的队伍会取得更优异的成绩。</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比赛作品的原创性是非常重要的评分因素，在比赛中如果发现整套动作的原创性较差，抄袭部分较多，经仲裁组、专家组、裁判组会同审核后将被酌情减分；如果半套以上动作编排均为抄袭，将会被严重扣分，影响比赛成绩。</w:t>
      </w:r>
    </w:p>
    <w:p>
      <w:pPr>
        <w:pStyle w:val="3"/>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楷体_GBK" w:hAnsi="方正楷体_GBK" w:eastAsia="方正楷体_GBK" w:cs="方正楷体_GBK"/>
          <w:b w:val="0"/>
          <w:bCs w:val="0"/>
          <w:color w:val="auto"/>
          <w:kern w:val="2"/>
          <w:sz w:val="30"/>
          <w:szCs w:val="30"/>
          <w:lang w:val="en-US" w:eastAsia="zh-CN" w:bidi="ar-SA"/>
        </w:rPr>
      </w:pPr>
      <w:r>
        <w:rPr>
          <w:rFonts w:hint="eastAsia" w:ascii="方正楷体_GBK" w:hAnsi="方正楷体_GBK" w:eastAsia="方正楷体_GBK" w:cs="方正楷体_GBK"/>
          <w:b w:val="0"/>
          <w:bCs w:val="0"/>
          <w:color w:val="auto"/>
          <w:kern w:val="2"/>
          <w:sz w:val="30"/>
          <w:szCs w:val="30"/>
          <w:lang w:val="en-US" w:eastAsia="zh-CN" w:bidi="ar-SA"/>
        </w:rPr>
        <w:t>（二）场地空间与队形</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队形设计新颖合理，变化清晰、流畅，体现团队配合意识。队形的几何形状和变化过程（渐变、突变、流动等）一定要丰富，避免长时间处于同一队形完成动作，或者总是以一种单一的演变方式进行队形变化；另外，也要注意队形变化与音乐的相关性，以及队形变化时机的合理分配，不要一直太过频繁的变化，否则会失去队伍的整体感，较简单的动作编排可以通过复杂的队形变化来弥补或增强视觉效果；若出现个别参赛选手长时间SOLO（个人表演）超过2个8拍以上，其他队员无明显配合动作的编排，会被酌情扣分。</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成套动作最大限度地使用比赛场地，有效利用三维空间的变化，正确处理参赛选手与器械的关系。</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在编排中不得出现侮辱类或是性暗示等方面手势和动作，若出现此类动作，将被严重扣分，甚至取消比赛资格！</w:t>
      </w:r>
    </w:p>
    <w:p>
      <w:pPr>
        <w:pStyle w:val="3"/>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楷体_GBK" w:hAnsi="方正楷体_GBK" w:eastAsia="方正楷体_GBK" w:cs="方正楷体_GBK"/>
          <w:b w:val="0"/>
          <w:bCs w:val="0"/>
          <w:color w:val="auto"/>
          <w:kern w:val="2"/>
          <w:sz w:val="30"/>
          <w:szCs w:val="30"/>
          <w:lang w:val="en-US" w:eastAsia="zh-CN" w:bidi="ar-SA"/>
        </w:rPr>
      </w:pPr>
      <w:r>
        <w:rPr>
          <w:rFonts w:hint="eastAsia" w:ascii="方正楷体_GBK" w:hAnsi="方正楷体_GBK" w:eastAsia="方正楷体_GBK" w:cs="方正楷体_GBK"/>
          <w:b w:val="0"/>
          <w:bCs w:val="0"/>
          <w:color w:val="auto"/>
          <w:kern w:val="2"/>
          <w:sz w:val="30"/>
          <w:szCs w:val="30"/>
          <w:lang w:val="en-US" w:eastAsia="zh-CN" w:bidi="ar-SA"/>
        </w:rPr>
        <w:t>（三）音乐与表现</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在比赛中，如果是以某种风格为主进行的动作编排，尽量不要牵强的拼凑其他操舞的技术和动作，否则会显得成套动作风格混乱。同一舞种风格的动作可在其基础动作及经典动作元素上进行丰富的演变，寻找新的连接方法和衍生出新的动作形式，突出创新性。但这并非指在比赛套路中不可以用多个舞种风格来表现，但要求一定是在遵循音乐的基础上，各舞蹈风格的过渡与连接自然巧妙，与音乐合理搭配，体现出成套动作的多样性。若出现随意拼凑不同舞蹈风格的动作编排，应在动作设计与编排分值中酌情减分。</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要注意其作品的技术属性，在其作品编排上所体现出的舞蹈态度、文化属性应该与中国文化相关联，避免其编排与风格属性有较大差异。这方面的评分要求评判人员对街舞、健美操、中国舞的相关文化以及各种风格和技术特征有充分的了解，才能进行客观公正的评分。</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在成套动作中不鼓励出现各种难以驾驭的难度动作或造型，以及竞技健美操、体操和技巧运动中不属于操舞风格的各种难度动作，若出现类似动作，与整体编排不协调或影响其风格表达时，要进行酌情减分。</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表现力注重表情、眼神、肢体语言等细节，要与音乐和主题合理搭配，学生街舞比赛中倡导由内而外的自信所流露出的激情、专注、夸张、幽默等多样化的表现力，不提倡颓废、低迷、抑郁、痛苦、狂躁等情绪为主导的表现手法。另外，在比赛过程中队员与观众的交流，以及队员之间的交流也是提高整体表现力的重要方式，在比赛中必不可少。</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比赛服装方面在遵循操舞特点的情况下，尽量在样式或者颜色上统一或者有明显的相关性，太过生活化或过度夸张的比赛服装不适合比赛。</w:t>
      </w:r>
    </w:p>
    <w:p>
      <w:pPr>
        <w:pStyle w:val="3"/>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楷体_GBK" w:hAnsi="方正楷体_GBK" w:eastAsia="方正楷体_GBK" w:cs="方正楷体_GBK"/>
          <w:b w:val="0"/>
          <w:bCs w:val="0"/>
          <w:color w:val="auto"/>
          <w:kern w:val="2"/>
          <w:sz w:val="30"/>
          <w:szCs w:val="30"/>
          <w:lang w:val="en-US" w:eastAsia="zh-CN" w:bidi="ar-SA"/>
        </w:rPr>
      </w:pPr>
      <w:r>
        <w:rPr>
          <w:rFonts w:hint="eastAsia" w:ascii="方正楷体_GBK" w:hAnsi="方正楷体_GBK" w:eastAsia="方正楷体_GBK" w:cs="方正楷体_GBK"/>
          <w:b w:val="0"/>
          <w:bCs w:val="0"/>
          <w:color w:val="auto"/>
          <w:kern w:val="2"/>
          <w:sz w:val="30"/>
          <w:szCs w:val="30"/>
          <w:lang w:val="en-US" w:eastAsia="zh-CN" w:bidi="ar-SA"/>
        </w:rPr>
        <w:t>（四）技术技巧</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每个比赛项目都有经典的基本技术、动作元素和名称，其中包含着该项目特有的技术和风格。编舞要尽量在尊重该舞种基础舞感、技术以及动作元素上进行演变，不能完全脱离基础动作而不顾，否则容易把握不住该项目真正的风格特点，降低评判人员对该队伍的直观评价。当队伍出现其风格把握不当时，评判人员要根据具体情况酌情减分，不要因其动作一致性或情绪氛围较好等因素而忽略此项评分要素。</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比赛选手对作品中的动作技术技巧完成程度与其排练水平息息相关，动作技术技巧的不熟练以及完成度不高会导致多方面的负面效果（如影响编排效果、表现力、一致性、队形与空间层次变化等），因此对于作品的动作技术技巧完成度，评判人员要根据自身经验对参赛队所表现出来的一系列与动作要素相关的标准进行细致观察，得出客观公正的评分。</w:t>
      </w:r>
    </w:p>
    <w:p>
      <w:pPr>
        <w:pStyle w:val="3"/>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楷体_GBK" w:hAnsi="方正楷体_GBK" w:eastAsia="方正楷体_GBK" w:cs="方正楷体_GBK"/>
          <w:b w:val="0"/>
          <w:bCs w:val="0"/>
          <w:color w:val="auto"/>
          <w:kern w:val="2"/>
          <w:sz w:val="30"/>
          <w:szCs w:val="30"/>
          <w:lang w:val="en-US" w:eastAsia="zh-CN" w:bidi="ar-SA"/>
        </w:rPr>
      </w:pPr>
      <w:r>
        <w:rPr>
          <w:rFonts w:hint="eastAsia" w:ascii="方正楷体_GBK" w:hAnsi="方正楷体_GBK" w:eastAsia="方正楷体_GBK" w:cs="方正楷体_GBK"/>
          <w:b w:val="0"/>
          <w:bCs w:val="0"/>
          <w:color w:val="auto"/>
          <w:kern w:val="2"/>
          <w:sz w:val="30"/>
          <w:szCs w:val="30"/>
          <w:lang w:val="en-US" w:eastAsia="zh-CN" w:bidi="ar-SA"/>
        </w:rPr>
        <w:t>（五）一致性</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一致性是齐舞比赛中非常重要的评分要素，街舞比赛中的一致性不仅仅是动作的整齐，还包括多方面的因素。评判人员对一致性的评分因素主要观察以下几点：</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1.队员整体的基本功、舞感与律动的一致性；</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2.动作与音乐契合度上的一致性；</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3.动作规格上的一致性；</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4.整体情绪状态和体能的一致性。</w:t>
      </w:r>
    </w:p>
    <w:p>
      <w:pPr>
        <w:pStyle w:val="3"/>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楷体_GBK" w:hAnsi="方正楷体_GBK" w:eastAsia="方正楷体_GBK" w:cs="方正楷体_GBK"/>
          <w:b w:val="0"/>
          <w:bCs w:val="0"/>
          <w:color w:val="auto"/>
          <w:kern w:val="2"/>
          <w:sz w:val="30"/>
          <w:szCs w:val="30"/>
          <w:lang w:val="en-US" w:eastAsia="zh-CN" w:bidi="ar-SA"/>
        </w:rPr>
      </w:pPr>
      <w:r>
        <w:rPr>
          <w:rFonts w:hint="eastAsia" w:ascii="方正楷体_GBK" w:hAnsi="方正楷体_GBK" w:eastAsia="方正楷体_GBK" w:cs="方正楷体_GBK"/>
          <w:b w:val="0"/>
          <w:bCs w:val="0"/>
          <w:color w:val="auto"/>
          <w:kern w:val="2"/>
          <w:sz w:val="30"/>
          <w:szCs w:val="30"/>
          <w:lang w:val="en-US" w:eastAsia="zh-CN" w:bidi="ar-SA"/>
        </w:rPr>
        <w:t>（六）特别说明</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仿宋_GBK" w:hAnsi="方正仿宋_GBK" w:eastAsia="方正仿宋_GBK" w:cs="方正仿宋_GBK"/>
          <w:color w:val="auto"/>
          <w:sz w:val="30"/>
          <w:szCs w:val="30"/>
          <w:lang w:val="en-US" w:eastAsia="zh-CN"/>
        </w:rPr>
      </w:pPr>
      <w:r>
        <w:rPr>
          <w:rFonts w:hint="default" w:ascii="方正仿宋_GBK" w:hAnsi="方正仿宋_GBK" w:eastAsia="方正仿宋_GBK" w:cs="方正仿宋_GBK"/>
          <w:color w:val="auto"/>
          <w:sz w:val="30"/>
          <w:szCs w:val="30"/>
          <w:lang w:val="en-US" w:eastAsia="zh-CN"/>
        </w:rPr>
        <w:t>关于原创:</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仿宋_GBK" w:hAnsi="方正仿宋_GBK" w:eastAsia="方正仿宋_GBK" w:cs="方正仿宋_GBK"/>
          <w:color w:val="auto"/>
          <w:sz w:val="30"/>
          <w:szCs w:val="30"/>
          <w:lang w:val="en-US" w:eastAsia="zh-CN"/>
        </w:rPr>
      </w:pPr>
      <w:r>
        <w:rPr>
          <w:rFonts w:hint="default" w:ascii="方正仿宋_GBK" w:hAnsi="方正仿宋_GBK" w:eastAsia="方正仿宋_GBK" w:cs="方正仿宋_GBK"/>
          <w:color w:val="auto"/>
          <w:sz w:val="30"/>
          <w:szCs w:val="30"/>
          <w:lang w:val="en-US" w:eastAsia="zh-CN"/>
        </w:rPr>
        <w:t>动作编排不得有明显抄袭，</w:t>
      </w:r>
      <w:r>
        <w:rPr>
          <w:rFonts w:hint="eastAsia" w:ascii="方正仿宋_GBK" w:hAnsi="方正仿宋_GBK" w:eastAsia="方正仿宋_GBK" w:cs="方正仿宋_GBK"/>
          <w:color w:val="auto"/>
          <w:sz w:val="30"/>
          <w:szCs w:val="30"/>
          <w:lang w:val="en-US" w:eastAsia="zh-CN"/>
        </w:rPr>
        <w:t>（如果有抄袭情况，其抄袭比例不超过整体编排的30%）。</w:t>
      </w:r>
      <w:r>
        <w:rPr>
          <w:rFonts w:hint="default" w:ascii="方正仿宋_GBK" w:hAnsi="方正仿宋_GBK" w:eastAsia="方正仿宋_GBK" w:cs="方正仿宋_GBK"/>
          <w:color w:val="auto"/>
          <w:sz w:val="30"/>
          <w:szCs w:val="30"/>
          <w:lang w:val="en-US" w:eastAsia="zh-CN"/>
        </w:rPr>
        <w:t>否则</w:t>
      </w:r>
      <w:r>
        <w:rPr>
          <w:rFonts w:hint="eastAsia" w:ascii="方正仿宋_GBK" w:hAnsi="方正仿宋_GBK" w:eastAsia="方正仿宋_GBK" w:cs="方正仿宋_GBK"/>
          <w:color w:val="auto"/>
          <w:sz w:val="30"/>
          <w:szCs w:val="30"/>
          <w:lang w:val="en-US" w:eastAsia="zh-CN"/>
        </w:rPr>
        <w:t>裁判长</w:t>
      </w:r>
      <w:r>
        <w:rPr>
          <w:rFonts w:hint="default" w:ascii="方正仿宋_GBK" w:hAnsi="方正仿宋_GBK" w:eastAsia="方正仿宋_GBK" w:cs="方正仿宋_GBK"/>
          <w:color w:val="auto"/>
          <w:sz w:val="30"/>
          <w:szCs w:val="30"/>
          <w:lang w:val="en-US" w:eastAsia="zh-CN"/>
        </w:rPr>
        <w:t>将根据裁判组评议酌情扣0.2一0.5分或更多。</w:t>
      </w:r>
      <w:r>
        <w:rPr>
          <w:rFonts w:hint="eastAsia" w:ascii="方正仿宋_GBK" w:hAnsi="方正仿宋_GBK" w:eastAsia="方正仿宋_GBK" w:cs="方正仿宋_GBK"/>
          <w:color w:val="auto"/>
          <w:sz w:val="30"/>
          <w:szCs w:val="30"/>
          <w:lang w:val="en-US" w:eastAsia="zh-CN"/>
        </w:rPr>
        <w:t>评判</w:t>
      </w:r>
      <w:r>
        <w:rPr>
          <w:rFonts w:hint="default" w:ascii="方正仿宋_GBK" w:hAnsi="方正仿宋_GBK" w:eastAsia="方正仿宋_GBK" w:cs="方正仿宋_GBK"/>
          <w:color w:val="auto"/>
          <w:sz w:val="30"/>
          <w:szCs w:val="30"/>
          <w:lang w:val="en-US" w:eastAsia="zh-CN"/>
        </w:rPr>
        <w:t>组在最后公布成绩前接受关于抄袭的举报，举报者在反映情况时必须持有相关证据，如果情况属实，裁判长将根据裁判组评议酌情扣0.2-0.5分或更多，并进行成绩更正。</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仿宋_GBK" w:hAnsi="方正仿宋_GBK" w:eastAsia="方正仿宋_GBK" w:cs="方正仿宋_GBK"/>
          <w:color w:val="auto"/>
          <w:sz w:val="30"/>
          <w:szCs w:val="30"/>
          <w:lang w:val="en-US" w:eastAsia="zh-CN"/>
        </w:rPr>
      </w:pPr>
      <w:r>
        <w:rPr>
          <w:rFonts w:hint="default" w:ascii="方正仿宋_GBK" w:hAnsi="方正仿宋_GBK" w:eastAsia="方正仿宋_GBK" w:cs="方正仿宋_GBK"/>
          <w:color w:val="auto"/>
          <w:sz w:val="30"/>
          <w:szCs w:val="30"/>
          <w:lang w:val="en-US" w:eastAsia="zh-CN"/>
        </w:rPr>
        <w:t>关于难度动作:</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仿宋_GBK" w:hAnsi="方正仿宋_GBK" w:eastAsia="方正仿宋_GBK" w:cs="方正仿宋_GBK"/>
          <w:color w:val="auto"/>
          <w:sz w:val="30"/>
          <w:szCs w:val="30"/>
          <w:lang w:val="en-US" w:eastAsia="zh-CN"/>
        </w:rPr>
        <w:sectPr>
          <w:pgSz w:w="16838" w:h="11906" w:orient="landscape"/>
          <w:pgMar w:top="1800" w:right="1440" w:bottom="1800" w:left="1440" w:header="851" w:footer="992" w:gutter="0"/>
          <w:cols w:space="425" w:num="1"/>
          <w:docGrid w:type="lines" w:linePitch="312" w:charSpace="0"/>
        </w:sectPr>
      </w:pPr>
      <w:r>
        <w:rPr>
          <w:rFonts w:hint="default" w:ascii="方正仿宋_GBK" w:hAnsi="方正仿宋_GBK" w:eastAsia="方正仿宋_GBK" w:cs="方正仿宋_GBK"/>
          <w:color w:val="auto"/>
          <w:sz w:val="30"/>
          <w:szCs w:val="30"/>
          <w:lang w:val="en-US" w:eastAsia="zh-CN"/>
        </w:rPr>
        <w:t>在街舞成套动作中不鼓励出现各种难以驾驭的难度动作或造型，以及</w:t>
      </w:r>
      <w:r>
        <w:rPr>
          <w:rFonts w:hint="eastAsia" w:ascii="方正仿宋_GBK" w:hAnsi="方正仿宋_GBK" w:eastAsia="方正仿宋_GBK" w:cs="方正仿宋_GBK"/>
          <w:color w:val="auto"/>
          <w:sz w:val="30"/>
          <w:szCs w:val="30"/>
          <w:lang w:val="en-US" w:eastAsia="zh-CN"/>
        </w:rPr>
        <w:t>竞</w:t>
      </w:r>
      <w:r>
        <w:rPr>
          <w:rFonts w:hint="default" w:ascii="方正仿宋_GBK" w:hAnsi="方正仿宋_GBK" w:eastAsia="方正仿宋_GBK" w:cs="方正仿宋_GBK"/>
          <w:color w:val="auto"/>
          <w:sz w:val="30"/>
          <w:szCs w:val="30"/>
          <w:lang w:val="en-US" w:eastAsia="zh-CN"/>
        </w:rPr>
        <w:t>技健美操、体操和技巧运动中各种难度动作，若出现类似动作</w:t>
      </w:r>
      <w:r>
        <w:rPr>
          <w:rFonts w:hint="eastAsia" w:ascii="方正仿宋_GBK" w:hAnsi="方正仿宋_GBK" w:eastAsia="方正仿宋_GBK" w:cs="方正仿宋_GBK"/>
          <w:color w:val="auto"/>
          <w:sz w:val="30"/>
          <w:szCs w:val="30"/>
          <w:lang w:val="en-US" w:eastAsia="zh-CN"/>
        </w:rPr>
        <w:t>，</w:t>
      </w:r>
      <w:r>
        <w:rPr>
          <w:rFonts w:hint="default" w:ascii="方正仿宋_GBK" w:hAnsi="方正仿宋_GBK" w:eastAsia="方正仿宋_GBK" w:cs="方正仿宋_GBK"/>
          <w:color w:val="auto"/>
          <w:sz w:val="30"/>
          <w:szCs w:val="30"/>
          <w:lang w:val="en-US" w:eastAsia="zh-CN"/>
        </w:rPr>
        <w:t>如果不属于高危动作中所列举内容，不扣分也不加分，但要对出现的错误动作或失误按照动作完成要求进行减</w:t>
      </w:r>
      <w:r>
        <w:rPr>
          <w:rFonts w:hint="eastAsia" w:ascii="方正仿宋_GBK" w:hAnsi="方正仿宋_GBK" w:eastAsia="方正仿宋_GBK" w:cs="方正仿宋_GBK"/>
          <w:color w:val="auto"/>
          <w:sz w:val="30"/>
          <w:szCs w:val="30"/>
          <w:lang w:val="en-US" w:eastAsia="zh-CN"/>
        </w:rPr>
        <w:t>分。</w:t>
      </w:r>
    </w:p>
    <w:p>
      <w:pPr>
        <w:pStyle w:val="3"/>
        <w:numPr>
          <w:ilvl w:val="0"/>
          <w:numId w:val="0"/>
        </w:numPr>
        <w:spacing w:before="291" w:line="220" w:lineRule="auto"/>
        <w:ind w:firstLine="588" w:firstLineChars="200"/>
        <w:outlineLvl w:val="1"/>
        <w:rPr>
          <w:rFonts w:hint="default" w:ascii="黑体" w:hAnsi="黑体" w:eastAsia="黑体" w:cs="黑体"/>
          <w:b w:val="0"/>
          <w:bCs w:val="0"/>
          <w:color w:val="auto"/>
          <w:spacing w:val="-3"/>
          <w:sz w:val="30"/>
          <w:szCs w:val="30"/>
          <w:lang w:val="en-US" w:eastAsia="zh-CN"/>
        </w:rPr>
      </w:pPr>
      <w:r>
        <w:rPr>
          <w:rFonts w:hint="eastAsia" w:ascii="黑体" w:hAnsi="黑体" w:eastAsia="黑体" w:cs="黑体"/>
          <w:b w:val="0"/>
          <w:bCs w:val="0"/>
          <w:color w:val="auto"/>
          <w:spacing w:val="-3"/>
          <w:kern w:val="0"/>
          <w:sz w:val="30"/>
          <w:szCs w:val="30"/>
          <w:lang w:val="en-US" w:eastAsia="zh-CN" w:bidi="zh-CN"/>
        </w:rPr>
        <w:t>二.街舞、健美操比赛</w:t>
      </w:r>
      <w:r>
        <w:rPr>
          <w:rFonts w:hint="eastAsia" w:ascii="黑体" w:hAnsi="黑体" w:eastAsia="黑体" w:cs="黑体"/>
          <w:b w:val="0"/>
          <w:bCs w:val="0"/>
          <w:color w:val="auto"/>
          <w:spacing w:val="-3"/>
          <w:sz w:val="30"/>
          <w:szCs w:val="30"/>
        </w:rPr>
        <w:t>评分表</w:t>
      </w:r>
      <w:r>
        <w:rPr>
          <w:rFonts w:hint="eastAsia" w:ascii="黑体" w:hAnsi="黑体" w:eastAsia="黑体" w:cs="黑体"/>
          <w:b w:val="0"/>
          <w:bCs w:val="0"/>
          <w:color w:val="auto"/>
          <w:spacing w:val="-3"/>
          <w:sz w:val="30"/>
          <w:szCs w:val="30"/>
          <w:lang w:val="en-US" w:eastAsia="zh-CN"/>
        </w:rPr>
        <w:t>及评分细则</w:t>
      </w:r>
    </w:p>
    <w:tbl>
      <w:tblPr>
        <w:tblStyle w:val="11"/>
        <w:tblW w:w="4667" w:type="pct"/>
        <w:tblInd w:w="93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896"/>
        <w:gridCol w:w="10361"/>
        <w:gridCol w:w="97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atLeast"/>
        </w:trPr>
        <w:tc>
          <w:tcPr>
            <w:tcW w:w="5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黑体_GBK" w:hAnsi="方正黑体_GBK" w:eastAsia="方正黑体_GBK" w:cs="方正黑体_GBK"/>
                <w:b w:val="0"/>
                <w:bCs w:val="0"/>
                <w:i w:val="0"/>
                <w:iCs w:val="0"/>
                <w:color w:val="auto"/>
                <w:sz w:val="24"/>
                <w:szCs w:val="24"/>
                <w:u w:val="none"/>
              </w:rPr>
            </w:pPr>
            <w:r>
              <w:rPr>
                <w:rFonts w:hint="eastAsia" w:ascii="方正黑体_GBK" w:hAnsi="方正黑体_GBK" w:eastAsia="方正黑体_GBK" w:cs="方正黑体_GBK"/>
                <w:b w:val="0"/>
                <w:bCs w:val="0"/>
                <w:i w:val="0"/>
                <w:iCs w:val="0"/>
                <w:color w:val="auto"/>
                <w:kern w:val="0"/>
                <w:sz w:val="24"/>
                <w:szCs w:val="24"/>
                <w:u w:val="none"/>
                <w:lang w:val="en-US" w:eastAsia="zh-CN" w:bidi="ar"/>
              </w:rPr>
              <w:t>评分内容</w:t>
            </w:r>
          </w:p>
        </w:tc>
        <w:tc>
          <w:tcPr>
            <w:tcW w:w="39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黑体_GBK" w:hAnsi="方正黑体_GBK" w:eastAsia="方正黑体_GBK" w:cs="方正黑体_GBK"/>
                <w:b w:val="0"/>
                <w:bCs w:val="0"/>
                <w:i w:val="0"/>
                <w:iCs w:val="0"/>
                <w:color w:val="auto"/>
                <w:sz w:val="24"/>
                <w:szCs w:val="24"/>
                <w:u w:val="none"/>
              </w:rPr>
            </w:pPr>
            <w:r>
              <w:rPr>
                <w:rFonts w:hint="eastAsia" w:ascii="方正黑体_GBK" w:hAnsi="方正黑体_GBK" w:eastAsia="方正黑体_GBK" w:cs="方正黑体_GBK"/>
                <w:b w:val="0"/>
                <w:bCs w:val="0"/>
                <w:i w:val="0"/>
                <w:iCs w:val="0"/>
                <w:color w:val="auto"/>
                <w:kern w:val="0"/>
                <w:sz w:val="24"/>
                <w:szCs w:val="24"/>
                <w:u w:val="none"/>
                <w:lang w:val="en-US" w:eastAsia="zh-CN" w:bidi="ar"/>
              </w:rPr>
              <w:t>评分标准</w:t>
            </w:r>
          </w:p>
        </w:tc>
        <w:tc>
          <w:tcPr>
            <w:tcW w:w="4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黑体_GBK" w:hAnsi="方正黑体_GBK" w:eastAsia="方正黑体_GBK" w:cs="方正黑体_GBK"/>
                <w:b w:val="0"/>
                <w:bCs w:val="0"/>
                <w:i w:val="0"/>
                <w:iCs w:val="0"/>
                <w:color w:val="auto"/>
                <w:sz w:val="24"/>
                <w:szCs w:val="24"/>
                <w:u w:val="none"/>
              </w:rPr>
            </w:pPr>
            <w:r>
              <w:rPr>
                <w:rFonts w:hint="eastAsia" w:ascii="方正黑体_GBK" w:hAnsi="方正黑体_GBK" w:eastAsia="方正黑体_GBK" w:cs="方正黑体_GBK"/>
                <w:b w:val="0"/>
                <w:bCs w:val="0"/>
                <w:i w:val="0"/>
                <w:iCs w:val="0"/>
                <w:color w:val="auto"/>
                <w:kern w:val="0"/>
                <w:sz w:val="24"/>
                <w:szCs w:val="24"/>
                <w:u w:val="none"/>
                <w:lang w:val="en-US" w:eastAsia="zh-CN" w:bidi="ar"/>
              </w:rPr>
              <w:t>分值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5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bidi w:val="0"/>
              <w:adjustRightInd/>
              <w:snapToGrid/>
              <w:spacing w:line="600" w:lineRule="exact"/>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作品创编</w:t>
            </w:r>
          </w:p>
        </w:tc>
        <w:tc>
          <w:tcPr>
            <w:tcW w:w="39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作品编排主题突出，项目特征显著，动作内容新颖、多样，连接自然流畅，操舞(或民族舞蹈)动作设计风格特点突出:充分挖掘器械属性,完美展示轻器械动作语汇;开始和结束动作创编应表现出艺术性和表演性。</w:t>
            </w:r>
          </w:p>
        </w:tc>
        <w:tc>
          <w:tcPr>
            <w:tcW w:w="4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bidi w:val="0"/>
              <w:adjustRightInd/>
              <w:snapToGrid/>
              <w:spacing w:line="600" w:lineRule="exact"/>
              <w:jc w:val="center"/>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60" w:hRule="atLeast"/>
        </w:trPr>
        <w:tc>
          <w:tcPr>
            <w:tcW w:w="5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bidi w:val="0"/>
              <w:adjustRightInd/>
              <w:snapToGrid/>
              <w:spacing w:line="600" w:lineRule="exact"/>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场地空间与队形</w:t>
            </w:r>
          </w:p>
        </w:tc>
        <w:tc>
          <w:tcPr>
            <w:tcW w:w="39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动作需最大限度地使用比赛的场地，有效利用三维空间的变化，正确处理运动员与器械的关系;队形设计新颖合理,变化清晰、流畅，体现团队配合意识。</w:t>
            </w:r>
          </w:p>
        </w:tc>
        <w:tc>
          <w:tcPr>
            <w:tcW w:w="4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bidi w:val="0"/>
              <w:adjustRightInd/>
              <w:snapToGrid/>
              <w:spacing w:line="600" w:lineRule="exact"/>
              <w:jc w:val="center"/>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56" w:hRule="atLeast"/>
        </w:trPr>
        <w:tc>
          <w:tcPr>
            <w:tcW w:w="5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bidi w:val="0"/>
              <w:adjustRightInd/>
              <w:snapToGrid/>
              <w:spacing w:line="600" w:lineRule="exact"/>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音乐与表现</w:t>
            </w:r>
          </w:p>
        </w:tc>
        <w:tc>
          <w:tcPr>
            <w:tcW w:w="39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动作的设计与音乐的节奏、动效相吻合;参赛选手通过高规格的动作技巧，干净利落、娴熟地完成成套动作，表演热情洋溢，将运动、激情、表演融为一体，表现出运动员的健康自信与活力，彰现团队表演的感染力。</w:t>
            </w:r>
          </w:p>
        </w:tc>
        <w:tc>
          <w:tcPr>
            <w:tcW w:w="4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bidi w:val="0"/>
              <w:adjustRightInd/>
              <w:snapToGrid/>
              <w:spacing w:line="600" w:lineRule="exact"/>
              <w:jc w:val="center"/>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90" w:hRule="atLeast"/>
        </w:trPr>
        <w:tc>
          <w:tcPr>
            <w:tcW w:w="5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bidi w:val="0"/>
              <w:adjustRightInd/>
              <w:snapToGrid/>
              <w:spacing w:line="600" w:lineRule="exact"/>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技术技巧</w:t>
            </w:r>
          </w:p>
        </w:tc>
        <w:tc>
          <w:tcPr>
            <w:tcW w:w="39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参赛选手合理运用身体能力(力量、爆发力、柔韧、速度、耐力和灵敏性)表现出正确的动作技术、使用器械的娴熟性以及完美完成动作的能力;全体队员在完成成套动作过程中，必须表现出对动作的速度、方向及身体位置的整体控制能力。</w:t>
            </w:r>
          </w:p>
        </w:tc>
        <w:tc>
          <w:tcPr>
            <w:tcW w:w="4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bidi w:val="0"/>
              <w:adjustRightInd/>
              <w:snapToGrid/>
              <w:spacing w:line="600" w:lineRule="exact"/>
              <w:jc w:val="center"/>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7" w:hRule="atLeast"/>
        </w:trPr>
        <w:tc>
          <w:tcPr>
            <w:tcW w:w="5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bidi w:val="0"/>
              <w:adjustRightInd/>
              <w:snapToGrid/>
              <w:spacing w:line="600" w:lineRule="exact"/>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一致性</w:t>
            </w:r>
          </w:p>
        </w:tc>
        <w:tc>
          <w:tcPr>
            <w:tcW w:w="39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集体动作整齐划一，暨全体队员必须同步完成动作，主要体现在动作的幅度、速度、轨迹、合拍，队形移动变化的一致性与表演能力的一致性等。</w:t>
            </w:r>
          </w:p>
        </w:tc>
        <w:tc>
          <w:tcPr>
            <w:tcW w:w="4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bidi w:val="0"/>
              <w:adjustRightInd/>
              <w:snapToGrid/>
              <w:spacing w:line="600" w:lineRule="exact"/>
              <w:jc w:val="center"/>
              <w:textAlignment w:val="auto"/>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1</w:t>
            </w:r>
          </w:p>
        </w:tc>
      </w:tr>
    </w:tbl>
    <w:p>
      <w:pPr>
        <w:keepNext w:val="0"/>
        <w:keepLines w:val="0"/>
        <w:pageBreakBefore w:val="0"/>
        <w:widowControl w:val="0"/>
        <w:kinsoku/>
        <w:wordWrap/>
        <w:overflowPunct/>
        <w:topLinePunct w:val="0"/>
        <w:autoSpaceDE/>
        <w:autoSpaceDN/>
        <w:bidi w:val="0"/>
        <w:adjustRightInd/>
        <w:snapToGrid/>
        <w:spacing w:line="560" w:lineRule="exact"/>
        <w:ind w:firstLine="481" w:firstLineChars="200"/>
        <w:textAlignment w:val="auto"/>
        <w:rPr>
          <w:rFonts w:hint="eastAsia"/>
          <w:b/>
          <w:bCs/>
          <w:color w:val="auto"/>
          <w:sz w:val="30"/>
          <w:szCs w:val="30"/>
          <w:lang w:val="en-US" w:eastAsia="zh-CN"/>
        </w:rPr>
      </w:pPr>
      <w:r>
        <w:rPr>
          <w:rFonts w:hint="eastAsia"/>
          <w:b/>
          <w:bCs/>
          <w:color w:val="auto"/>
          <w:sz w:val="24"/>
          <w:szCs w:val="24"/>
          <w:lang w:val="en-US" w:eastAsia="zh-CN"/>
        </w:rPr>
        <w:t>裁判长减分项目</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仿宋_GBK" w:hAnsi="方正仿宋_GBK" w:eastAsia="方正仿宋_GBK" w:cs="方正仿宋_GBK"/>
          <w:color w:val="auto"/>
          <w:sz w:val="30"/>
          <w:szCs w:val="30"/>
          <w:lang w:val="en-US" w:eastAsia="zh-CN"/>
        </w:rPr>
      </w:pPr>
      <w:r>
        <w:rPr>
          <w:rFonts w:hint="default" w:ascii="方正仿宋_GBK" w:hAnsi="方正仿宋_GBK" w:eastAsia="方正仿宋_GBK" w:cs="方正仿宋_GBK"/>
          <w:color w:val="auto"/>
          <w:sz w:val="30"/>
          <w:szCs w:val="30"/>
          <w:lang w:val="en-US" w:eastAsia="zh-CN"/>
        </w:rPr>
        <w:t>裁判长对比赛的过程进行组织和监控，并对下列情况进行处罚和减分，每项均减分0.2分:</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（1）</w:t>
      </w:r>
      <w:r>
        <w:rPr>
          <w:rFonts w:hint="default" w:ascii="方正仿宋_GBK" w:hAnsi="方正仿宋_GBK" w:eastAsia="方正仿宋_GBK" w:cs="方正仿宋_GBK"/>
          <w:color w:val="auto"/>
          <w:sz w:val="30"/>
          <w:szCs w:val="30"/>
          <w:lang w:val="en-US" w:eastAsia="zh-CN"/>
        </w:rPr>
        <w:t>参赛选手被叫到60秒后未出场视为弃权</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（2）</w:t>
      </w:r>
      <w:r>
        <w:rPr>
          <w:rFonts w:hint="default" w:ascii="方正仿宋_GBK" w:hAnsi="方正仿宋_GBK" w:eastAsia="方正仿宋_GBK" w:cs="方正仿宋_GBK"/>
          <w:color w:val="auto"/>
          <w:sz w:val="30"/>
          <w:szCs w:val="30"/>
          <w:lang w:val="en-US" w:eastAsia="zh-CN"/>
        </w:rPr>
        <w:t>参赛人数不符合规定</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（3）</w:t>
      </w:r>
      <w:r>
        <w:rPr>
          <w:rFonts w:hint="default" w:ascii="方正仿宋_GBK" w:hAnsi="方正仿宋_GBK" w:eastAsia="方正仿宋_GBK" w:cs="方正仿宋_GBK"/>
          <w:color w:val="auto"/>
          <w:sz w:val="30"/>
          <w:szCs w:val="30"/>
          <w:lang w:val="en-US" w:eastAsia="zh-CN"/>
        </w:rPr>
        <w:t>成套时间不足或超时</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（4）</w:t>
      </w:r>
      <w:r>
        <w:rPr>
          <w:rFonts w:hint="default" w:ascii="方正仿宋_GBK" w:hAnsi="方正仿宋_GBK" w:eastAsia="方正仿宋_GBK" w:cs="方正仿宋_GBK"/>
          <w:color w:val="auto"/>
          <w:sz w:val="30"/>
          <w:szCs w:val="30"/>
          <w:lang w:val="en-US" w:eastAsia="zh-CN"/>
        </w:rPr>
        <w:t>服饰与造型(包括服装、发型、纹身、道具等)不符合规定</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（5）</w:t>
      </w:r>
      <w:r>
        <w:rPr>
          <w:rFonts w:hint="default" w:ascii="方正仿宋_GBK" w:hAnsi="方正仿宋_GBK" w:eastAsia="方正仿宋_GBK" w:cs="方正仿宋_GBK"/>
          <w:color w:val="auto"/>
          <w:sz w:val="30"/>
          <w:szCs w:val="30"/>
          <w:lang w:val="en-US" w:eastAsia="zh-CN"/>
        </w:rPr>
        <w:t>比赛时掉物或装束散落</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（6）</w:t>
      </w:r>
      <w:r>
        <w:rPr>
          <w:rFonts w:hint="default" w:ascii="方正仿宋_GBK" w:hAnsi="方正仿宋_GBK" w:eastAsia="方正仿宋_GBK" w:cs="方正仿宋_GBK"/>
          <w:color w:val="auto"/>
          <w:sz w:val="30"/>
          <w:szCs w:val="30"/>
          <w:lang w:val="en-US" w:eastAsia="zh-CN"/>
        </w:rPr>
        <w:t>比赛时出现不健康、不文明的举止、手势或音乐中有不恰当的言语</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（7）</w:t>
      </w:r>
      <w:r>
        <w:rPr>
          <w:rFonts w:hint="default" w:ascii="方正仿宋_GBK" w:hAnsi="方正仿宋_GBK" w:eastAsia="方正仿宋_GBK" w:cs="方正仿宋_GBK"/>
          <w:color w:val="auto"/>
          <w:sz w:val="30"/>
          <w:szCs w:val="30"/>
          <w:lang w:val="en-US" w:eastAsia="zh-CN"/>
        </w:rPr>
        <w:t>无示意出场或过多动作前准备10秒内未开始动作</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ascii="方正仿宋_GBK" w:hAnsi="方正仿宋_GBK" w:eastAsia="方正仿宋_GBK" w:cs="方正仿宋_GBK"/>
          <w:color w:val="auto"/>
          <w:sz w:val="30"/>
          <w:szCs w:val="30"/>
          <w:lang w:val="en-US" w:eastAsia="zh-CN"/>
        </w:rPr>
      </w:pPr>
      <w:r>
        <w:rPr>
          <w:rFonts w:hint="eastAsia" w:ascii="方正仿宋_GBK" w:hAnsi="方正仿宋_GBK" w:eastAsia="方正仿宋_GBK" w:cs="方正仿宋_GBK"/>
          <w:color w:val="auto"/>
          <w:sz w:val="30"/>
          <w:szCs w:val="30"/>
          <w:lang w:val="en-US" w:eastAsia="zh-CN"/>
        </w:rPr>
        <w:t>（8）</w:t>
      </w:r>
      <w:r>
        <w:rPr>
          <w:rFonts w:hint="default" w:ascii="方正仿宋_GBK" w:hAnsi="方正仿宋_GBK" w:eastAsia="方正仿宋_GBK" w:cs="方正仿宋_GBK"/>
          <w:color w:val="auto"/>
          <w:sz w:val="30"/>
          <w:szCs w:val="30"/>
          <w:lang w:val="en-US" w:eastAsia="zh-CN"/>
        </w:rPr>
        <w:t>失足</w:t>
      </w:r>
      <w:r>
        <w:rPr>
          <w:rFonts w:hint="eastAsia" w:ascii="方正仿宋_GBK" w:hAnsi="方正仿宋_GBK" w:eastAsia="方正仿宋_GBK" w:cs="方正仿宋_GBK"/>
          <w:color w:val="auto"/>
          <w:sz w:val="30"/>
          <w:szCs w:val="30"/>
          <w:lang w:val="en-US" w:eastAsia="zh-CN"/>
        </w:rPr>
        <w:t>绊倒</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default"/>
          <w:color w:val="auto"/>
          <w:sz w:val="30"/>
          <w:szCs w:val="30"/>
          <w:lang w:val="en-US" w:eastAsia="zh-CN"/>
        </w:rPr>
        <w:sectPr>
          <w:pgSz w:w="16838" w:h="11906" w:orient="landscape"/>
          <w:pgMar w:top="1800" w:right="1440" w:bottom="1800" w:left="1440" w:header="851" w:footer="992" w:gutter="0"/>
          <w:cols w:space="425" w:num="1"/>
          <w:docGrid w:type="lines" w:linePitch="312" w:charSpace="0"/>
        </w:sectPr>
      </w:pPr>
      <w:r>
        <w:rPr>
          <w:rFonts w:hint="eastAsia" w:ascii="方正仿宋_GBK" w:hAnsi="方正仿宋_GBK" w:eastAsia="方正仿宋_GBK" w:cs="方正仿宋_GBK"/>
          <w:color w:val="auto"/>
          <w:sz w:val="30"/>
          <w:szCs w:val="30"/>
          <w:lang w:val="en-US" w:eastAsia="zh-CN"/>
        </w:rPr>
        <w:t>（9）作品</w:t>
      </w:r>
      <w:r>
        <w:rPr>
          <w:rFonts w:hint="default" w:ascii="方正仿宋_GBK" w:hAnsi="方正仿宋_GBK" w:eastAsia="方正仿宋_GBK" w:cs="方正仿宋_GBK"/>
          <w:color w:val="auto"/>
          <w:sz w:val="30"/>
          <w:szCs w:val="30"/>
          <w:lang w:val="en-US" w:eastAsia="zh-CN"/>
        </w:rPr>
        <w:t>中出现毫无把握、力所不能及的高危动作，如空翻、各类倒立、抛接托举、头转等</w:t>
      </w:r>
      <w:r>
        <w:rPr>
          <w:rFonts w:hint="default" w:ascii="方正仿宋_GBK" w:hAnsi="方正仿宋_GBK" w:eastAsia="方正仿宋_GBK" w:cs="方正仿宋_GBK"/>
          <w:color w:val="auto"/>
          <w:sz w:val="30"/>
          <w:szCs w:val="30"/>
          <w:lang w:val="en-US" w:eastAsia="zh-CN"/>
        </w:rPr>
        <w:br w:type="textWrapping"/>
      </w:r>
    </w:p>
    <w:p>
      <w:pPr>
        <w:keepNext w:val="0"/>
        <w:keepLines w:val="0"/>
        <w:pageBreakBefore w:val="0"/>
        <w:widowControl w:val="0"/>
        <w:kinsoku/>
        <w:wordWrap/>
        <w:overflowPunct/>
        <w:topLinePunct w:val="0"/>
        <w:bidi w:val="0"/>
        <w:adjustRightInd/>
        <w:snapToGrid/>
        <w:spacing w:line="600" w:lineRule="exact"/>
        <w:ind w:firstLine="588" w:firstLineChars="200"/>
        <w:textAlignment w:val="auto"/>
        <w:rPr>
          <w:rFonts w:hint="default" w:ascii="黑体" w:hAnsi="黑体" w:eastAsia="黑体" w:cs="黑体"/>
          <w:b w:val="0"/>
          <w:bCs w:val="0"/>
          <w:color w:val="auto"/>
          <w:spacing w:val="-3"/>
          <w:kern w:val="0"/>
          <w:sz w:val="30"/>
          <w:szCs w:val="30"/>
          <w:lang w:val="en-US" w:eastAsia="zh-CN" w:bidi="zh-CN"/>
        </w:rPr>
      </w:pPr>
      <w:r>
        <w:rPr>
          <w:rFonts w:hint="eastAsia" w:ascii="黑体" w:hAnsi="黑体" w:eastAsia="黑体" w:cs="黑体"/>
          <w:b w:val="0"/>
          <w:bCs w:val="0"/>
          <w:color w:val="auto"/>
          <w:spacing w:val="-3"/>
          <w:kern w:val="0"/>
          <w:sz w:val="30"/>
          <w:szCs w:val="30"/>
          <w:lang w:val="en-US" w:eastAsia="zh-CN" w:bidi="zh-CN"/>
        </w:rPr>
        <w:t>三.中国舞比赛</w:t>
      </w:r>
      <w:r>
        <w:rPr>
          <w:rFonts w:hint="eastAsia" w:ascii="黑体" w:hAnsi="黑体" w:eastAsia="黑体" w:cs="黑体"/>
          <w:b w:val="0"/>
          <w:bCs w:val="0"/>
          <w:color w:val="auto"/>
          <w:spacing w:val="-3"/>
          <w:kern w:val="0"/>
          <w:sz w:val="30"/>
          <w:szCs w:val="30"/>
          <w:lang w:val="zh-CN" w:eastAsia="zh-CN" w:bidi="zh-CN"/>
        </w:rPr>
        <w:t>评分表</w:t>
      </w:r>
      <w:r>
        <w:rPr>
          <w:rFonts w:hint="eastAsia" w:ascii="黑体" w:hAnsi="黑体" w:eastAsia="黑体" w:cs="黑体"/>
          <w:b w:val="0"/>
          <w:bCs w:val="0"/>
          <w:color w:val="auto"/>
          <w:spacing w:val="-3"/>
          <w:kern w:val="0"/>
          <w:sz w:val="30"/>
          <w:szCs w:val="30"/>
          <w:lang w:val="en-US" w:eastAsia="zh-CN" w:bidi="zh-CN"/>
        </w:rPr>
        <w:t>及评分细则</w:t>
      </w:r>
    </w:p>
    <w:tbl>
      <w:tblPr>
        <w:tblStyle w:val="11"/>
        <w:tblW w:w="4683" w:type="pct"/>
        <w:tblInd w:w="89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079"/>
        <w:gridCol w:w="9260"/>
        <w:gridCol w:w="193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783" w:type="pct"/>
            <w:tcBorders>
              <w:top w:val="single" w:color="000000" w:sz="8" w:space="0"/>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方正黑体_GBK" w:hAnsi="方正黑体_GBK" w:eastAsia="方正黑体_GBK" w:cs="方正黑体_GBK"/>
                <w:b w:val="0"/>
                <w:bCs w:val="0"/>
                <w:i w:val="0"/>
                <w:iCs w:val="0"/>
                <w:color w:val="auto"/>
                <w:sz w:val="24"/>
                <w:szCs w:val="24"/>
                <w:u w:val="none"/>
              </w:rPr>
            </w:pPr>
            <w:r>
              <w:rPr>
                <w:rFonts w:hint="eastAsia" w:ascii="方正黑体_GBK" w:hAnsi="方正黑体_GBK" w:eastAsia="方正黑体_GBK" w:cs="方正黑体_GBK"/>
                <w:b w:val="0"/>
                <w:bCs w:val="0"/>
                <w:i w:val="0"/>
                <w:iCs w:val="0"/>
                <w:color w:val="auto"/>
                <w:kern w:val="0"/>
                <w:sz w:val="24"/>
                <w:szCs w:val="24"/>
                <w:u w:val="none"/>
                <w:lang w:val="en-US" w:eastAsia="zh-CN" w:bidi="ar"/>
              </w:rPr>
              <w:t>评分内容</w:t>
            </w:r>
          </w:p>
        </w:tc>
        <w:tc>
          <w:tcPr>
            <w:tcW w:w="3487" w:type="pct"/>
            <w:tcBorders>
              <w:top w:val="single" w:color="000000" w:sz="8" w:space="0"/>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方正黑体_GBK" w:hAnsi="方正黑体_GBK" w:eastAsia="方正黑体_GBK" w:cs="方正黑体_GBK"/>
                <w:b w:val="0"/>
                <w:bCs w:val="0"/>
                <w:i w:val="0"/>
                <w:iCs w:val="0"/>
                <w:color w:val="auto"/>
                <w:sz w:val="24"/>
                <w:szCs w:val="24"/>
                <w:u w:val="none"/>
              </w:rPr>
            </w:pPr>
            <w:r>
              <w:rPr>
                <w:rFonts w:hint="eastAsia" w:ascii="方正黑体_GBK" w:hAnsi="方正黑体_GBK" w:eastAsia="方正黑体_GBK" w:cs="方正黑体_GBK"/>
                <w:b w:val="0"/>
                <w:bCs w:val="0"/>
                <w:i w:val="0"/>
                <w:iCs w:val="0"/>
                <w:color w:val="auto"/>
                <w:kern w:val="0"/>
                <w:sz w:val="24"/>
                <w:szCs w:val="24"/>
                <w:u w:val="none"/>
                <w:lang w:val="en-US" w:eastAsia="zh-CN" w:bidi="ar"/>
              </w:rPr>
              <w:t>评分标准</w:t>
            </w:r>
          </w:p>
        </w:tc>
        <w:tc>
          <w:tcPr>
            <w:tcW w:w="729" w:type="pct"/>
            <w:tcBorders>
              <w:top w:val="single" w:color="000000" w:sz="8" w:space="0"/>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方正黑体_GBK" w:hAnsi="方正黑体_GBK" w:eastAsia="方正黑体_GBK" w:cs="方正黑体_GBK"/>
                <w:b w:val="0"/>
                <w:bCs w:val="0"/>
                <w:i w:val="0"/>
                <w:iCs w:val="0"/>
                <w:color w:val="auto"/>
                <w:sz w:val="24"/>
                <w:szCs w:val="24"/>
                <w:u w:val="none"/>
              </w:rPr>
            </w:pPr>
            <w:r>
              <w:rPr>
                <w:rFonts w:hint="eastAsia" w:ascii="方正黑体_GBK" w:hAnsi="方正黑体_GBK" w:eastAsia="方正黑体_GBK" w:cs="方正黑体_GBK"/>
                <w:b w:val="0"/>
                <w:bCs w:val="0"/>
                <w:i w:val="0"/>
                <w:iCs w:val="0"/>
                <w:color w:val="auto"/>
                <w:kern w:val="0"/>
                <w:sz w:val="24"/>
                <w:szCs w:val="24"/>
                <w:u w:val="none"/>
                <w:lang w:val="en-US" w:eastAsia="zh-CN" w:bidi="ar"/>
              </w:rPr>
              <w:t>分值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0" w:hRule="atLeast"/>
        </w:trPr>
        <w:tc>
          <w:tcPr>
            <w:tcW w:w="783"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主题内容</w:t>
            </w:r>
          </w:p>
        </w:tc>
        <w:tc>
          <w:tcPr>
            <w:tcW w:w="3487" w:type="pct"/>
            <w:tcBorders>
              <w:top w:val="nil"/>
              <w:left w:val="nil"/>
              <w:bottom w:val="single" w:color="000000" w:sz="8"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作品内容符合指定音乐，突出“中国传统文化”主题，健康向上，思想性强，格调高雅。</w:t>
            </w:r>
          </w:p>
        </w:tc>
        <w:tc>
          <w:tcPr>
            <w:tcW w:w="729" w:type="pct"/>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6" w:hRule="atLeast"/>
        </w:trPr>
        <w:tc>
          <w:tcPr>
            <w:tcW w:w="783"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表现力</w:t>
            </w:r>
          </w:p>
        </w:tc>
        <w:tc>
          <w:tcPr>
            <w:tcW w:w="3487" w:type="pct"/>
            <w:tcBorders>
              <w:top w:val="nil"/>
              <w:left w:val="nil"/>
              <w:bottom w:val="single" w:color="000000" w:sz="8"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感情真挚饱满，富有韵味和感染力，表现力和观赏性强。</w:t>
            </w:r>
          </w:p>
        </w:tc>
        <w:tc>
          <w:tcPr>
            <w:tcW w:w="729" w:type="pct"/>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3" w:hRule="atLeast"/>
        </w:trPr>
        <w:tc>
          <w:tcPr>
            <w:tcW w:w="783"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空间调度</w:t>
            </w:r>
          </w:p>
        </w:tc>
        <w:tc>
          <w:tcPr>
            <w:tcW w:w="3487" w:type="pct"/>
            <w:tcBorders>
              <w:top w:val="nil"/>
              <w:left w:val="nil"/>
              <w:bottom w:val="single" w:color="000000" w:sz="8"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整个剧目合理运用比赛场地，有效利用三维空间的变化，队形设计新颖合理变化清晰、流畅，体现团队配合意识。</w:t>
            </w:r>
          </w:p>
        </w:tc>
        <w:tc>
          <w:tcPr>
            <w:tcW w:w="729" w:type="pct"/>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2" w:hRule="atLeast"/>
        </w:trPr>
        <w:tc>
          <w:tcPr>
            <w:tcW w:w="783"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原创性</w:t>
            </w:r>
          </w:p>
        </w:tc>
        <w:tc>
          <w:tcPr>
            <w:tcW w:w="3487" w:type="pct"/>
            <w:tcBorders>
              <w:top w:val="nil"/>
              <w:left w:val="nil"/>
              <w:bottom w:val="single" w:color="000000" w:sz="8"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整个剧目围绕主题音乐进行动作创编，鼓励原创，动作内容新颖、多样，连接自然流畅，表现出艺术性和表演性。</w:t>
            </w:r>
          </w:p>
        </w:tc>
        <w:tc>
          <w:tcPr>
            <w:tcW w:w="729" w:type="pct"/>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7" w:hRule="atLeast"/>
        </w:trPr>
        <w:tc>
          <w:tcPr>
            <w:tcW w:w="783"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动作技巧</w:t>
            </w:r>
          </w:p>
        </w:tc>
        <w:tc>
          <w:tcPr>
            <w:tcW w:w="3487" w:type="pct"/>
            <w:tcBorders>
              <w:top w:val="nil"/>
              <w:left w:val="nil"/>
              <w:bottom w:val="single" w:color="000000" w:sz="8"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舞蹈动作与技巧表达合理，能正确反映作品的内涵。</w:t>
            </w:r>
          </w:p>
        </w:tc>
        <w:tc>
          <w:tcPr>
            <w:tcW w:w="729" w:type="pct"/>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1</w:t>
            </w:r>
          </w:p>
        </w:tc>
      </w:tr>
    </w:tbl>
    <w:p>
      <w:pPr>
        <w:keepNext w:val="0"/>
        <w:keepLines w:val="0"/>
        <w:pageBreakBefore w:val="0"/>
        <w:widowControl w:val="0"/>
        <w:kinsoku/>
        <w:wordWrap/>
        <w:overflowPunct/>
        <w:topLinePunct w:val="0"/>
        <w:bidi w:val="0"/>
        <w:adjustRightInd/>
        <w:snapToGrid/>
        <w:spacing w:line="600" w:lineRule="exact"/>
        <w:textAlignment w:val="auto"/>
        <w:rPr>
          <w:rFonts w:hint="eastAsia" w:ascii="黑体" w:hAnsi="黑体" w:eastAsia="黑体" w:cs="黑体"/>
          <w:b w:val="0"/>
          <w:bCs w:val="0"/>
          <w:color w:val="auto"/>
          <w:spacing w:val="-3"/>
          <w:kern w:val="0"/>
          <w:sz w:val="30"/>
          <w:szCs w:val="30"/>
          <w:lang w:val="en-US" w:eastAsia="zh-CN" w:bidi="zh-CN"/>
        </w:rPr>
      </w:pPr>
    </w:p>
    <w:p>
      <w:pPr>
        <w:keepNext w:val="0"/>
        <w:keepLines w:val="0"/>
        <w:pageBreakBefore w:val="0"/>
        <w:widowControl w:val="0"/>
        <w:kinsoku/>
        <w:wordWrap/>
        <w:overflowPunct/>
        <w:topLinePunct w:val="0"/>
        <w:bidi w:val="0"/>
        <w:adjustRightInd/>
        <w:snapToGrid/>
        <w:spacing w:line="600" w:lineRule="exact"/>
        <w:textAlignment w:val="auto"/>
        <w:rPr>
          <w:rFonts w:hint="eastAsia" w:ascii="黑体" w:hAnsi="黑体" w:eastAsia="黑体" w:cs="黑体"/>
          <w:b w:val="0"/>
          <w:bCs w:val="0"/>
          <w:color w:val="auto"/>
          <w:spacing w:val="-3"/>
          <w:kern w:val="0"/>
          <w:sz w:val="30"/>
          <w:szCs w:val="30"/>
          <w:lang w:val="en-US" w:eastAsia="zh-CN" w:bidi="zh-CN"/>
        </w:rPr>
      </w:pPr>
    </w:p>
    <w:p>
      <w:pPr>
        <w:keepNext w:val="0"/>
        <w:keepLines w:val="0"/>
        <w:pageBreakBefore w:val="0"/>
        <w:widowControl w:val="0"/>
        <w:kinsoku/>
        <w:wordWrap/>
        <w:overflowPunct/>
        <w:topLinePunct w:val="0"/>
        <w:bidi w:val="0"/>
        <w:adjustRightInd/>
        <w:snapToGrid/>
        <w:spacing w:line="600" w:lineRule="exact"/>
        <w:textAlignment w:val="auto"/>
        <w:rPr>
          <w:rFonts w:hint="eastAsia" w:ascii="黑体" w:hAnsi="黑体" w:eastAsia="黑体" w:cs="黑体"/>
          <w:b w:val="0"/>
          <w:bCs w:val="0"/>
          <w:color w:val="auto"/>
          <w:spacing w:val="-3"/>
          <w:kern w:val="0"/>
          <w:sz w:val="30"/>
          <w:szCs w:val="30"/>
          <w:lang w:val="en-US" w:eastAsia="zh-CN" w:bidi="zh-CN"/>
        </w:rPr>
      </w:pPr>
    </w:p>
    <w:p>
      <w:pPr>
        <w:keepNext w:val="0"/>
        <w:keepLines w:val="0"/>
        <w:pageBreakBefore w:val="0"/>
        <w:widowControl w:val="0"/>
        <w:kinsoku/>
        <w:wordWrap/>
        <w:overflowPunct/>
        <w:topLinePunct w:val="0"/>
        <w:bidi w:val="0"/>
        <w:adjustRightInd/>
        <w:snapToGrid/>
        <w:spacing w:line="600" w:lineRule="exact"/>
        <w:textAlignment w:val="auto"/>
        <w:rPr>
          <w:rFonts w:hint="eastAsia" w:ascii="黑体" w:hAnsi="黑体" w:eastAsia="黑体" w:cs="黑体"/>
          <w:b w:val="0"/>
          <w:bCs w:val="0"/>
          <w:color w:val="auto"/>
          <w:spacing w:val="-3"/>
          <w:kern w:val="0"/>
          <w:sz w:val="30"/>
          <w:szCs w:val="30"/>
          <w:lang w:val="en-US" w:eastAsia="zh-CN" w:bidi="zh-CN"/>
        </w:rPr>
      </w:pPr>
    </w:p>
    <w:p>
      <w:pPr>
        <w:keepNext w:val="0"/>
        <w:keepLines w:val="0"/>
        <w:pageBreakBefore w:val="0"/>
        <w:widowControl w:val="0"/>
        <w:kinsoku/>
        <w:wordWrap/>
        <w:overflowPunct/>
        <w:topLinePunct w:val="0"/>
        <w:bidi w:val="0"/>
        <w:adjustRightInd/>
        <w:snapToGrid/>
        <w:spacing w:line="600" w:lineRule="exact"/>
        <w:ind w:firstLine="588" w:firstLineChars="200"/>
        <w:textAlignment w:val="auto"/>
        <w:rPr>
          <w:rFonts w:hint="default" w:ascii="黑体" w:hAnsi="黑体" w:eastAsia="黑体" w:cs="黑体"/>
          <w:b w:val="0"/>
          <w:bCs w:val="0"/>
          <w:color w:val="auto"/>
          <w:spacing w:val="-3"/>
          <w:kern w:val="0"/>
          <w:sz w:val="30"/>
          <w:szCs w:val="30"/>
          <w:lang w:val="en-US" w:eastAsia="zh-CN" w:bidi="zh-CN"/>
        </w:rPr>
      </w:pPr>
      <w:r>
        <w:rPr>
          <w:rFonts w:hint="eastAsia" w:ascii="黑体" w:hAnsi="黑体" w:eastAsia="黑体" w:cs="黑体"/>
          <w:b w:val="0"/>
          <w:bCs w:val="0"/>
          <w:color w:val="auto"/>
          <w:spacing w:val="-3"/>
          <w:kern w:val="0"/>
          <w:sz w:val="30"/>
          <w:szCs w:val="30"/>
          <w:lang w:val="en-US" w:eastAsia="zh-CN" w:bidi="zh-CN"/>
        </w:rPr>
        <w:t>四.国际标准舞比赛</w:t>
      </w:r>
      <w:r>
        <w:rPr>
          <w:rFonts w:hint="eastAsia" w:ascii="黑体" w:hAnsi="黑体" w:eastAsia="黑体" w:cs="黑体"/>
          <w:b w:val="0"/>
          <w:bCs w:val="0"/>
          <w:color w:val="auto"/>
          <w:spacing w:val="-3"/>
          <w:kern w:val="0"/>
          <w:sz w:val="30"/>
          <w:szCs w:val="30"/>
          <w:lang w:val="zh-CN" w:eastAsia="zh-CN" w:bidi="zh-CN"/>
        </w:rPr>
        <w:t>评分表</w:t>
      </w:r>
      <w:r>
        <w:rPr>
          <w:rFonts w:hint="eastAsia" w:ascii="黑体" w:hAnsi="黑体" w:eastAsia="黑体" w:cs="黑体"/>
          <w:b w:val="0"/>
          <w:bCs w:val="0"/>
          <w:color w:val="auto"/>
          <w:spacing w:val="-3"/>
          <w:kern w:val="0"/>
          <w:sz w:val="30"/>
          <w:szCs w:val="30"/>
          <w:lang w:val="en-US" w:eastAsia="zh-CN" w:bidi="zh-CN"/>
        </w:rPr>
        <w:t>及评分细则</w:t>
      </w:r>
    </w:p>
    <w:tbl>
      <w:tblPr>
        <w:tblStyle w:val="11"/>
        <w:tblW w:w="4746" w:type="pct"/>
        <w:tblInd w:w="71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261"/>
        <w:gridCol w:w="9258"/>
        <w:gridCol w:w="19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840" w:type="pct"/>
            <w:tcBorders>
              <w:top w:val="single" w:color="000000" w:sz="8" w:space="0"/>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方正黑体_GBK" w:hAnsi="方正黑体_GBK" w:eastAsia="方正黑体_GBK" w:cs="方正黑体_GBK"/>
                <w:b w:val="0"/>
                <w:bCs w:val="0"/>
                <w:i w:val="0"/>
                <w:iCs w:val="0"/>
                <w:color w:val="auto"/>
                <w:sz w:val="24"/>
                <w:szCs w:val="24"/>
                <w:u w:val="none"/>
              </w:rPr>
            </w:pPr>
            <w:r>
              <w:rPr>
                <w:rFonts w:hint="eastAsia" w:ascii="方正黑体_GBK" w:hAnsi="方正黑体_GBK" w:eastAsia="方正黑体_GBK" w:cs="方正黑体_GBK"/>
                <w:b w:val="0"/>
                <w:bCs w:val="0"/>
                <w:i w:val="0"/>
                <w:iCs w:val="0"/>
                <w:color w:val="auto"/>
                <w:kern w:val="0"/>
                <w:sz w:val="24"/>
                <w:szCs w:val="24"/>
                <w:u w:val="none"/>
                <w:lang w:val="en-US" w:eastAsia="zh-CN" w:bidi="ar"/>
              </w:rPr>
              <w:t>评分内容</w:t>
            </w:r>
          </w:p>
        </w:tc>
        <w:tc>
          <w:tcPr>
            <w:tcW w:w="3440" w:type="pct"/>
            <w:tcBorders>
              <w:top w:val="single" w:color="000000" w:sz="8" w:space="0"/>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方正黑体_GBK" w:hAnsi="方正黑体_GBK" w:eastAsia="方正黑体_GBK" w:cs="方正黑体_GBK"/>
                <w:b w:val="0"/>
                <w:bCs w:val="0"/>
                <w:i w:val="0"/>
                <w:iCs w:val="0"/>
                <w:color w:val="auto"/>
                <w:sz w:val="24"/>
                <w:szCs w:val="24"/>
                <w:u w:val="none"/>
              </w:rPr>
            </w:pPr>
            <w:r>
              <w:rPr>
                <w:rFonts w:hint="eastAsia" w:ascii="方正黑体_GBK" w:hAnsi="方正黑体_GBK" w:eastAsia="方正黑体_GBK" w:cs="方正黑体_GBK"/>
                <w:b w:val="0"/>
                <w:bCs w:val="0"/>
                <w:i w:val="0"/>
                <w:iCs w:val="0"/>
                <w:color w:val="auto"/>
                <w:kern w:val="0"/>
                <w:sz w:val="24"/>
                <w:szCs w:val="24"/>
                <w:u w:val="none"/>
                <w:lang w:val="en-US" w:eastAsia="zh-CN" w:bidi="ar"/>
              </w:rPr>
              <w:t>评分标准</w:t>
            </w:r>
          </w:p>
        </w:tc>
        <w:tc>
          <w:tcPr>
            <w:tcW w:w="719" w:type="pct"/>
            <w:tcBorders>
              <w:top w:val="single" w:color="000000" w:sz="8" w:space="0"/>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方正黑体_GBK" w:hAnsi="方正黑体_GBK" w:eastAsia="方正黑体_GBK" w:cs="方正黑体_GBK"/>
                <w:b w:val="0"/>
                <w:bCs w:val="0"/>
                <w:i w:val="0"/>
                <w:iCs w:val="0"/>
                <w:color w:val="auto"/>
                <w:sz w:val="24"/>
                <w:szCs w:val="24"/>
                <w:u w:val="none"/>
              </w:rPr>
            </w:pPr>
            <w:r>
              <w:rPr>
                <w:rFonts w:hint="eastAsia" w:ascii="方正黑体_GBK" w:hAnsi="方正黑体_GBK" w:eastAsia="方正黑体_GBK" w:cs="方正黑体_GBK"/>
                <w:b w:val="0"/>
                <w:bCs w:val="0"/>
                <w:i w:val="0"/>
                <w:iCs w:val="0"/>
                <w:color w:val="auto"/>
                <w:kern w:val="0"/>
                <w:sz w:val="24"/>
                <w:szCs w:val="24"/>
                <w:u w:val="none"/>
                <w:lang w:val="en-US" w:eastAsia="zh-CN" w:bidi="ar"/>
              </w:rPr>
              <w:t>分值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0" w:hRule="atLeast"/>
        </w:trPr>
        <w:tc>
          <w:tcPr>
            <w:tcW w:w="840"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主题内容</w:t>
            </w:r>
          </w:p>
        </w:tc>
        <w:tc>
          <w:tcPr>
            <w:tcW w:w="3440" w:type="pct"/>
            <w:tcBorders>
              <w:top w:val="nil"/>
              <w:left w:val="nil"/>
              <w:bottom w:val="single" w:color="000000" w:sz="8"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作品内容符合指定音乐，体现出体育舞蹈热情奔放、健康向上的特点，思想性强，格调高雅。</w:t>
            </w:r>
          </w:p>
        </w:tc>
        <w:tc>
          <w:tcPr>
            <w:tcW w:w="719" w:type="pct"/>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6" w:hRule="atLeast"/>
        </w:trPr>
        <w:tc>
          <w:tcPr>
            <w:tcW w:w="840"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表现力</w:t>
            </w:r>
          </w:p>
        </w:tc>
        <w:tc>
          <w:tcPr>
            <w:tcW w:w="3440" w:type="pct"/>
            <w:tcBorders>
              <w:top w:val="nil"/>
              <w:left w:val="nil"/>
              <w:bottom w:val="single" w:color="000000" w:sz="8"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情绪饱满、感情真挚，富有韵味和感染力，表现力和观赏性强。</w:t>
            </w:r>
          </w:p>
        </w:tc>
        <w:tc>
          <w:tcPr>
            <w:tcW w:w="719" w:type="pct"/>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3" w:hRule="atLeast"/>
        </w:trPr>
        <w:tc>
          <w:tcPr>
            <w:tcW w:w="840"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空间调度</w:t>
            </w:r>
          </w:p>
        </w:tc>
        <w:tc>
          <w:tcPr>
            <w:tcW w:w="3440" w:type="pct"/>
            <w:tcBorders>
              <w:top w:val="nil"/>
              <w:left w:val="nil"/>
              <w:bottom w:val="single" w:color="000000" w:sz="8"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整个舞蹈编排合理运用比赛场地，有效利用三维空间的变化，队形设计新颖合理变化清晰、流畅，体现团队配合意识。</w:t>
            </w:r>
          </w:p>
        </w:tc>
        <w:tc>
          <w:tcPr>
            <w:tcW w:w="719" w:type="pct"/>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2" w:hRule="atLeast"/>
        </w:trPr>
        <w:tc>
          <w:tcPr>
            <w:tcW w:w="840"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原创性</w:t>
            </w:r>
          </w:p>
        </w:tc>
        <w:tc>
          <w:tcPr>
            <w:tcW w:w="3440" w:type="pct"/>
            <w:tcBorders>
              <w:top w:val="nil"/>
              <w:left w:val="nil"/>
              <w:bottom w:val="single" w:color="000000" w:sz="8"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整个剧目围绕主题音乐进行动作创编，鼓励原创，动作内容新颖、多样，连接自然流畅，表现出艺术性和表演性。</w:t>
            </w:r>
          </w:p>
        </w:tc>
        <w:tc>
          <w:tcPr>
            <w:tcW w:w="719" w:type="pct"/>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7" w:hRule="atLeast"/>
        </w:trPr>
        <w:tc>
          <w:tcPr>
            <w:tcW w:w="840"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动作技巧</w:t>
            </w:r>
          </w:p>
        </w:tc>
        <w:tc>
          <w:tcPr>
            <w:tcW w:w="3440" w:type="pct"/>
            <w:tcBorders>
              <w:top w:val="nil"/>
              <w:left w:val="nil"/>
              <w:bottom w:val="single" w:color="000000" w:sz="8"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舞蹈动作与技巧表达合理，能体现出体育舞蹈的技术特点。</w:t>
            </w:r>
          </w:p>
        </w:tc>
        <w:tc>
          <w:tcPr>
            <w:tcW w:w="719" w:type="pct"/>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4"/>
                <w:szCs w:val="24"/>
                <w:u w:val="none"/>
              </w:rPr>
            </w:pPr>
            <w:r>
              <w:rPr>
                <w:rFonts w:hint="eastAsia" w:ascii="方正仿宋_GBK" w:hAnsi="方正仿宋_GBK" w:eastAsia="方正仿宋_GBK" w:cs="方正仿宋_GBK"/>
                <w:i w:val="0"/>
                <w:iCs w:val="0"/>
                <w:color w:val="auto"/>
                <w:kern w:val="0"/>
                <w:sz w:val="24"/>
                <w:szCs w:val="24"/>
                <w:u w:val="none"/>
                <w:lang w:val="en-US" w:eastAsia="zh-CN" w:bidi="ar"/>
              </w:rPr>
              <w:t>1</w:t>
            </w:r>
          </w:p>
        </w:tc>
      </w:tr>
    </w:tbl>
    <w:p>
      <w:pPr>
        <w:keepNext w:val="0"/>
        <w:keepLines w:val="0"/>
        <w:widowControl/>
        <w:numPr>
          <w:ilvl w:val="0"/>
          <w:numId w:val="0"/>
        </w:numPr>
        <w:suppressLineNumbers w:val="0"/>
        <w:ind w:firstLine="588" w:firstLineChars="200"/>
        <w:jc w:val="left"/>
        <w:rPr>
          <w:rFonts w:hint="eastAsia" w:ascii="黑体" w:hAnsi="黑体" w:eastAsia="黑体" w:cs="黑体"/>
          <w:b w:val="0"/>
          <w:bCs w:val="0"/>
          <w:color w:val="auto"/>
          <w:spacing w:val="-3"/>
          <w:kern w:val="0"/>
          <w:sz w:val="30"/>
          <w:szCs w:val="30"/>
          <w:lang w:val="en-US" w:eastAsia="zh-CN" w:bidi="zh-CN"/>
        </w:rPr>
      </w:pPr>
      <w:r>
        <w:rPr>
          <w:rFonts w:hint="eastAsia" w:ascii="黑体" w:hAnsi="黑体" w:eastAsia="黑体" w:cs="黑体"/>
          <w:b w:val="0"/>
          <w:bCs w:val="0"/>
          <w:color w:val="auto"/>
          <w:spacing w:val="-3"/>
          <w:kern w:val="0"/>
          <w:sz w:val="30"/>
          <w:szCs w:val="30"/>
          <w:lang w:val="en-US" w:eastAsia="zh-CN" w:bidi="zh-CN"/>
        </w:rPr>
        <w:t>五.未规定事项。</w:t>
      </w:r>
    </w:p>
    <w:p>
      <w:pPr>
        <w:keepNext w:val="0"/>
        <w:keepLines w:val="0"/>
        <w:pageBreakBefore w:val="0"/>
        <w:widowControl w:val="0"/>
        <w:kinsoku/>
        <w:wordWrap/>
        <w:overflowPunct/>
        <w:topLinePunct w:val="0"/>
        <w:bidi w:val="0"/>
        <w:adjustRightInd/>
        <w:snapToGrid/>
        <w:spacing w:line="600" w:lineRule="exact"/>
        <w:ind w:firstLine="600" w:firstLineChars="200"/>
        <w:textAlignment w:val="auto"/>
        <w:rPr>
          <w:rFonts w:hint="eastAsia" w:ascii="方正仿宋_GBK" w:hAnsi="方正仿宋_GBK" w:eastAsia="方正仿宋_GBK" w:cs="方正仿宋_GBK"/>
          <w:color w:val="auto"/>
          <w:kern w:val="0"/>
          <w:sz w:val="30"/>
          <w:szCs w:val="30"/>
          <w:lang w:val="en-US" w:eastAsia="zh-CN" w:bidi="ar-SA"/>
        </w:rPr>
      </w:pPr>
      <w:r>
        <w:rPr>
          <w:rFonts w:hint="eastAsia" w:ascii="方正仿宋_GBK" w:hAnsi="方正仿宋_GBK" w:eastAsia="方正仿宋_GBK" w:cs="方正仿宋_GBK"/>
          <w:color w:val="auto"/>
          <w:sz w:val="30"/>
          <w:szCs w:val="30"/>
          <w:lang w:val="en-US" w:eastAsia="zh-CN"/>
        </w:rPr>
        <w:t>在比赛期间发生的相关问题，如果本次竞赛《通知》没有相关规定，则在赛项仲裁长主持下，由监督员、裁判组召集人、承办学校负责人、参赛队代表等共同研究，由赛项仲裁长最终确定，按照相关规定进行处理并留档。</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等线 Light">
    <w:altName w:val="汉仪中宋简"/>
    <w:panose1 w:val="02010600030101010101"/>
    <w:charset w:val="86"/>
    <w:family w:val="auto"/>
    <w:pitch w:val="default"/>
    <w:sig w:usb0="00000000" w:usb1="00000000"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OEEEEV+FZHTJW--GB1-0">
    <w:altName w:val="仿宋"/>
    <w:panose1 w:val="00000000000000000000"/>
    <w:charset w:val="86"/>
    <w:family w:val="swiss"/>
    <w:pitch w:val="default"/>
    <w:sig w:usb0="00000000" w:usb1="00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方正公文小标宋">
    <w:altName w:val="方正小标宋_GBK"/>
    <w:panose1 w:val="02000500000000000000"/>
    <w:charset w:val="86"/>
    <w:family w:val="auto"/>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楷体">
    <w:panose1 w:val="02010609060101010101"/>
    <w:charset w:val="86"/>
    <w:family w:val="auto"/>
    <w:pitch w:val="default"/>
    <w:sig w:usb0="800002BF" w:usb1="38CF7CFA" w:usb2="00000016" w:usb3="00000000" w:csb0="00040001" w:csb1="00000000"/>
  </w:font>
  <w:font w:name="汉仪中宋简">
    <w:panose1 w:val="02010600000101010101"/>
    <w:charset w:val="86"/>
    <w:family w:val="auto"/>
    <w:pitch w:val="default"/>
    <w:sig w:usb0="00000001" w:usb1="080E0800" w:usb2="00000002"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3</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U0ZTJlNzUzODhmZDQzNDgzNjQxMzUyYzA4ZjUzMGQifQ=="/>
  </w:docVars>
  <w:rsids>
    <w:rsidRoot w:val="71B408E4"/>
    <w:rsid w:val="000539E4"/>
    <w:rsid w:val="001C7FEB"/>
    <w:rsid w:val="002305EC"/>
    <w:rsid w:val="002F0D1E"/>
    <w:rsid w:val="00476242"/>
    <w:rsid w:val="00746EB6"/>
    <w:rsid w:val="007B27ED"/>
    <w:rsid w:val="008412B9"/>
    <w:rsid w:val="00923016"/>
    <w:rsid w:val="00945947"/>
    <w:rsid w:val="00956F61"/>
    <w:rsid w:val="00980BB7"/>
    <w:rsid w:val="00C05F2D"/>
    <w:rsid w:val="00EB7179"/>
    <w:rsid w:val="012375FA"/>
    <w:rsid w:val="01EF4956"/>
    <w:rsid w:val="02A276E1"/>
    <w:rsid w:val="03005A2F"/>
    <w:rsid w:val="03031491"/>
    <w:rsid w:val="04043713"/>
    <w:rsid w:val="04FF3EDA"/>
    <w:rsid w:val="0571302A"/>
    <w:rsid w:val="05B80C59"/>
    <w:rsid w:val="05D718D4"/>
    <w:rsid w:val="05F629B8"/>
    <w:rsid w:val="06C6014A"/>
    <w:rsid w:val="06FD61DE"/>
    <w:rsid w:val="071F0864"/>
    <w:rsid w:val="07862691"/>
    <w:rsid w:val="07CC69A4"/>
    <w:rsid w:val="08D4027C"/>
    <w:rsid w:val="094D790A"/>
    <w:rsid w:val="09F2489E"/>
    <w:rsid w:val="0B7F0865"/>
    <w:rsid w:val="0C6C454B"/>
    <w:rsid w:val="0D7B387C"/>
    <w:rsid w:val="0FC40715"/>
    <w:rsid w:val="0FFD5B91"/>
    <w:rsid w:val="103E279A"/>
    <w:rsid w:val="10C20BDE"/>
    <w:rsid w:val="11022891"/>
    <w:rsid w:val="123D6042"/>
    <w:rsid w:val="12483364"/>
    <w:rsid w:val="12E3308D"/>
    <w:rsid w:val="13737994"/>
    <w:rsid w:val="13AA4999"/>
    <w:rsid w:val="14ED71AA"/>
    <w:rsid w:val="1517701E"/>
    <w:rsid w:val="17CE7E68"/>
    <w:rsid w:val="17FB7D80"/>
    <w:rsid w:val="195E17BF"/>
    <w:rsid w:val="1A7B2E87"/>
    <w:rsid w:val="1B8B42C2"/>
    <w:rsid w:val="1BF11300"/>
    <w:rsid w:val="1C8E230A"/>
    <w:rsid w:val="1D681CCB"/>
    <w:rsid w:val="1EF02DBA"/>
    <w:rsid w:val="1F8B663F"/>
    <w:rsid w:val="1FBA4B30"/>
    <w:rsid w:val="1FEF48F2"/>
    <w:rsid w:val="203647FC"/>
    <w:rsid w:val="206550E2"/>
    <w:rsid w:val="20E424AA"/>
    <w:rsid w:val="21470C8B"/>
    <w:rsid w:val="21A810FD"/>
    <w:rsid w:val="21BE2BE8"/>
    <w:rsid w:val="21BF0821"/>
    <w:rsid w:val="220626FF"/>
    <w:rsid w:val="228467E3"/>
    <w:rsid w:val="22B0107C"/>
    <w:rsid w:val="23360FB7"/>
    <w:rsid w:val="234C2589"/>
    <w:rsid w:val="23ED25BA"/>
    <w:rsid w:val="246833F2"/>
    <w:rsid w:val="24B63416"/>
    <w:rsid w:val="24C73E65"/>
    <w:rsid w:val="24F24ED8"/>
    <w:rsid w:val="254479BB"/>
    <w:rsid w:val="254A2AF8"/>
    <w:rsid w:val="26054D70"/>
    <w:rsid w:val="26307F40"/>
    <w:rsid w:val="26AE548D"/>
    <w:rsid w:val="26E252B9"/>
    <w:rsid w:val="28A52672"/>
    <w:rsid w:val="28D70B46"/>
    <w:rsid w:val="295B3526"/>
    <w:rsid w:val="29915199"/>
    <w:rsid w:val="2A1F3B17"/>
    <w:rsid w:val="2A293624"/>
    <w:rsid w:val="2B542269"/>
    <w:rsid w:val="2C2C435B"/>
    <w:rsid w:val="2CBC42DB"/>
    <w:rsid w:val="2CF375BF"/>
    <w:rsid w:val="2D6C5D01"/>
    <w:rsid w:val="2DB8647D"/>
    <w:rsid w:val="2DE6266F"/>
    <w:rsid w:val="2DFD6962"/>
    <w:rsid w:val="2E025110"/>
    <w:rsid w:val="2EDE49DD"/>
    <w:rsid w:val="2F0A6D05"/>
    <w:rsid w:val="2F5E78CC"/>
    <w:rsid w:val="2F9E23BE"/>
    <w:rsid w:val="30197C97"/>
    <w:rsid w:val="30FB119E"/>
    <w:rsid w:val="319C60F2"/>
    <w:rsid w:val="328A6C2A"/>
    <w:rsid w:val="330859A4"/>
    <w:rsid w:val="334260FF"/>
    <w:rsid w:val="336E5337"/>
    <w:rsid w:val="33916868"/>
    <w:rsid w:val="33E76EC2"/>
    <w:rsid w:val="33EF143A"/>
    <w:rsid w:val="340D7B12"/>
    <w:rsid w:val="34956FF8"/>
    <w:rsid w:val="35115C13"/>
    <w:rsid w:val="354E2190"/>
    <w:rsid w:val="356B689E"/>
    <w:rsid w:val="35F5260C"/>
    <w:rsid w:val="35FC7E3E"/>
    <w:rsid w:val="36FE3C02"/>
    <w:rsid w:val="37310D12"/>
    <w:rsid w:val="37906A90"/>
    <w:rsid w:val="38B05AB2"/>
    <w:rsid w:val="3AAC5463"/>
    <w:rsid w:val="3B135A0E"/>
    <w:rsid w:val="3B2969B6"/>
    <w:rsid w:val="3BB026A2"/>
    <w:rsid w:val="3C8D359E"/>
    <w:rsid w:val="3CB70040"/>
    <w:rsid w:val="3D047591"/>
    <w:rsid w:val="3D1B32A0"/>
    <w:rsid w:val="3D2C725B"/>
    <w:rsid w:val="3D8F39C6"/>
    <w:rsid w:val="3ECD4126"/>
    <w:rsid w:val="3EF9316D"/>
    <w:rsid w:val="3F1E0E25"/>
    <w:rsid w:val="424B09D6"/>
    <w:rsid w:val="42AB0797"/>
    <w:rsid w:val="43262CE9"/>
    <w:rsid w:val="432937C0"/>
    <w:rsid w:val="43427A14"/>
    <w:rsid w:val="43457BBB"/>
    <w:rsid w:val="43C57AC2"/>
    <w:rsid w:val="450F36EA"/>
    <w:rsid w:val="452F5B3A"/>
    <w:rsid w:val="45FE550D"/>
    <w:rsid w:val="46DE4B77"/>
    <w:rsid w:val="476A2E5A"/>
    <w:rsid w:val="47E43653"/>
    <w:rsid w:val="498875C7"/>
    <w:rsid w:val="49AA1C33"/>
    <w:rsid w:val="4A6F69D9"/>
    <w:rsid w:val="4A767D68"/>
    <w:rsid w:val="4AAA5C63"/>
    <w:rsid w:val="4AE7629A"/>
    <w:rsid w:val="4B7324F9"/>
    <w:rsid w:val="4BA45905"/>
    <w:rsid w:val="4BA97CC9"/>
    <w:rsid w:val="4BE86A43"/>
    <w:rsid w:val="4CA2612C"/>
    <w:rsid w:val="4DFA0CB0"/>
    <w:rsid w:val="4F275AD4"/>
    <w:rsid w:val="501F0559"/>
    <w:rsid w:val="503C65DF"/>
    <w:rsid w:val="50BE5FC4"/>
    <w:rsid w:val="50DD469C"/>
    <w:rsid w:val="52374280"/>
    <w:rsid w:val="52426A3C"/>
    <w:rsid w:val="52707792"/>
    <w:rsid w:val="52A64F62"/>
    <w:rsid w:val="52D7511B"/>
    <w:rsid w:val="52FF4ED9"/>
    <w:rsid w:val="53D53D51"/>
    <w:rsid w:val="53F65A75"/>
    <w:rsid w:val="548E5CAE"/>
    <w:rsid w:val="54FB1595"/>
    <w:rsid w:val="55C55FE9"/>
    <w:rsid w:val="55DB38E9"/>
    <w:rsid w:val="56097CE2"/>
    <w:rsid w:val="57646188"/>
    <w:rsid w:val="57C06AF1"/>
    <w:rsid w:val="57F5388F"/>
    <w:rsid w:val="581C66AF"/>
    <w:rsid w:val="596A58FA"/>
    <w:rsid w:val="5981381D"/>
    <w:rsid w:val="5A9543EF"/>
    <w:rsid w:val="5A9963EA"/>
    <w:rsid w:val="5ACC3D13"/>
    <w:rsid w:val="5ADC59C5"/>
    <w:rsid w:val="5BCE4089"/>
    <w:rsid w:val="5BF77153"/>
    <w:rsid w:val="5BFE7D03"/>
    <w:rsid w:val="5C5E00E8"/>
    <w:rsid w:val="5CAC586B"/>
    <w:rsid w:val="5EAE598D"/>
    <w:rsid w:val="5EE11EB8"/>
    <w:rsid w:val="5FAD026D"/>
    <w:rsid w:val="5FB759C9"/>
    <w:rsid w:val="608A7028"/>
    <w:rsid w:val="60CC64DC"/>
    <w:rsid w:val="61CB56CD"/>
    <w:rsid w:val="62B3192D"/>
    <w:rsid w:val="62C46681"/>
    <w:rsid w:val="638704EC"/>
    <w:rsid w:val="63F944D6"/>
    <w:rsid w:val="64085A88"/>
    <w:rsid w:val="66DA3D4D"/>
    <w:rsid w:val="6700022A"/>
    <w:rsid w:val="67753429"/>
    <w:rsid w:val="67A94B0A"/>
    <w:rsid w:val="67F17CAA"/>
    <w:rsid w:val="697E6525"/>
    <w:rsid w:val="6B2C2051"/>
    <w:rsid w:val="6B305A80"/>
    <w:rsid w:val="6CCB2736"/>
    <w:rsid w:val="6D5A7D1B"/>
    <w:rsid w:val="6D6F26C8"/>
    <w:rsid w:val="6D8A12B0"/>
    <w:rsid w:val="6DCC7B1B"/>
    <w:rsid w:val="6E5024FA"/>
    <w:rsid w:val="6E70494A"/>
    <w:rsid w:val="6FB26BD8"/>
    <w:rsid w:val="6FC82564"/>
    <w:rsid w:val="6FF70753"/>
    <w:rsid w:val="6FFB6495"/>
    <w:rsid w:val="70944280"/>
    <w:rsid w:val="716F2C97"/>
    <w:rsid w:val="71B408E4"/>
    <w:rsid w:val="74082339"/>
    <w:rsid w:val="74220495"/>
    <w:rsid w:val="74774012"/>
    <w:rsid w:val="753F331F"/>
    <w:rsid w:val="75AE489D"/>
    <w:rsid w:val="75F554C5"/>
    <w:rsid w:val="760F5595"/>
    <w:rsid w:val="77AC46E5"/>
    <w:rsid w:val="77D73344"/>
    <w:rsid w:val="788B043E"/>
    <w:rsid w:val="78DF4BA6"/>
    <w:rsid w:val="794C6FE9"/>
    <w:rsid w:val="79A20D1B"/>
    <w:rsid w:val="79D2791F"/>
    <w:rsid w:val="79F857F4"/>
    <w:rsid w:val="79FFAB96"/>
    <w:rsid w:val="7A145C73"/>
    <w:rsid w:val="7A306492"/>
    <w:rsid w:val="7A835A05"/>
    <w:rsid w:val="7B0F54EB"/>
    <w:rsid w:val="7B5A49B8"/>
    <w:rsid w:val="7B9F23CB"/>
    <w:rsid w:val="7BF00E78"/>
    <w:rsid w:val="7BF22E42"/>
    <w:rsid w:val="7CEA1D6C"/>
    <w:rsid w:val="7D253442"/>
    <w:rsid w:val="7DBB2C3C"/>
    <w:rsid w:val="7DF82266"/>
    <w:rsid w:val="7DFD5ACF"/>
    <w:rsid w:val="7E123328"/>
    <w:rsid w:val="7E5F7664"/>
    <w:rsid w:val="7ECF3F9F"/>
    <w:rsid w:val="7EF23159"/>
    <w:rsid w:val="7F0013D2"/>
    <w:rsid w:val="7F127358"/>
    <w:rsid w:val="7F233313"/>
    <w:rsid w:val="7F374A45"/>
    <w:rsid w:val="7F3B240A"/>
    <w:rsid w:val="7FF97B01"/>
    <w:rsid w:val="7FFB2A31"/>
    <w:rsid w:val="7FFF70AF"/>
    <w:rsid w:val="AFFB2D27"/>
    <w:rsid w:val="BF7865D6"/>
    <w:rsid w:val="BFFF041F"/>
    <w:rsid w:val="E6D9D449"/>
    <w:rsid w:val="F67FBDC4"/>
    <w:rsid w:val="FBF98A0F"/>
    <w:rsid w:val="FBFF40C0"/>
    <w:rsid w:val="FF9871AA"/>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5">
    <w:name w:val="heading 1"/>
    <w:basedOn w:val="1"/>
    <w:next w:val="1"/>
    <w:qFormat/>
    <w:uiPriority w:val="99"/>
    <w:pPr>
      <w:keepNext/>
      <w:keepLines/>
      <w:spacing w:before="340" w:after="330" w:line="576" w:lineRule="auto"/>
      <w:outlineLvl w:val="0"/>
    </w:pPr>
    <w:rPr>
      <w:b/>
      <w:bCs/>
      <w:kern w:val="44"/>
      <w:sz w:val="44"/>
      <w:szCs w:val="44"/>
    </w:rPr>
  </w:style>
  <w:style w:type="paragraph" w:styleId="6">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paragraph" w:styleId="7">
    <w:name w:val="heading 4"/>
    <w:basedOn w:val="1"/>
    <w:next w:val="1"/>
    <w:qFormat/>
    <w:uiPriority w:val="0"/>
    <w:pPr>
      <w:keepNext/>
      <w:keepLines/>
      <w:spacing w:before="280" w:after="290" w:line="376" w:lineRule="auto"/>
      <w:outlineLvl w:val="3"/>
    </w:pPr>
    <w:rPr>
      <w:rFonts w:ascii="等线 Light" w:hAnsi="等线 Light" w:eastAsia="等线 Light"/>
      <w:b/>
      <w:bCs/>
      <w:sz w:val="28"/>
      <w:szCs w:val="28"/>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rPr>
      <w:rFonts w:ascii="Calibri" w:hAnsi="Calibri"/>
      <w:sz w:val="20"/>
      <w:szCs w:val="20"/>
    </w:rPr>
  </w:style>
  <w:style w:type="paragraph" w:styleId="3">
    <w:name w:val="Body Text"/>
    <w:basedOn w:val="1"/>
    <w:next w:val="4"/>
    <w:qFormat/>
    <w:uiPriority w:val="1"/>
    <w:pPr>
      <w:autoSpaceDE w:val="0"/>
      <w:autoSpaceDN w:val="0"/>
      <w:jc w:val="left"/>
    </w:pPr>
    <w:rPr>
      <w:rFonts w:ascii="宋体" w:hAnsi="宋体" w:eastAsia="宋体" w:cs="宋体"/>
      <w:kern w:val="0"/>
      <w:sz w:val="32"/>
      <w:szCs w:val="32"/>
      <w:lang w:val="zh-CN" w:bidi="zh-CN"/>
    </w:rPr>
  </w:style>
  <w:style w:type="paragraph" w:customStyle="1" w:styleId="4">
    <w:name w:val="Default"/>
    <w:qFormat/>
    <w:uiPriority w:val="0"/>
    <w:pPr>
      <w:widowControl w:val="0"/>
      <w:autoSpaceDE w:val="0"/>
      <w:autoSpaceDN w:val="0"/>
      <w:adjustRightInd w:val="0"/>
      <w:spacing w:line="260" w:lineRule="atLeast"/>
    </w:pPr>
    <w:rPr>
      <w:rFonts w:ascii="仿宋_GB2312" w:hAnsi="Calibri" w:eastAsia="仿宋_GB2312" w:cs="仿宋_GB2312"/>
      <w:color w:val="000000"/>
      <w:sz w:val="24"/>
      <w:szCs w:val="24"/>
      <w:lang w:val="en-US" w:eastAsia="zh-CN" w:bidi="ar-SA"/>
    </w:rPr>
  </w:style>
  <w:style w:type="paragraph" w:styleId="8">
    <w:name w:val="index 8"/>
    <w:basedOn w:val="1"/>
    <w:next w:val="1"/>
    <w:qFormat/>
    <w:uiPriority w:val="0"/>
    <w:pPr>
      <w:ind w:left="2940"/>
    </w:pPr>
    <w:rPr>
      <w:rFonts w:ascii="Calibri" w:hAnsi="Calibri" w:eastAsia="宋体" w:cs="Arial"/>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basedOn w:val="13"/>
    <w:qFormat/>
    <w:uiPriority w:val="0"/>
    <w:rPr>
      <w:b/>
    </w:rPr>
  </w:style>
  <w:style w:type="character" w:styleId="15">
    <w:name w:val="Hyperlink"/>
    <w:basedOn w:val="13"/>
    <w:qFormat/>
    <w:uiPriority w:val="0"/>
    <w:rPr>
      <w:color w:val="0000FF"/>
      <w:u w:val="single"/>
    </w:rPr>
  </w:style>
  <w:style w:type="paragraph" w:customStyle="1" w:styleId="16">
    <w:name w:val="样式 标题 1 + 段前: 0.5 行 段后: 0.5 行"/>
    <w:basedOn w:val="5"/>
    <w:qFormat/>
    <w:uiPriority w:val="0"/>
    <w:pPr>
      <w:widowControl/>
      <w:spacing w:before="156" w:after="156" w:line="360" w:lineRule="auto"/>
    </w:pPr>
    <w:rPr>
      <w:rFonts w:ascii="Times New Roman" w:hAnsi="Times New Roman" w:eastAsia="宋体" w:cs="宋体"/>
      <w:bCs w:val="0"/>
      <w:sz w:val="32"/>
      <w:szCs w:val="20"/>
    </w:rPr>
  </w:style>
  <w:style w:type="paragraph" w:customStyle="1" w:styleId="17">
    <w:name w:val="Table Text"/>
    <w:basedOn w:val="1"/>
    <w:semiHidden/>
    <w:qFormat/>
    <w:uiPriority w:val="0"/>
    <w:rPr>
      <w:rFonts w:ascii="宋体" w:hAnsi="宋体" w:eastAsia="宋体" w:cs="宋体"/>
      <w:sz w:val="20"/>
      <w:szCs w:val="20"/>
      <w:lang w:val="en-US" w:eastAsia="en-US" w:bidi="ar-SA"/>
    </w:rPr>
  </w:style>
  <w:style w:type="table" w:customStyle="1" w:styleId="18">
    <w:name w:val="Table Normal"/>
    <w:semiHidden/>
    <w:unhideWhenUsed/>
    <w:qFormat/>
    <w:uiPriority w:val="0"/>
    <w:tblPr>
      <w:tblCellMar>
        <w:top w:w="0" w:type="dxa"/>
        <w:left w:w="0" w:type="dxa"/>
        <w:bottom w:w="0" w:type="dxa"/>
        <w:right w:w="0" w:type="dxa"/>
      </w:tblCellMar>
    </w:tblPr>
  </w:style>
  <w:style w:type="paragraph" w:customStyle="1" w:styleId="19">
    <w:name w:val="Pa4"/>
    <w:basedOn w:val="1"/>
    <w:next w:val="1"/>
    <w:qFormat/>
    <w:uiPriority w:val="99"/>
    <w:pPr>
      <w:autoSpaceDE w:val="0"/>
      <w:autoSpaceDN w:val="0"/>
      <w:adjustRightInd w:val="0"/>
      <w:spacing w:line="301" w:lineRule="atLeast"/>
      <w:jc w:val="left"/>
    </w:pPr>
    <w:rPr>
      <w:rFonts w:ascii="OEEEEV+FZHTJW--GB1-0" w:eastAsia="OEEEEV+FZHTJW--GB1-0"/>
      <w:kern w:val="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26</Pages>
  <Words>9118</Words>
  <Characters>9296</Characters>
  <Lines>1</Lines>
  <Paragraphs>1</Paragraphs>
  <TotalTime>12</TotalTime>
  <ScaleCrop>false</ScaleCrop>
  <LinksUpToDate>false</LinksUpToDate>
  <CharactersWithSpaces>9298</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2023-02-17T12:18:00Z</dcterms:created>
  <dc:creator>MZ</dc:creator>
  <cp:lastModifiedBy>uos</cp:lastModifiedBy>
  <cp:lastPrinted>2024-12-05T07:52:00Z</cp:lastPrinted>
  <dcterms:modified xsi:type="dcterms:W3CDTF">2024-12-20T17:41:27Z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95D880195CD743E9B53F705A0D206A5A_13</vt:lpwstr>
  </property>
</Properties>
</file>