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ascii="方正小标宋简体" w:hAnsi="方正小标宋简体" w:eastAsia="方正小标宋简体" w:cs="方正小标宋简体"/>
          <w:bCs/>
          <w:sz w:val="44"/>
          <w:szCs w:val="44"/>
        </w:rPr>
        <w:t>2</w:t>
      </w:r>
      <w:r>
        <w:rPr>
          <w:rFonts w:hint="eastAsia" w:ascii="方正小标宋简体" w:hAnsi="方正小标宋简体" w:eastAsia="方正小标宋简体" w:cs="方正小标宋简体"/>
          <w:bCs/>
          <w:sz w:val="44"/>
          <w:szCs w:val="44"/>
        </w:rPr>
        <w:t>年河南省高等职业教育技能大赛</w:t>
      </w:r>
    </w:p>
    <w:p>
      <w:pPr>
        <w:spacing w:line="600" w:lineRule="exact"/>
        <w:jc w:val="center"/>
        <w:rPr>
          <w:rFonts w:ascii="黑体" w:hAnsi="黑体" w:eastAsia="黑体" w:cs="方正小标宋简体"/>
          <w:bCs/>
          <w:color w:val="000000"/>
          <w:sz w:val="44"/>
          <w:szCs w:val="44"/>
        </w:rPr>
      </w:pPr>
      <w:r>
        <w:rPr>
          <w:rFonts w:hint="eastAsia" w:ascii="方正小标宋简体" w:hAnsi="方正小标宋简体" w:eastAsia="方正小标宋简体" w:cs="方正小标宋简体"/>
          <w:bCs/>
          <w:sz w:val="44"/>
          <w:szCs w:val="44"/>
        </w:rPr>
        <w:t>信息安全管理与评估赛项竞赛方案</w:t>
      </w:r>
    </w:p>
    <w:p>
      <w:pPr>
        <w:snapToGrid w:val="0"/>
        <w:spacing w:line="560" w:lineRule="exact"/>
        <w:jc w:val="both"/>
        <w:rPr>
          <w:rFonts w:cs="黑体" w:asciiTheme="majorEastAsia" w:hAnsiTheme="majorEastAsia" w:eastAsiaTheme="majorEastAsia"/>
          <w:b/>
          <w:sz w:val="36"/>
          <w:szCs w:val="36"/>
          <w:lang w:val="ru-RU"/>
        </w:rPr>
      </w:pPr>
    </w:p>
    <w:p>
      <w:pPr>
        <w:pStyle w:val="16"/>
        <w:spacing w:before="0" w:after="0" w:line="560" w:lineRule="exact"/>
        <w:ind w:firstLine="600" w:firstLineChars="200"/>
        <w:jc w:val="left"/>
        <w:rPr>
          <w:rFonts w:ascii="黑体" w:hAnsi="黑体" w:eastAsia="黑体"/>
          <w:b w:val="0"/>
          <w:color w:val="000000"/>
          <w:sz w:val="30"/>
          <w:szCs w:val="30"/>
        </w:rPr>
      </w:pPr>
      <w:r>
        <w:rPr>
          <w:rFonts w:ascii="仿宋" w:hAnsi="仿宋" w:eastAsia="仿宋"/>
          <w:b w:val="0"/>
          <w:color w:val="000000"/>
          <w:sz w:val="30"/>
          <w:szCs w:val="30"/>
        </w:rPr>
        <w:t xml:space="preserve"> </w:t>
      </w:r>
      <w:r>
        <w:rPr>
          <w:rFonts w:hint="eastAsia" w:ascii="黑体" w:hAnsi="黑体" w:eastAsia="黑体"/>
          <w:b w:val="0"/>
          <w:color w:val="000000" w:themeColor="text1"/>
          <w:kern w:val="2"/>
          <w:sz w:val="30"/>
          <w:szCs w:val="30"/>
        </w:rPr>
        <w:t>一、</w:t>
      </w:r>
      <w:r>
        <w:rPr>
          <w:rFonts w:ascii="黑体" w:hAnsi="黑体" w:eastAsia="黑体"/>
          <w:b w:val="0"/>
          <w:color w:val="000000" w:themeColor="text1"/>
          <w:kern w:val="2"/>
          <w:sz w:val="30"/>
          <w:szCs w:val="30"/>
        </w:rPr>
        <w:t>赛项名称</w:t>
      </w:r>
    </w:p>
    <w:p>
      <w:pPr>
        <w:pStyle w:val="40"/>
        <w:spacing w:line="560" w:lineRule="exact"/>
        <w:ind w:left="720" w:firstLine="0" w:firstLineChars="0"/>
        <w:jc w:val="both"/>
        <w:rPr>
          <w:rFonts w:ascii="仿宋_GB2312" w:hAnsi="仿宋" w:eastAsia="仿宋_GB2312" w:cs="仿宋"/>
          <w:kern w:val="2"/>
          <w:sz w:val="30"/>
          <w:szCs w:val="30"/>
        </w:rPr>
      </w:pPr>
      <w:r>
        <w:rPr>
          <w:rFonts w:hint="eastAsia" w:ascii="仿宋_GB2312" w:hAnsi="仿宋" w:eastAsia="仿宋_GB2312" w:cs="仿宋"/>
          <w:kern w:val="2"/>
          <w:sz w:val="30"/>
          <w:szCs w:val="30"/>
        </w:rPr>
        <w:t>赛项名称：信息安全管理与评估</w:t>
      </w:r>
    </w:p>
    <w:p>
      <w:pPr>
        <w:pStyle w:val="40"/>
        <w:spacing w:line="560" w:lineRule="exact"/>
        <w:ind w:left="720" w:firstLine="0" w:firstLineChars="0"/>
        <w:jc w:val="both"/>
        <w:rPr>
          <w:rFonts w:ascii="仿宋_GB2312" w:hAnsi="仿宋" w:eastAsia="仿宋_GB2312" w:cs="仿宋"/>
          <w:kern w:val="2"/>
          <w:sz w:val="30"/>
          <w:szCs w:val="30"/>
        </w:rPr>
      </w:pPr>
      <w:r>
        <w:rPr>
          <w:rFonts w:hint="eastAsia" w:ascii="仿宋_GB2312" w:hAnsi="仿宋" w:eastAsia="仿宋_GB2312" w:cs="仿宋"/>
          <w:kern w:val="2"/>
          <w:sz w:val="30"/>
          <w:szCs w:val="30"/>
        </w:rPr>
        <w:t>赛项组别：高职学生组</w:t>
      </w:r>
    </w:p>
    <w:p>
      <w:pPr>
        <w:pStyle w:val="40"/>
        <w:spacing w:line="560" w:lineRule="exact"/>
        <w:ind w:left="720" w:firstLine="0" w:firstLineChars="0"/>
        <w:jc w:val="both"/>
        <w:rPr>
          <w:rFonts w:ascii="仿宋_GB2312" w:hAnsi="仿宋" w:eastAsia="仿宋_GB2312" w:cs="仿宋"/>
          <w:kern w:val="2"/>
          <w:sz w:val="30"/>
          <w:szCs w:val="30"/>
        </w:rPr>
      </w:pPr>
      <w:r>
        <w:rPr>
          <w:rFonts w:hint="eastAsia" w:ascii="仿宋_GB2312" w:hAnsi="仿宋" w:eastAsia="仿宋_GB2312" w:cs="仿宋"/>
          <w:kern w:val="2"/>
          <w:sz w:val="30"/>
          <w:szCs w:val="30"/>
        </w:rPr>
        <w:t>竞赛形式：团体赛</w:t>
      </w:r>
    </w:p>
    <w:p>
      <w:pPr>
        <w:pStyle w:val="40"/>
        <w:spacing w:line="560" w:lineRule="exact"/>
        <w:ind w:left="720" w:firstLine="0" w:firstLineChars="0"/>
        <w:jc w:val="both"/>
        <w:rPr>
          <w:rFonts w:ascii="仿宋_GB2312" w:hAnsi="仿宋" w:eastAsia="仿宋_GB2312" w:cs="仿宋"/>
          <w:kern w:val="2"/>
          <w:sz w:val="30"/>
          <w:szCs w:val="30"/>
        </w:rPr>
      </w:pPr>
      <w:r>
        <w:rPr>
          <w:rFonts w:hint="eastAsia" w:ascii="仿宋_GB2312" w:hAnsi="仿宋" w:eastAsia="仿宋_GB2312" w:cs="仿宋"/>
          <w:kern w:val="2"/>
          <w:sz w:val="30"/>
          <w:szCs w:val="30"/>
        </w:rPr>
        <w:t>专业大类：电子与信息大类</w:t>
      </w:r>
    </w:p>
    <w:p>
      <w:pPr>
        <w:pStyle w:val="40"/>
        <w:spacing w:line="560" w:lineRule="exact"/>
        <w:ind w:left="720" w:firstLine="0" w:firstLineChars="0"/>
        <w:rPr>
          <w:rFonts w:ascii="仿宋_GB2312" w:hAnsi="仿宋" w:eastAsia="仿宋_GB2312" w:cs="仿宋"/>
          <w:kern w:val="2"/>
          <w:sz w:val="30"/>
          <w:szCs w:val="30"/>
        </w:rPr>
      </w:pPr>
      <w:r>
        <w:rPr>
          <w:rFonts w:hint="eastAsia" w:ascii="仿宋_GB2312" w:hAnsi="仿宋" w:eastAsia="仿宋_GB2312" w:cs="仿宋"/>
          <w:kern w:val="2"/>
          <w:sz w:val="30"/>
          <w:szCs w:val="30"/>
        </w:rPr>
        <w:t>主办单位：河南省教育厅</w:t>
      </w:r>
    </w:p>
    <w:p>
      <w:pPr>
        <w:pStyle w:val="40"/>
        <w:spacing w:line="560" w:lineRule="exact"/>
        <w:ind w:left="720" w:firstLine="0" w:firstLineChars="0"/>
        <w:rPr>
          <w:rFonts w:ascii="仿宋_GB2312" w:hAnsi="仿宋" w:eastAsia="仿宋_GB2312" w:cs="仿宋"/>
          <w:kern w:val="2"/>
          <w:sz w:val="30"/>
          <w:szCs w:val="30"/>
        </w:rPr>
      </w:pPr>
      <w:r>
        <w:rPr>
          <w:rFonts w:hint="eastAsia" w:ascii="仿宋_GB2312" w:hAnsi="仿宋" w:eastAsia="仿宋_GB2312" w:cs="仿宋"/>
          <w:kern w:val="2"/>
          <w:sz w:val="30"/>
          <w:szCs w:val="30"/>
        </w:rPr>
        <w:t>承办单位：郑州铁路职业技术学院</w:t>
      </w:r>
    </w:p>
    <w:p>
      <w:pPr>
        <w:pStyle w:val="40"/>
        <w:spacing w:line="560" w:lineRule="exact"/>
        <w:ind w:left="720" w:firstLine="0" w:firstLineChars="0"/>
        <w:rPr>
          <w:rFonts w:ascii="仿宋_GB2312" w:hAnsi="仿宋" w:eastAsia="仿宋_GB2312" w:cs="仿宋"/>
          <w:kern w:val="2"/>
          <w:sz w:val="30"/>
          <w:szCs w:val="30"/>
          <w:highlight w:val="yellow"/>
        </w:rPr>
      </w:pPr>
      <w:r>
        <w:rPr>
          <w:rFonts w:hint="eastAsia" w:ascii="仿宋_GB2312" w:hAnsi="仿宋" w:eastAsia="仿宋_GB2312" w:cs="仿宋"/>
          <w:kern w:val="2"/>
          <w:sz w:val="30"/>
          <w:szCs w:val="30"/>
        </w:rPr>
        <w:t>报到及住宿地点：另行通知</w:t>
      </w:r>
    </w:p>
    <w:p>
      <w:pPr>
        <w:pStyle w:val="16"/>
        <w:spacing w:before="0" w:after="0" w:line="560" w:lineRule="exact"/>
        <w:ind w:firstLine="600" w:firstLineChars="200"/>
        <w:jc w:val="left"/>
        <w:rPr>
          <w:rFonts w:ascii="仿宋" w:hAnsi="仿宋" w:eastAsia="仿宋"/>
          <w:b w:val="0"/>
          <w:color w:val="000000" w:themeColor="text1"/>
          <w:kern w:val="2"/>
          <w:sz w:val="30"/>
          <w:szCs w:val="30"/>
        </w:rPr>
      </w:pPr>
      <w:r>
        <w:rPr>
          <w:rFonts w:hint="eastAsia" w:ascii="黑体" w:hAnsi="黑体" w:eastAsia="黑体"/>
          <w:b w:val="0"/>
          <w:color w:val="000000" w:themeColor="text1"/>
          <w:kern w:val="2"/>
          <w:sz w:val="30"/>
          <w:szCs w:val="30"/>
        </w:rPr>
        <w:t>二、竞赛目的</w:t>
      </w:r>
    </w:p>
    <w:p>
      <w:pPr>
        <w:spacing w:line="56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（一）引领教学改革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赛项对接全国职业技能大赛信息安全管理与评估赛项的技术标准，通过竞赛让参赛选手熟悉信息安全技术的职业标准规范，检验参赛选手网络组建和安全运维、安全审计、网络安全应急响应、数字取证调查、应用程序安全和网络攻防渗透能力，检验参赛队计划组织和团队协作等综合职业素养，强调学生创新能力和实践能力培养，提升学生职业能力和就业质量。通过大赛，以赛促教，引领专业教学改革，学实结合，使人才培养更贴近岗位实际，提升专业服务社会和行业发展的能力，为国家信息安全行业培养选拔技术技能型人才。</w:t>
      </w:r>
    </w:p>
    <w:p>
      <w:pPr>
        <w:spacing w:line="56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（二）强化专业建设</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该赛项衔接国家信息安全技术应用高职专业教学标准，竞赛内容覆盖“信息安全技术与实施”、“信息安全产品配置与应用”、“网络安全系统集成”、“网络攻防技术”、“网络安全运行与维护”、“操作系统安全配置”、“</w:t>
      </w:r>
      <w:r>
        <w:rPr>
          <w:rFonts w:ascii="仿宋_GB2312" w:hAnsi="仿宋" w:eastAsia="仿宋_GB2312"/>
          <w:sz w:val="30"/>
          <w:szCs w:val="30"/>
        </w:rPr>
        <w:t xml:space="preserve">Web </w:t>
      </w:r>
      <w:r>
        <w:rPr>
          <w:rFonts w:hint="eastAsia" w:ascii="仿宋_GB2312" w:hAnsi="仿宋" w:eastAsia="仿宋_GB2312"/>
          <w:sz w:val="30"/>
          <w:szCs w:val="30"/>
        </w:rPr>
        <w:t>渗透测试技术”等专业核心课程内容。</w:t>
      </w:r>
    </w:p>
    <w:p>
      <w:pPr>
        <w:spacing w:line="56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（三）促进产教合作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赛项基于信息安全领域主流技术和现行业务流程设计，信息安全行业专家与院校教育专家紧密合作，完成竞赛内容向教学改革的成果转化，实现以赛促教、以赛促学、以赛促改、以赛促建的产教融合的赛事创新。</w:t>
      </w:r>
    </w:p>
    <w:p>
      <w:pPr>
        <w:pStyle w:val="16"/>
        <w:spacing w:before="0" w:after="0" w:line="560" w:lineRule="exact"/>
        <w:ind w:firstLine="600" w:firstLineChars="200"/>
        <w:jc w:val="left"/>
        <w:rPr>
          <w:rFonts w:ascii="仿宋" w:hAnsi="仿宋" w:eastAsia="仿宋"/>
          <w:b w:val="0"/>
          <w:color w:val="000000" w:themeColor="text1"/>
          <w:kern w:val="2"/>
          <w:sz w:val="30"/>
          <w:szCs w:val="30"/>
        </w:rPr>
      </w:pPr>
      <w:r>
        <w:rPr>
          <w:rFonts w:hint="eastAsia" w:ascii="黑体" w:hAnsi="黑体" w:eastAsia="黑体"/>
          <w:b w:val="0"/>
          <w:color w:val="000000" w:themeColor="text1"/>
          <w:kern w:val="2"/>
          <w:sz w:val="30"/>
          <w:szCs w:val="30"/>
        </w:rPr>
        <w:t>三</w:t>
      </w:r>
      <w:r>
        <w:rPr>
          <w:rFonts w:ascii="黑体" w:hAnsi="黑体" w:eastAsia="黑体"/>
          <w:b w:val="0"/>
          <w:color w:val="000000" w:themeColor="text1"/>
          <w:kern w:val="2"/>
          <w:sz w:val="30"/>
          <w:szCs w:val="30"/>
        </w:rPr>
        <w:t>、参赛资格</w:t>
      </w:r>
    </w:p>
    <w:p>
      <w:pPr>
        <w:spacing w:line="560" w:lineRule="exact"/>
        <w:ind w:firstLine="480" w:firstLineChars="200"/>
        <w:rPr>
          <w:rFonts w:ascii="仿宋_GB2312" w:hAnsi="仿宋" w:eastAsia="仿宋_GB2312"/>
          <w:sz w:val="30"/>
          <w:szCs w:val="30"/>
        </w:rPr>
      </w:pPr>
      <w:r>
        <w:t xml:space="preserve"> </w:t>
      </w:r>
      <w:r>
        <w:rPr>
          <w:rFonts w:hint="eastAsia" w:ascii="楷体_GB2312" w:hAnsi="楷体_GB2312" w:eastAsia="楷体_GB2312" w:cs="楷体_GB2312"/>
          <w:sz w:val="30"/>
          <w:szCs w:val="30"/>
        </w:rPr>
        <w:t>（一）参赛对象</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参赛学生须是202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年在籍全日制高职学生，指导老师和学生须为同校在籍。在往届全国职业院校技能大赛高职组竞赛中获得一等奖的选手，不再参加同一项目同一组别的省级竞赛。</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（二）组队原则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此赛项为团体赛，由3名选手组成，每队不能跨校组队，每所职业院校限报</w:t>
      </w:r>
      <w:r>
        <w:rPr>
          <w:rFonts w:ascii="仿宋_GB2312" w:hAnsi="仿宋" w:eastAsia="仿宋_GB2312"/>
          <w:sz w:val="30"/>
          <w:szCs w:val="30"/>
        </w:rPr>
        <w:t>2</w:t>
      </w:r>
      <w:r>
        <w:rPr>
          <w:rFonts w:hint="eastAsia" w:ascii="仿宋_GB2312" w:hAnsi="仿宋" w:eastAsia="仿宋_GB2312"/>
          <w:sz w:val="30"/>
          <w:szCs w:val="30"/>
        </w:rPr>
        <w:t>队，每队限报2名指导老师。</w:t>
      </w:r>
    </w:p>
    <w:p>
      <w:pPr>
        <w:pStyle w:val="16"/>
        <w:spacing w:before="0" w:after="0" w:line="560" w:lineRule="exact"/>
        <w:ind w:firstLine="600" w:firstLineChars="200"/>
        <w:jc w:val="left"/>
        <w:rPr>
          <w:rFonts w:ascii="仿宋" w:hAnsi="仿宋" w:eastAsia="仿宋"/>
          <w:b w:val="0"/>
          <w:color w:val="000000"/>
          <w:sz w:val="30"/>
          <w:szCs w:val="30"/>
        </w:rPr>
      </w:pPr>
      <w:r>
        <w:rPr>
          <w:rFonts w:hint="eastAsia" w:ascii="黑体" w:hAnsi="黑体" w:eastAsia="黑体"/>
          <w:b w:val="0"/>
          <w:color w:val="000000" w:themeColor="text1"/>
          <w:kern w:val="2"/>
          <w:sz w:val="30"/>
          <w:szCs w:val="30"/>
        </w:rPr>
        <w:t>四</w:t>
      </w:r>
      <w:r>
        <w:rPr>
          <w:rFonts w:ascii="黑体" w:hAnsi="黑体" w:eastAsia="黑体"/>
          <w:b w:val="0"/>
          <w:color w:val="000000" w:themeColor="text1"/>
          <w:kern w:val="2"/>
          <w:sz w:val="30"/>
          <w:szCs w:val="30"/>
        </w:rPr>
        <w:t>、参赛报名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1.参赛院校须于</w:t>
      </w:r>
      <w:r>
        <w:rPr>
          <w:rFonts w:hint="eastAsia" w:ascii="仿宋_GB2312" w:hAnsi="仿宋" w:eastAsia="仿宋_GB2312"/>
          <w:color w:val="000000" w:themeColor="text1"/>
          <w:sz w:val="30"/>
          <w:szCs w:val="30"/>
        </w:rPr>
        <w:t xml:space="preserve"> </w:t>
      </w:r>
      <w:r>
        <w:rPr>
          <w:rFonts w:ascii="仿宋_GB2312" w:hAnsi="仿宋" w:eastAsia="仿宋_GB2312"/>
          <w:color w:val="000000" w:themeColor="text1"/>
          <w:sz w:val="30"/>
          <w:szCs w:val="30"/>
        </w:rPr>
        <w:t>3</w:t>
      </w:r>
      <w:r>
        <w:rPr>
          <w:rFonts w:hint="eastAsia" w:ascii="仿宋_GB2312" w:hAnsi="仿宋" w:eastAsia="仿宋_GB2312"/>
          <w:color w:val="000000" w:themeColor="text1"/>
          <w:sz w:val="30"/>
          <w:szCs w:val="30"/>
        </w:rPr>
        <w:t>月</w:t>
      </w:r>
      <w:r>
        <w:rPr>
          <w:rFonts w:hint="eastAsia" w:ascii="仿宋_GB2312" w:hAnsi="仿宋" w:eastAsia="仿宋_GB2312"/>
          <w:color w:val="000000" w:themeColor="text1"/>
          <w:sz w:val="30"/>
          <w:szCs w:val="30"/>
          <w:lang w:val="en-US" w:eastAsia="zh-CN"/>
        </w:rPr>
        <w:t>3</w:t>
      </w:r>
      <w:r>
        <w:rPr>
          <w:rFonts w:hint="eastAsia" w:ascii="仿宋_GB2312" w:hAnsi="仿宋" w:eastAsia="仿宋_GB2312"/>
          <w:color w:val="000000" w:themeColor="text1"/>
          <w:sz w:val="30"/>
          <w:szCs w:val="30"/>
        </w:rPr>
        <w:t>日</w:t>
      </w:r>
      <w:r>
        <w:rPr>
          <w:rFonts w:hint="eastAsia" w:ascii="仿宋_GB2312" w:hAnsi="仿宋" w:eastAsia="仿宋_GB2312"/>
          <w:sz w:val="30"/>
          <w:szCs w:val="30"/>
        </w:rPr>
        <w:t>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hAnsi="仿宋" w:eastAsia="仿宋_GB2312"/>
          <w:sz w:val="30"/>
          <w:szCs w:val="30"/>
        </w:rPr>
        <w:t>），按要求填报并提交参赛信息。各参赛校以学校为单位注册报名平台，专人负责报名工作</w:t>
      </w:r>
      <w:r>
        <w:rPr>
          <w:rFonts w:hint="eastAsia" w:ascii="仿宋_GB2312" w:hAnsi="仿宋" w:eastAsia="仿宋_GB2312"/>
          <w:color w:val="000000" w:themeColor="text1"/>
          <w:sz w:val="30"/>
          <w:szCs w:val="30"/>
        </w:rPr>
        <w:t>。（技术支持：张玺，电话：</w:t>
      </w:r>
      <w:r>
        <w:rPr>
          <w:rFonts w:ascii="仿宋_GB2312" w:hAnsi="仿宋" w:eastAsia="仿宋_GB2312"/>
          <w:color w:val="000000" w:themeColor="text1"/>
          <w:sz w:val="30"/>
          <w:szCs w:val="30"/>
        </w:rPr>
        <w:t>19837739696</w:t>
      </w:r>
      <w:r>
        <w:rPr>
          <w:rFonts w:hint="eastAsia" w:ascii="仿宋_GB2312" w:hAnsi="仿宋" w:eastAsia="仿宋_GB2312"/>
          <w:color w:val="000000" w:themeColor="text1"/>
          <w:sz w:val="30"/>
          <w:szCs w:val="30"/>
        </w:rPr>
        <w:t>）。</w:t>
      </w:r>
    </w:p>
    <w:p>
      <w:pPr>
        <w:spacing w:line="560" w:lineRule="exact"/>
        <w:ind w:firstLine="600" w:firstLineChars="200"/>
        <w:rPr>
          <w:rFonts w:ascii="仿宋_GB2312" w:hAnsi="仿宋" w:eastAsia="仿宋_GB2312"/>
          <w:color w:val="FF0000"/>
          <w:sz w:val="30"/>
          <w:szCs w:val="30"/>
        </w:rPr>
      </w:pPr>
      <w:r>
        <w:rPr>
          <w:rFonts w:ascii="仿宋_GB2312" w:hAnsi="仿宋" w:eastAsia="仿宋_GB2312"/>
          <w:sz w:val="30"/>
          <w:szCs w:val="30"/>
        </w:rPr>
        <w:t>2</w:t>
      </w:r>
      <w:r>
        <w:rPr>
          <w:rFonts w:hint="eastAsia" w:ascii="仿宋_GB2312" w:hAnsi="仿宋" w:eastAsia="仿宋_GB2312"/>
          <w:sz w:val="30"/>
          <w:szCs w:val="30"/>
        </w:rPr>
        <w:t>．为便于做好赛务组织安排，提交报名信息后，请参赛院校从系统导出报名表、赛项汇总表，连同参赛选手身份证复印件，学信网“教育部学籍在线验证报告”或省招办录取名册复印件各1份并加盖公章报送或邮寄至承办学校（郑州铁路职业技术学院）。</w:t>
      </w:r>
      <w:r>
        <w:rPr>
          <w:rFonts w:hint="eastAsia" w:ascii="仿宋_GB2312" w:hAnsi="仿宋" w:eastAsia="仿宋_GB2312"/>
          <w:color w:val="000000" w:themeColor="text1"/>
          <w:sz w:val="30"/>
          <w:szCs w:val="30"/>
        </w:rPr>
        <w:t>纸质报名材料接收截止时间为</w:t>
      </w:r>
      <w:r>
        <w:rPr>
          <w:rFonts w:ascii="仿宋_GB2312" w:hAnsi="仿宋" w:eastAsia="仿宋_GB2312"/>
          <w:color w:val="000000" w:themeColor="text1"/>
          <w:sz w:val="30"/>
          <w:szCs w:val="30"/>
        </w:rPr>
        <w:t>3</w:t>
      </w:r>
      <w:r>
        <w:rPr>
          <w:rFonts w:hint="eastAsia" w:ascii="仿宋_GB2312" w:hAnsi="仿宋" w:eastAsia="仿宋_GB2312"/>
          <w:color w:val="000000" w:themeColor="text1"/>
          <w:sz w:val="30"/>
          <w:szCs w:val="30"/>
        </w:rPr>
        <w:t>月</w:t>
      </w:r>
      <w:r>
        <w:rPr>
          <w:rFonts w:hint="eastAsia" w:ascii="仿宋_GB2312" w:hAnsi="仿宋" w:eastAsia="仿宋_GB2312"/>
          <w:color w:val="000000" w:themeColor="text1"/>
          <w:sz w:val="30"/>
          <w:szCs w:val="30"/>
          <w:lang w:val="en-US" w:eastAsia="zh-CN"/>
        </w:rPr>
        <w:t>5</w:t>
      </w:r>
      <w:r>
        <w:rPr>
          <w:rFonts w:hint="eastAsia" w:ascii="仿宋_GB2312" w:hAnsi="仿宋" w:eastAsia="仿宋_GB2312"/>
          <w:color w:val="000000" w:themeColor="text1"/>
          <w:sz w:val="30"/>
          <w:szCs w:val="30"/>
        </w:rPr>
        <w:t>日，以邮戳时间为准。</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邮寄材料包含：选手纸质报名表、汇总表、</w:t>
      </w:r>
      <w:r>
        <w:rPr>
          <w:rFonts w:ascii="仿宋_GB2312" w:hAnsi="仿宋" w:eastAsia="仿宋_GB2312"/>
          <w:sz w:val="30"/>
          <w:szCs w:val="30"/>
        </w:rPr>
        <w:t>身份证复印件，</w:t>
      </w:r>
      <w:r>
        <w:rPr>
          <w:rFonts w:hint="eastAsia" w:ascii="仿宋_GB2312" w:hAnsi="仿宋" w:eastAsia="仿宋_GB2312"/>
          <w:sz w:val="30"/>
          <w:szCs w:val="30"/>
        </w:rPr>
        <w:t>以及学信网“教育部学籍在线验证报告”或省招办录取名册复印件各</w:t>
      </w:r>
      <w:r>
        <w:rPr>
          <w:rFonts w:ascii="仿宋_GB2312" w:hAnsi="仿宋" w:eastAsia="仿宋_GB2312"/>
          <w:sz w:val="30"/>
          <w:szCs w:val="30"/>
        </w:rPr>
        <w:t>1</w:t>
      </w:r>
      <w:r>
        <w:rPr>
          <w:rFonts w:hint="eastAsia" w:ascii="仿宋_GB2312" w:hAnsi="仿宋" w:eastAsia="仿宋_GB2312"/>
          <w:sz w:val="30"/>
          <w:szCs w:val="30"/>
        </w:rPr>
        <w:t>份（以上</w:t>
      </w:r>
      <w:r>
        <w:rPr>
          <w:rFonts w:ascii="仿宋_GB2312" w:hAnsi="仿宋" w:eastAsia="仿宋_GB2312"/>
          <w:sz w:val="30"/>
          <w:szCs w:val="30"/>
        </w:rPr>
        <w:t>均</w:t>
      </w:r>
      <w:r>
        <w:rPr>
          <w:rFonts w:hint="eastAsia" w:ascii="仿宋_GB2312" w:hAnsi="仿宋" w:eastAsia="仿宋_GB2312"/>
          <w:sz w:val="30"/>
          <w:szCs w:val="30"/>
        </w:rPr>
        <w:t>加盖学校公章）</w:t>
      </w:r>
      <w:bookmarkStart w:id="3" w:name="_GoBack"/>
      <w:bookmarkEnd w:id="3"/>
      <w:r>
        <w:rPr>
          <w:rFonts w:hint="eastAsia" w:ascii="仿宋_GB2312" w:hAnsi="仿宋" w:eastAsia="仿宋_GB2312"/>
          <w:sz w:val="30"/>
          <w:szCs w:val="30"/>
        </w:rPr>
        <w:t>，并将电子版的选手报名表（含选手</w:t>
      </w:r>
      <w:r>
        <w:rPr>
          <w:rFonts w:ascii="仿宋_GB2312" w:hAnsi="仿宋" w:eastAsia="仿宋_GB2312"/>
          <w:sz w:val="30"/>
          <w:szCs w:val="30"/>
        </w:rPr>
        <w:t>2</w:t>
      </w:r>
      <w:r>
        <w:rPr>
          <w:rFonts w:hint="eastAsia" w:ascii="仿宋_GB2312" w:hAnsi="仿宋" w:eastAsia="仿宋_GB2312"/>
          <w:sz w:val="30"/>
          <w:szCs w:val="30"/>
        </w:rPr>
        <w:t>寸电子照片）和汇总表打包发送至</w:t>
      </w:r>
      <w:r>
        <w:rPr>
          <w:rFonts w:hint="eastAsia" w:ascii="仿宋_GB2312" w:hAnsi="仿宋" w:eastAsia="仿宋_GB2312"/>
          <w:color w:val="000000" w:themeColor="text1"/>
          <w:sz w:val="30"/>
          <w:szCs w:val="30"/>
        </w:rPr>
        <w:t>邮箱</w:t>
      </w:r>
      <w:r>
        <w:rPr>
          <w:rFonts w:ascii="仿宋_GB2312" w:hAnsi="仿宋" w:eastAsia="仿宋_GB2312"/>
          <w:color w:val="000000" w:themeColor="text1"/>
          <w:sz w:val="30"/>
          <w:szCs w:val="30"/>
        </w:rPr>
        <w:t>292968772</w:t>
      </w:r>
      <w:r>
        <w:rPr>
          <w:rFonts w:hint="eastAsia" w:ascii="仿宋_GB2312" w:hAnsi="仿宋" w:eastAsia="仿宋_GB2312"/>
          <w:color w:val="000000" w:themeColor="text1"/>
          <w:sz w:val="30"/>
          <w:szCs w:val="30"/>
        </w:rPr>
        <w:t>@</w:t>
      </w:r>
      <w:r>
        <w:rPr>
          <w:rFonts w:ascii="仿宋_GB2312" w:hAnsi="仿宋" w:eastAsia="仿宋_GB2312"/>
          <w:color w:val="000000" w:themeColor="text1"/>
          <w:sz w:val="30"/>
          <w:szCs w:val="30"/>
        </w:rPr>
        <w:t>qq</w:t>
      </w:r>
      <w:r>
        <w:rPr>
          <w:rFonts w:hint="eastAsia" w:ascii="仿宋_GB2312" w:hAnsi="仿宋" w:eastAsia="仿宋_GB2312"/>
          <w:color w:val="000000" w:themeColor="text1"/>
          <w:sz w:val="30"/>
          <w:szCs w:val="30"/>
        </w:rPr>
        <w:t>.com，联系</w:t>
      </w:r>
      <w:r>
        <w:rPr>
          <w:rFonts w:ascii="仿宋_GB2312" w:hAnsi="仿宋" w:eastAsia="仿宋_GB2312"/>
          <w:color w:val="000000" w:themeColor="text1"/>
          <w:sz w:val="30"/>
          <w:szCs w:val="30"/>
        </w:rPr>
        <w:t>人：王老师。</w:t>
      </w:r>
    </w:p>
    <w:p>
      <w:pPr>
        <w:spacing w:line="560" w:lineRule="exact"/>
        <w:ind w:firstLine="600" w:firstLineChars="200"/>
        <w:rPr>
          <w:rFonts w:ascii="仿宋_GB2312" w:hAnsi="仿宋" w:eastAsia="仿宋_GB2312"/>
          <w:color w:val="FF0000"/>
          <w:sz w:val="30"/>
          <w:szCs w:val="30"/>
        </w:rPr>
      </w:pPr>
      <w:r>
        <w:rPr>
          <w:rFonts w:hint="eastAsia" w:ascii="仿宋_GB2312" w:hAnsi="仿宋" w:eastAsia="仿宋_GB2312"/>
          <w:sz w:val="30"/>
          <w:szCs w:val="30"/>
        </w:rPr>
        <w:t>4.寄送地址：</w:t>
      </w:r>
      <w:r>
        <w:rPr>
          <w:rFonts w:hint="eastAsia" w:ascii="仿宋_GB2312" w:hAnsi="仿宋" w:eastAsia="仿宋_GB2312"/>
          <w:color w:val="000000" w:themeColor="text1"/>
          <w:sz w:val="30"/>
          <w:szCs w:val="30"/>
        </w:rPr>
        <w:t>河南省郑州市前程大道9号郑州铁路职业技术学院</w:t>
      </w:r>
      <w:r>
        <w:rPr>
          <w:rFonts w:ascii="仿宋_GB2312" w:hAnsi="仿宋" w:eastAsia="仿宋_GB2312"/>
          <w:color w:val="000000" w:themeColor="text1"/>
          <w:sz w:val="30"/>
          <w:szCs w:val="30"/>
        </w:rPr>
        <w:t>1</w:t>
      </w:r>
      <w:r>
        <w:rPr>
          <w:rFonts w:hint="eastAsia" w:ascii="仿宋_GB2312" w:hAnsi="仿宋" w:eastAsia="仿宋_GB2312"/>
          <w:color w:val="000000" w:themeColor="text1"/>
          <w:sz w:val="30"/>
          <w:szCs w:val="30"/>
        </w:rPr>
        <w:t>号楼</w:t>
      </w:r>
      <w:r>
        <w:rPr>
          <w:rFonts w:ascii="仿宋_GB2312" w:hAnsi="仿宋" w:eastAsia="仿宋_GB2312"/>
          <w:color w:val="000000" w:themeColor="text1"/>
          <w:sz w:val="30"/>
          <w:szCs w:val="30"/>
        </w:rPr>
        <w:t>4</w:t>
      </w:r>
      <w:r>
        <w:rPr>
          <w:rFonts w:hint="eastAsia" w:ascii="仿宋_GB2312" w:hAnsi="仿宋" w:eastAsia="仿宋_GB2312"/>
          <w:color w:val="000000" w:themeColor="text1"/>
          <w:sz w:val="30"/>
          <w:szCs w:val="30"/>
        </w:rPr>
        <w:t>层</w:t>
      </w:r>
      <w:r>
        <w:rPr>
          <w:rFonts w:ascii="仿宋_GB2312" w:hAnsi="仿宋" w:eastAsia="仿宋_GB2312"/>
          <w:color w:val="000000" w:themeColor="text1"/>
          <w:sz w:val="30"/>
          <w:szCs w:val="30"/>
        </w:rPr>
        <w:t>1405</w:t>
      </w:r>
      <w:r>
        <w:rPr>
          <w:rFonts w:hint="eastAsia" w:ascii="仿宋_GB2312" w:hAnsi="仿宋" w:eastAsia="仿宋_GB2312"/>
          <w:color w:val="000000" w:themeColor="text1"/>
          <w:sz w:val="30"/>
          <w:szCs w:val="30"/>
        </w:rPr>
        <w:t>，邮编：451460；联系人：王坤老师；联系电话：</w:t>
      </w:r>
      <w:r>
        <w:rPr>
          <w:rFonts w:ascii="仿宋_GB2312" w:hAnsi="仿宋" w:eastAsia="仿宋_GB2312"/>
          <w:color w:val="000000" w:themeColor="text1"/>
          <w:sz w:val="30"/>
          <w:szCs w:val="30"/>
        </w:rPr>
        <w:t>18625517856</w:t>
      </w:r>
      <w:r>
        <w:rPr>
          <w:rFonts w:hint="eastAsia" w:ascii="仿宋_GB2312" w:hAnsi="仿宋" w:eastAsia="仿宋_GB2312"/>
          <w:color w:val="000000" w:themeColor="text1"/>
          <w:sz w:val="30"/>
          <w:szCs w:val="30"/>
        </w:rPr>
        <w:t>。</w:t>
      </w:r>
    </w:p>
    <w:p>
      <w:pPr>
        <w:spacing w:line="560" w:lineRule="exact"/>
        <w:ind w:firstLine="600" w:firstLineChars="200"/>
        <w:rPr>
          <w:rFonts w:ascii="仿宋" w:hAnsi="仿宋" w:eastAsia="仿宋" w:cs="宋体"/>
          <w:bCs/>
          <w:sz w:val="28"/>
          <w:szCs w:val="28"/>
        </w:rPr>
      </w:pPr>
      <w:r>
        <w:rPr>
          <w:rFonts w:hint="eastAsia" w:ascii="仿宋_GB2312" w:hAnsi="仿宋" w:eastAsia="仿宋_GB2312"/>
          <w:sz w:val="30"/>
          <w:szCs w:val="30"/>
        </w:rPr>
        <w:t>5.承办</w:t>
      </w:r>
      <w:r>
        <w:rPr>
          <w:rFonts w:ascii="仿宋_GB2312" w:hAnsi="仿宋" w:eastAsia="仿宋_GB2312"/>
          <w:sz w:val="30"/>
          <w:szCs w:val="30"/>
        </w:rPr>
        <w:t>学校收到纸质报名材料，按参赛条件的要求认</w:t>
      </w:r>
      <w:r>
        <w:rPr>
          <w:rFonts w:hint="eastAsia" w:ascii="仿宋_GB2312" w:hAnsi="仿宋" w:eastAsia="仿宋_GB2312"/>
          <w:sz w:val="30"/>
          <w:szCs w:val="30"/>
        </w:rPr>
        <w:t>真</w:t>
      </w:r>
      <w:r>
        <w:rPr>
          <w:rFonts w:ascii="仿宋_GB2312" w:hAnsi="仿宋" w:eastAsia="仿宋_GB2312"/>
          <w:sz w:val="30"/>
          <w:szCs w:val="30"/>
        </w:rPr>
        <w:t>审核参赛选手和指导教师资格</w:t>
      </w:r>
      <w:r>
        <w:rPr>
          <w:rFonts w:hint="eastAsia" w:ascii="仿宋_GB2312" w:hAnsi="仿宋" w:eastAsia="仿宋_GB2312"/>
          <w:sz w:val="30"/>
          <w:szCs w:val="30"/>
        </w:rPr>
        <w:t>，</w:t>
      </w:r>
      <w:r>
        <w:rPr>
          <w:rFonts w:ascii="仿宋_GB2312" w:hAnsi="仿宋" w:eastAsia="仿宋_GB2312"/>
          <w:sz w:val="30"/>
          <w:szCs w:val="30"/>
        </w:rPr>
        <w:t>审核通过报名成功。</w:t>
      </w:r>
    </w:p>
    <w:p>
      <w:pPr>
        <w:spacing w:line="560" w:lineRule="exact"/>
        <w:ind w:firstLine="600" w:firstLineChars="200"/>
        <w:rPr>
          <w:rFonts w:ascii="仿宋" w:hAnsi="仿宋" w:eastAsia="仿宋" w:cs="宋体"/>
          <w:bCs/>
          <w:sz w:val="28"/>
          <w:szCs w:val="28"/>
        </w:rPr>
      </w:pPr>
      <w:r>
        <w:rPr>
          <w:rFonts w:hint="eastAsia" w:ascii="黑体" w:hAnsi="黑体" w:eastAsia="黑体"/>
          <w:bCs/>
          <w:color w:val="000000" w:themeColor="text1"/>
          <w:kern w:val="2"/>
          <w:sz w:val="30"/>
          <w:szCs w:val="30"/>
        </w:rPr>
        <w:t>五</w:t>
      </w:r>
      <w:r>
        <w:rPr>
          <w:rFonts w:ascii="黑体" w:hAnsi="黑体" w:eastAsia="黑体"/>
          <w:bCs/>
          <w:color w:val="000000" w:themeColor="text1"/>
          <w:kern w:val="2"/>
          <w:sz w:val="30"/>
          <w:szCs w:val="30"/>
        </w:rPr>
        <w:t>、竞赛日程安排</w:t>
      </w:r>
      <w:r>
        <w:rPr>
          <w:rFonts w:ascii="仿宋" w:hAnsi="仿宋" w:eastAsia="仿宋" w:cs="宋体"/>
          <w:bCs/>
          <w:sz w:val="28"/>
          <w:szCs w:val="28"/>
        </w:rPr>
        <w:t>（</w:t>
      </w:r>
      <w:r>
        <w:rPr>
          <w:rFonts w:hint="eastAsia" w:ascii="仿宋" w:hAnsi="仿宋" w:eastAsia="仿宋" w:cs="宋体"/>
          <w:bCs/>
          <w:sz w:val="28"/>
          <w:szCs w:val="28"/>
        </w:rPr>
        <w:t>具体</w:t>
      </w:r>
      <w:r>
        <w:rPr>
          <w:rFonts w:ascii="仿宋" w:hAnsi="仿宋" w:eastAsia="仿宋" w:cs="宋体"/>
          <w:bCs/>
          <w:sz w:val="28"/>
          <w:szCs w:val="28"/>
        </w:rPr>
        <w:t>以《</w:t>
      </w:r>
      <w:r>
        <w:rPr>
          <w:rFonts w:hint="eastAsia" w:ascii="仿宋" w:hAnsi="仿宋" w:eastAsia="仿宋" w:cs="宋体"/>
          <w:bCs/>
          <w:sz w:val="28"/>
          <w:szCs w:val="28"/>
        </w:rPr>
        <w:t>参赛</w:t>
      </w:r>
      <w:r>
        <w:rPr>
          <w:rFonts w:ascii="仿宋" w:hAnsi="仿宋" w:eastAsia="仿宋" w:cs="宋体"/>
          <w:bCs/>
          <w:sz w:val="28"/>
          <w:szCs w:val="28"/>
        </w:rPr>
        <w:t>指南》</w:t>
      </w:r>
      <w:r>
        <w:rPr>
          <w:rFonts w:hint="eastAsia" w:ascii="仿宋" w:hAnsi="仿宋" w:eastAsia="仿宋" w:cs="宋体"/>
          <w:bCs/>
          <w:sz w:val="28"/>
          <w:szCs w:val="28"/>
        </w:rPr>
        <w:t>为准</w:t>
      </w:r>
      <w:r>
        <w:rPr>
          <w:rFonts w:ascii="仿宋" w:hAnsi="仿宋" w:eastAsia="仿宋" w:cs="宋体"/>
          <w:bCs/>
          <w:sz w:val="28"/>
          <w:szCs w:val="28"/>
        </w:rPr>
        <w:t>）</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1.</w:t>
      </w:r>
      <w:r>
        <w:rPr>
          <w:rFonts w:hint="eastAsia" w:ascii="仿宋_GB2312" w:hAnsi="仿宋" w:eastAsia="仿宋_GB2312"/>
          <w:color w:val="000000" w:themeColor="text1"/>
          <w:sz w:val="30"/>
          <w:szCs w:val="30"/>
        </w:rPr>
        <w:t>参赛队报到</w:t>
      </w:r>
    </w:p>
    <w:p>
      <w:pPr>
        <w:spacing w:line="560" w:lineRule="exact"/>
        <w:ind w:firstLine="900" w:firstLineChars="3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时间：2023年3月8日0</w:t>
      </w:r>
      <w:r>
        <w:rPr>
          <w:rFonts w:ascii="仿宋_GB2312" w:hAnsi="仿宋" w:eastAsia="仿宋_GB2312"/>
          <w:color w:val="000000" w:themeColor="text1"/>
          <w:sz w:val="30"/>
          <w:szCs w:val="30"/>
        </w:rPr>
        <w:t>9</w:t>
      </w:r>
      <w:r>
        <w:rPr>
          <w:rFonts w:hint="eastAsia" w:ascii="仿宋_GB2312" w:hAnsi="仿宋" w:eastAsia="仿宋_GB2312"/>
          <w:color w:val="000000" w:themeColor="text1"/>
          <w:sz w:val="30"/>
          <w:szCs w:val="30"/>
        </w:rPr>
        <w:t>:</w:t>
      </w:r>
      <w:r>
        <w:rPr>
          <w:rFonts w:ascii="仿宋_GB2312" w:hAnsi="仿宋" w:eastAsia="仿宋_GB2312"/>
          <w:color w:val="000000" w:themeColor="text1"/>
          <w:sz w:val="30"/>
          <w:szCs w:val="30"/>
        </w:rPr>
        <w:t>0</w:t>
      </w:r>
      <w:r>
        <w:rPr>
          <w:rFonts w:hint="eastAsia" w:ascii="仿宋_GB2312" w:hAnsi="仿宋" w:eastAsia="仿宋_GB2312"/>
          <w:color w:val="000000" w:themeColor="text1"/>
          <w:sz w:val="30"/>
          <w:szCs w:val="30"/>
        </w:rPr>
        <w:t>0-1</w:t>
      </w:r>
      <w:r>
        <w:rPr>
          <w:rFonts w:ascii="仿宋_GB2312" w:hAnsi="仿宋" w:eastAsia="仿宋_GB2312"/>
          <w:color w:val="000000" w:themeColor="text1"/>
          <w:sz w:val="30"/>
          <w:szCs w:val="30"/>
        </w:rPr>
        <w:t>4</w:t>
      </w:r>
      <w:r>
        <w:rPr>
          <w:rFonts w:hint="eastAsia" w:ascii="仿宋_GB2312" w:hAnsi="仿宋" w:eastAsia="仿宋_GB2312"/>
          <w:color w:val="000000" w:themeColor="text1"/>
          <w:sz w:val="30"/>
          <w:szCs w:val="30"/>
        </w:rPr>
        <w:t>:</w:t>
      </w:r>
      <w:r>
        <w:rPr>
          <w:rFonts w:ascii="仿宋_GB2312" w:hAnsi="仿宋" w:eastAsia="仿宋_GB2312"/>
          <w:color w:val="000000" w:themeColor="text1"/>
          <w:sz w:val="30"/>
          <w:szCs w:val="30"/>
        </w:rPr>
        <w:t>0</w:t>
      </w:r>
      <w:r>
        <w:rPr>
          <w:rFonts w:hint="eastAsia" w:ascii="仿宋_GB2312" w:hAnsi="仿宋" w:eastAsia="仿宋_GB2312"/>
          <w:color w:val="000000" w:themeColor="text1"/>
          <w:sz w:val="30"/>
          <w:szCs w:val="30"/>
        </w:rPr>
        <w:t>0</w:t>
      </w:r>
    </w:p>
    <w:p>
      <w:pPr>
        <w:spacing w:line="560" w:lineRule="exact"/>
        <w:ind w:firstLine="900" w:firstLineChars="3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报到地点：郑州铁路职业技术学院（郑州市郑东新区鹏程大道5</w:t>
      </w:r>
      <w:r>
        <w:rPr>
          <w:rFonts w:ascii="仿宋_GB2312" w:hAnsi="仿宋" w:eastAsia="仿宋_GB2312"/>
          <w:color w:val="000000" w:themeColor="text1"/>
          <w:sz w:val="30"/>
          <w:szCs w:val="30"/>
        </w:rPr>
        <w:t>6</w:t>
      </w:r>
      <w:r>
        <w:rPr>
          <w:rFonts w:hint="eastAsia" w:ascii="仿宋_GB2312" w:hAnsi="仿宋" w:eastAsia="仿宋_GB2312"/>
          <w:color w:val="000000" w:themeColor="text1"/>
          <w:sz w:val="30"/>
          <w:szCs w:val="30"/>
        </w:rPr>
        <w:t>号）东门报到处</w:t>
      </w:r>
    </w:p>
    <w:p>
      <w:pPr>
        <w:spacing w:line="560" w:lineRule="exact"/>
        <w:ind w:firstLine="900" w:firstLineChars="3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联系人：白艳玲    手机：</w:t>
      </w:r>
      <w:r>
        <w:rPr>
          <w:rFonts w:ascii="仿宋_GB2312" w:hAnsi="仿宋" w:eastAsia="仿宋_GB2312"/>
          <w:color w:val="000000" w:themeColor="text1"/>
          <w:sz w:val="30"/>
          <w:szCs w:val="30"/>
        </w:rPr>
        <w:t>15517550897</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2.开赛式</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时间：2023年3月8日15:00-15:30</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地点：郑州铁路职业技术学院7号楼1层第二报告厅</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3.抽签</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时间：2023年3月8日15:30-16：00</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地点：郑州铁路职业技术学院7号楼1层第二报告厅</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4.选手熟悉场地</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时间：2023年3月8日16:00-17:00</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地点：郑州铁路职业技术学院9号楼（科技创新楼）</w:t>
      </w:r>
      <w:r>
        <w:rPr>
          <w:rFonts w:ascii="仿宋_GB2312" w:hAnsi="仿宋" w:eastAsia="仿宋_GB2312"/>
          <w:color w:val="000000" w:themeColor="text1"/>
          <w:sz w:val="30"/>
          <w:szCs w:val="30"/>
        </w:rPr>
        <w:t>6</w:t>
      </w:r>
      <w:r>
        <w:rPr>
          <w:rFonts w:hint="eastAsia" w:ascii="仿宋_GB2312" w:hAnsi="仿宋" w:eastAsia="仿宋_GB2312"/>
          <w:color w:val="000000" w:themeColor="text1"/>
          <w:sz w:val="30"/>
          <w:szCs w:val="30"/>
        </w:rPr>
        <w:t>层</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5.竞赛</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时间：2023年3月9日全天</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  地点：郑州铁路职业技术学院9号楼（科技创新楼）</w:t>
      </w:r>
      <w:r>
        <w:rPr>
          <w:rFonts w:ascii="仿宋_GB2312" w:hAnsi="仿宋" w:eastAsia="仿宋_GB2312"/>
          <w:color w:val="000000" w:themeColor="text1"/>
          <w:sz w:val="30"/>
          <w:szCs w:val="30"/>
        </w:rPr>
        <w:t>6</w:t>
      </w:r>
      <w:r>
        <w:rPr>
          <w:rFonts w:hint="eastAsia" w:ascii="仿宋_GB2312" w:hAnsi="仿宋" w:eastAsia="仿宋_GB2312"/>
          <w:color w:val="000000" w:themeColor="text1"/>
          <w:sz w:val="30"/>
          <w:szCs w:val="30"/>
        </w:rPr>
        <w:t>层</w:t>
      </w:r>
    </w:p>
    <w:p>
      <w:pPr>
        <w:spacing w:line="560" w:lineRule="exact"/>
        <w:ind w:firstLine="750" w:firstLineChars="25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6.竞赛</w:t>
      </w:r>
      <w:r>
        <w:rPr>
          <w:rFonts w:ascii="仿宋_GB2312" w:hAnsi="仿宋" w:eastAsia="仿宋_GB2312"/>
          <w:color w:val="000000" w:themeColor="text1"/>
          <w:sz w:val="30"/>
          <w:szCs w:val="30"/>
        </w:rPr>
        <w:t>时间安排如下表所示。</w:t>
      </w:r>
    </w:p>
    <w:p>
      <w:pPr>
        <w:spacing w:line="560" w:lineRule="exact"/>
        <w:ind w:firstLine="750" w:firstLineChars="250"/>
        <w:rPr>
          <w:rFonts w:ascii="仿宋_GB2312" w:hAnsi="仿宋" w:eastAsia="仿宋_GB2312"/>
          <w:color w:val="FF0000"/>
          <w:sz w:val="30"/>
          <w:szCs w:val="30"/>
        </w:rPr>
      </w:pPr>
    </w:p>
    <w:tbl>
      <w:tblPr>
        <w:tblStyle w:val="23"/>
        <w:tblW w:w="91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90"/>
        <w:gridCol w:w="1600"/>
        <w:gridCol w:w="4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2" w:type="dxa"/>
            <w:vAlign w:val="center"/>
          </w:tcPr>
          <w:p>
            <w:pPr>
              <w:adjustRightInd w:val="0"/>
              <w:snapToGrid w:val="0"/>
              <w:spacing w:line="360" w:lineRule="auto"/>
              <w:jc w:val="center"/>
              <w:rPr>
                <w:rFonts w:ascii="黑体" w:hAnsi="黑体" w:eastAsia="黑体" w:cs="黑体"/>
                <w:bCs/>
              </w:rPr>
            </w:pPr>
            <w:r>
              <w:rPr>
                <w:rFonts w:hint="eastAsia" w:ascii="黑体" w:hAnsi="黑体" w:eastAsia="黑体" w:cs="黑体"/>
                <w:bCs/>
              </w:rPr>
              <w:t>日程</w:t>
            </w:r>
          </w:p>
        </w:tc>
        <w:tc>
          <w:tcPr>
            <w:tcW w:w="1490" w:type="dxa"/>
            <w:vAlign w:val="center"/>
          </w:tcPr>
          <w:p>
            <w:pPr>
              <w:adjustRightInd w:val="0"/>
              <w:snapToGrid w:val="0"/>
              <w:spacing w:line="360" w:lineRule="auto"/>
              <w:jc w:val="center"/>
              <w:rPr>
                <w:rFonts w:ascii="黑体" w:hAnsi="黑体" w:eastAsia="黑体" w:cs="黑体"/>
                <w:bCs/>
              </w:rPr>
            </w:pPr>
            <w:r>
              <w:rPr>
                <w:rFonts w:hint="eastAsia" w:ascii="黑体" w:hAnsi="黑体" w:eastAsia="黑体" w:cs="黑体"/>
                <w:bCs/>
              </w:rPr>
              <w:t>时间</w:t>
            </w:r>
          </w:p>
        </w:tc>
        <w:tc>
          <w:tcPr>
            <w:tcW w:w="1600" w:type="dxa"/>
            <w:vAlign w:val="center"/>
          </w:tcPr>
          <w:p>
            <w:pPr>
              <w:adjustRightInd w:val="0"/>
              <w:snapToGrid w:val="0"/>
              <w:spacing w:line="360" w:lineRule="auto"/>
              <w:jc w:val="center"/>
              <w:rPr>
                <w:rFonts w:ascii="黑体" w:hAnsi="黑体" w:eastAsia="黑体" w:cs="黑体"/>
                <w:bCs/>
              </w:rPr>
            </w:pPr>
            <w:r>
              <w:rPr>
                <w:rFonts w:hint="eastAsia" w:ascii="黑体" w:hAnsi="黑体" w:eastAsia="黑体" w:cs="黑体"/>
                <w:bCs/>
              </w:rPr>
              <w:t>竞赛环节</w:t>
            </w:r>
          </w:p>
        </w:tc>
        <w:tc>
          <w:tcPr>
            <w:tcW w:w="4574" w:type="dxa"/>
            <w:vAlign w:val="center"/>
          </w:tcPr>
          <w:p>
            <w:pPr>
              <w:adjustRightInd w:val="0"/>
              <w:snapToGrid w:val="0"/>
              <w:spacing w:line="360" w:lineRule="auto"/>
              <w:jc w:val="center"/>
              <w:rPr>
                <w:rFonts w:ascii="黑体" w:hAnsi="黑体" w:eastAsia="黑体" w:cs="黑体"/>
                <w:bCs/>
              </w:rPr>
            </w:pPr>
            <w:r>
              <w:rPr>
                <w:rFonts w:hint="eastAsia" w:ascii="黑体" w:hAnsi="黑体" w:eastAsia="黑体" w:cs="黑体"/>
                <w:bCs/>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2" w:type="dxa"/>
            <w:vAlign w:val="center"/>
          </w:tcPr>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比赛前一天</w:t>
            </w:r>
          </w:p>
        </w:tc>
        <w:tc>
          <w:tcPr>
            <w:tcW w:w="1490" w:type="dxa"/>
            <w:vAlign w:val="center"/>
          </w:tcPr>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1</w:t>
            </w:r>
            <w:r>
              <w:rPr>
                <w:rFonts w:ascii="仿宋" w:hAnsi="仿宋" w:eastAsia="仿宋" w:cs="仿宋"/>
                <w:kern w:val="2"/>
                <w:sz w:val="21"/>
                <w:szCs w:val="21"/>
              </w:rPr>
              <w:t>5</w:t>
            </w:r>
            <w:r>
              <w:rPr>
                <w:rFonts w:hint="eastAsia" w:ascii="仿宋" w:hAnsi="仿宋" w:eastAsia="仿宋" w:cs="仿宋"/>
                <w:kern w:val="2"/>
                <w:sz w:val="21"/>
                <w:szCs w:val="21"/>
              </w:rPr>
              <w:t>:</w:t>
            </w:r>
            <w:r>
              <w:rPr>
                <w:rFonts w:ascii="仿宋" w:hAnsi="仿宋" w:eastAsia="仿宋" w:cs="仿宋"/>
                <w:kern w:val="2"/>
                <w:sz w:val="21"/>
                <w:szCs w:val="21"/>
              </w:rPr>
              <w:t>0</w:t>
            </w:r>
            <w:r>
              <w:rPr>
                <w:rFonts w:hint="eastAsia" w:ascii="仿宋" w:hAnsi="仿宋" w:eastAsia="仿宋" w:cs="仿宋"/>
                <w:kern w:val="2"/>
                <w:sz w:val="21"/>
                <w:szCs w:val="21"/>
              </w:rPr>
              <w:t>0-17:00</w:t>
            </w:r>
          </w:p>
        </w:tc>
        <w:tc>
          <w:tcPr>
            <w:tcW w:w="1600" w:type="dxa"/>
            <w:vAlign w:val="center"/>
          </w:tcPr>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赛前准备</w:t>
            </w:r>
          </w:p>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竞赛开赛式</w:t>
            </w:r>
          </w:p>
          <w:p>
            <w:pPr>
              <w:spacing w:line="360" w:lineRule="auto"/>
              <w:jc w:val="center"/>
              <w:rPr>
                <w:rFonts w:ascii="仿宋" w:hAnsi="仿宋" w:eastAsia="仿宋" w:cs="仿宋"/>
                <w:kern w:val="2"/>
                <w:sz w:val="21"/>
                <w:szCs w:val="21"/>
              </w:rPr>
            </w:pPr>
            <w:r>
              <w:rPr>
                <w:rFonts w:hint="eastAsia" w:ascii="仿宋" w:hAnsi="仿宋" w:eastAsia="仿宋" w:cs="仿宋"/>
                <w:kern w:val="2"/>
                <w:sz w:val="21"/>
                <w:szCs w:val="21"/>
              </w:rPr>
              <w:t>熟悉赛场</w:t>
            </w:r>
          </w:p>
        </w:tc>
        <w:tc>
          <w:tcPr>
            <w:tcW w:w="4574" w:type="dxa"/>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 xml:space="preserve">召开参赛队与指导教师赛前说明会； </w:t>
            </w:r>
          </w:p>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参赛队熟悉竞赛场地；</w:t>
            </w:r>
          </w:p>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裁判与工作人员培训；</w:t>
            </w:r>
          </w:p>
          <w:p>
            <w:pPr>
              <w:adjustRightInd w:val="0"/>
              <w:snapToGrid w:val="0"/>
              <w:spacing w:line="360" w:lineRule="auto"/>
              <w:rPr>
                <w:rFonts w:ascii="仿宋" w:hAnsi="仿宋" w:eastAsia="仿宋" w:cs="仿宋"/>
                <w:kern w:val="2"/>
                <w:sz w:val="21"/>
                <w:szCs w:val="21"/>
              </w:rPr>
            </w:pPr>
            <w:r>
              <w:rPr>
                <w:rFonts w:hint="eastAsia" w:ascii="仿宋" w:hAnsi="仿宋" w:eastAsia="仿宋" w:cs="仿宋"/>
                <w:sz w:val="21"/>
                <w:szCs w:val="21"/>
              </w:rPr>
              <w:t>赛场检查并封闭。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restart"/>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比赛日</w:t>
            </w: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07:00-07:20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启封赛场</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在裁判员和监督仲裁组的监督下，工作人员启封赛场。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07:20-07:30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竞赛选手进行一次抽签加密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参赛选手持参赛证、身份证和学生证接受工作人员检录，进行一次加密，确定参赛编号。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07:30-07:40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二次抽签加密</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参赛选手凭一次加密后的参赛编号抽签，进行二次加密，确定赛位号。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07:40-07:50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竞赛入场检录</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参赛选手凭赛位号入场检录，确认没有携带竞赛禁止的工具和材料。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07:50-08:00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竞赛选手入场就位、发布竞赛任务</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参赛选手由工作人员引导进入竞赛工位，裁判宣读竞赛规则及赛场规则，发布竞赛任务并作必要说明。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08:00-1</w:t>
            </w:r>
            <w:r>
              <w:rPr>
                <w:rFonts w:ascii="仿宋" w:hAnsi="仿宋" w:eastAsia="仿宋" w:cs="仿宋"/>
                <w:color w:val="000000" w:themeColor="text1"/>
                <w:sz w:val="21"/>
                <w:szCs w:val="21"/>
              </w:rPr>
              <w:t>1</w:t>
            </w:r>
            <w:r>
              <w:rPr>
                <w:rFonts w:hint="eastAsia" w:ascii="仿宋" w:hAnsi="仿宋" w:eastAsia="仿宋" w:cs="仿宋"/>
                <w:color w:val="000000" w:themeColor="text1"/>
                <w:sz w:val="21"/>
                <w:szCs w:val="21"/>
              </w:rPr>
              <w:t>:00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竞赛</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竞赛试题分三部分</w:t>
            </w:r>
            <w:r>
              <w:rPr>
                <w:rFonts w:ascii="仿宋" w:hAnsi="仿宋" w:eastAsia="仿宋" w:cs="仿宋"/>
                <w:color w:val="000000" w:themeColor="text1"/>
                <w:sz w:val="21"/>
                <w:szCs w:val="21"/>
              </w:rPr>
              <w:t>，参赛选手自行分配时间。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11:</w:t>
            </w:r>
            <w:r>
              <w:rPr>
                <w:rFonts w:ascii="仿宋" w:hAnsi="仿宋" w:eastAsia="仿宋" w:cs="仿宋"/>
                <w:color w:val="000000" w:themeColor="text1"/>
                <w:sz w:val="21"/>
                <w:szCs w:val="21"/>
              </w:rPr>
              <w:t>0</w:t>
            </w:r>
            <w:r>
              <w:rPr>
                <w:rFonts w:hint="eastAsia" w:ascii="仿宋" w:hAnsi="仿宋" w:eastAsia="仿宋" w:cs="仿宋"/>
                <w:color w:val="000000" w:themeColor="text1"/>
                <w:sz w:val="21"/>
                <w:szCs w:val="21"/>
              </w:rPr>
              <w:t>0</w:t>
            </w:r>
            <w:r>
              <w:rPr>
                <w:rFonts w:ascii="仿宋" w:hAnsi="仿宋" w:eastAsia="仿宋" w:cs="仿宋"/>
                <w:color w:val="000000" w:themeColor="text1"/>
                <w:sz w:val="21"/>
                <w:szCs w:val="21"/>
              </w:rPr>
              <w:t>-12</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3</w:t>
            </w:r>
            <w:r>
              <w:rPr>
                <w:rFonts w:hint="eastAsia" w:ascii="仿宋" w:hAnsi="仿宋" w:eastAsia="仿宋" w:cs="仿宋"/>
                <w:color w:val="000000" w:themeColor="text1"/>
                <w:sz w:val="21"/>
                <w:szCs w:val="21"/>
              </w:rPr>
              <w:t>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评分</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2</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30</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13</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3</w:t>
            </w:r>
            <w:r>
              <w:rPr>
                <w:rFonts w:hint="eastAsia" w:ascii="仿宋" w:hAnsi="仿宋" w:eastAsia="仿宋" w:cs="仿宋"/>
                <w:color w:val="000000" w:themeColor="text1"/>
                <w:sz w:val="21"/>
                <w:szCs w:val="21"/>
              </w:rPr>
              <w:t>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赛场复位</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比赛环境复位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0-</w:t>
            </w: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sz w:val="21"/>
                <w:szCs w:val="21"/>
              </w:rPr>
              <w:t>竞赛选手进行一次抽签加密</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sz w:val="21"/>
                <w:szCs w:val="21"/>
              </w:rPr>
              <w:t>参赛选手持参赛证、身份证和学生证接受工作人员检录，并进行一次加密，确定参赛编号。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0-</w:t>
            </w: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sz w:val="21"/>
                <w:szCs w:val="21"/>
              </w:rPr>
              <w:t>二次抽签加密</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sz w:val="21"/>
                <w:szCs w:val="21"/>
              </w:rPr>
              <w:t>参赛选手凭一次加密后的参赛编号抽签，进行二次加密，确定赛位号。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0-</w:t>
            </w: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50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竞赛入场检录</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参赛选手凭赛位号入场检录，确认没有携带竞赛禁止的工具和材料。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0-14:</w:t>
            </w:r>
            <w:r>
              <w:rPr>
                <w:rFonts w:ascii="仿宋" w:hAnsi="仿宋" w:eastAsia="仿宋" w:cs="仿宋"/>
                <w:sz w:val="21"/>
                <w:szCs w:val="21"/>
              </w:rPr>
              <w:t>0</w:t>
            </w:r>
            <w:r>
              <w:rPr>
                <w:rFonts w:hint="eastAsia" w:ascii="仿宋" w:hAnsi="仿宋" w:eastAsia="仿宋" w:cs="仿宋"/>
                <w:sz w:val="21"/>
                <w:szCs w:val="21"/>
              </w:rPr>
              <w:t>0</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竞赛选手入场就位、发布竞赛任务</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参赛选手由工作人员引导进入竞赛工位，裁判宣读竞赛规则及赛场规则，发布竞赛任务并作必要说明。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14:</w:t>
            </w:r>
            <w:r>
              <w:rPr>
                <w:rFonts w:ascii="仿宋" w:hAnsi="仿宋" w:eastAsia="仿宋" w:cs="仿宋"/>
                <w:color w:val="000000" w:themeColor="text1"/>
                <w:sz w:val="21"/>
                <w:szCs w:val="21"/>
              </w:rPr>
              <w:t>0</w:t>
            </w:r>
            <w:r>
              <w:rPr>
                <w:rFonts w:hint="eastAsia" w:ascii="仿宋" w:hAnsi="仿宋" w:eastAsia="仿宋" w:cs="仿宋"/>
                <w:color w:val="000000" w:themeColor="text1"/>
                <w:sz w:val="21"/>
                <w:szCs w:val="21"/>
              </w:rPr>
              <w:t>0-</w:t>
            </w:r>
            <w:r>
              <w:rPr>
                <w:rFonts w:ascii="仿宋" w:hAnsi="仿宋" w:eastAsia="仿宋" w:cs="仿宋"/>
                <w:color w:val="000000" w:themeColor="text1"/>
                <w:sz w:val="21"/>
                <w:szCs w:val="21"/>
              </w:rPr>
              <w:t>17</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0</w:t>
            </w:r>
            <w:r>
              <w:rPr>
                <w:rFonts w:hint="eastAsia" w:ascii="仿宋" w:hAnsi="仿宋" w:eastAsia="仿宋" w:cs="仿宋"/>
                <w:color w:val="000000" w:themeColor="text1"/>
                <w:sz w:val="21"/>
                <w:szCs w:val="21"/>
              </w:rPr>
              <w:t>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竞赛</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竞赛试题分三部分</w:t>
            </w:r>
            <w:r>
              <w:rPr>
                <w:rFonts w:ascii="仿宋" w:hAnsi="仿宋" w:eastAsia="仿宋" w:cs="仿宋"/>
                <w:color w:val="000000" w:themeColor="text1"/>
                <w:sz w:val="21"/>
                <w:szCs w:val="21"/>
              </w:rPr>
              <w:t>，参赛选手自行分配时间。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17:</w:t>
            </w:r>
            <w:r>
              <w:rPr>
                <w:rFonts w:ascii="仿宋" w:hAnsi="仿宋" w:eastAsia="仿宋" w:cs="仿宋"/>
                <w:color w:val="000000" w:themeColor="text1"/>
                <w:sz w:val="21"/>
                <w:szCs w:val="21"/>
              </w:rPr>
              <w:t>0</w:t>
            </w:r>
            <w:r>
              <w:rPr>
                <w:rFonts w:hint="eastAsia" w:ascii="仿宋" w:hAnsi="仿宋" w:eastAsia="仿宋" w:cs="仿宋"/>
                <w:color w:val="000000" w:themeColor="text1"/>
                <w:sz w:val="21"/>
                <w:szCs w:val="21"/>
              </w:rPr>
              <w:t>0</w:t>
            </w:r>
            <w:r>
              <w:rPr>
                <w:rFonts w:ascii="仿宋" w:hAnsi="仿宋" w:eastAsia="仿宋" w:cs="仿宋"/>
                <w:color w:val="000000" w:themeColor="text1"/>
                <w:sz w:val="21"/>
                <w:szCs w:val="21"/>
              </w:rPr>
              <w:t>-18</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4</w:t>
            </w:r>
            <w:r>
              <w:rPr>
                <w:rFonts w:hint="eastAsia" w:ascii="仿宋" w:hAnsi="仿宋" w:eastAsia="仿宋" w:cs="仿宋"/>
                <w:color w:val="000000" w:themeColor="text1"/>
                <w:sz w:val="21"/>
                <w:szCs w:val="21"/>
              </w:rPr>
              <w:t>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评分</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8</w:t>
            </w:r>
            <w:r>
              <w:rPr>
                <w:rFonts w:hint="eastAsia" w:ascii="仿宋" w:hAnsi="仿宋" w:eastAsia="仿宋" w:cs="仿宋"/>
                <w:color w:val="000000" w:themeColor="text1"/>
                <w:sz w:val="21"/>
                <w:szCs w:val="21"/>
              </w:rPr>
              <w:t>:</w:t>
            </w:r>
            <w:r>
              <w:rPr>
                <w:rFonts w:ascii="仿宋" w:hAnsi="仿宋" w:eastAsia="仿宋" w:cs="仿宋"/>
                <w:color w:val="000000" w:themeColor="text1"/>
                <w:sz w:val="21"/>
                <w:szCs w:val="21"/>
              </w:rPr>
              <w:t>4</w:t>
            </w:r>
            <w:r>
              <w:rPr>
                <w:rFonts w:hint="eastAsia" w:ascii="仿宋" w:hAnsi="仿宋" w:eastAsia="仿宋" w:cs="仿宋"/>
                <w:color w:val="000000" w:themeColor="text1"/>
                <w:sz w:val="21"/>
                <w:szCs w:val="21"/>
              </w:rPr>
              <w:t>0-19:</w:t>
            </w:r>
            <w:r>
              <w:rPr>
                <w:rFonts w:ascii="仿宋" w:hAnsi="仿宋" w:eastAsia="仿宋" w:cs="仿宋"/>
                <w:color w:val="000000" w:themeColor="text1"/>
                <w:sz w:val="21"/>
                <w:szCs w:val="21"/>
              </w:rPr>
              <w:t>00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解密</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对加密信息进行解密。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19:</w:t>
            </w:r>
            <w:r>
              <w:rPr>
                <w:rFonts w:ascii="仿宋" w:hAnsi="仿宋" w:eastAsia="仿宋" w:cs="仿宋"/>
                <w:color w:val="000000" w:themeColor="text1"/>
                <w:sz w:val="21"/>
                <w:szCs w:val="21"/>
              </w:rPr>
              <w:t>00</w:t>
            </w:r>
            <w:r>
              <w:rPr>
                <w:rFonts w:hint="eastAsia" w:ascii="仿宋" w:hAnsi="仿宋" w:eastAsia="仿宋" w:cs="仿宋"/>
                <w:color w:val="000000" w:themeColor="text1"/>
                <w:sz w:val="21"/>
                <w:szCs w:val="21"/>
              </w:rPr>
              <w:t>-20:00</w:t>
            </w:r>
          </w:p>
        </w:tc>
        <w:tc>
          <w:tcPr>
            <w:tcW w:w="1600"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成绩确认</w:t>
            </w:r>
          </w:p>
        </w:tc>
        <w:tc>
          <w:tcPr>
            <w:tcW w:w="4574" w:type="dxa"/>
            <w:vAlign w:val="center"/>
          </w:tcPr>
          <w:p>
            <w:pPr>
              <w:adjustRightInd w:val="0"/>
              <w:snapToGrid w:val="0"/>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对两场成绩汇总确认并封存。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vAlign w:val="center"/>
          </w:tcPr>
          <w:p>
            <w:pPr>
              <w:adjustRightInd w:val="0"/>
              <w:snapToGrid w:val="0"/>
              <w:spacing w:line="360" w:lineRule="auto"/>
              <w:ind w:left="-120" w:leftChars="-50" w:right="-120" w:rightChars="-50"/>
              <w:jc w:val="center"/>
              <w:rPr>
                <w:rFonts w:ascii="仿宋" w:hAnsi="仿宋" w:eastAsia="仿宋" w:cs="仿宋"/>
                <w:sz w:val="21"/>
                <w:szCs w:val="21"/>
              </w:rPr>
            </w:pPr>
          </w:p>
        </w:tc>
        <w:tc>
          <w:tcPr>
            <w:tcW w:w="1490" w:type="dxa"/>
            <w:vAlign w:val="center"/>
          </w:tcPr>
          <w:p>
            <w:pPr>
              <w:adjustRightInd w:val="0"/>
              <w:snapToGrid w:val="0"/>
              <w:spacing w:line="360" w:lineRule="auto"/>
              <w:ind w:left="-120" w:leftChars="-50" w:right="-120" w:rightChars="-50"/>
              <w:jc w:val="center"/>
              <w:rPr>
                <w:rFonts w:ascii="仿宋" w:hAnsi="仿宋" w:eastAsia="仿宋" w:cs="仿宋"/>
                <w:sz w:val="21"/>
                <w:szCs w:val="21"/>
              </w:rPr>
            </w:pPr>
            <w:r>
              <w:rPr>
                <w:rFonts w:hint="eastAsia" w:ascii="仿宋" w:hAnsi="仿宋" w:eastAsia="仿宋" w:cs="仿宋"/>
                <w:sz w:val="21"/>
                <w:szCs w:val="21"/>
              </w:rPr>
              <w:t>20:00以后</w:t>
            </w:r>
          </w:p>
        </w:tc>
        <w:tc>
          <w:tcPr>
            <w:tcW w:w="1600"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成绩公布</w:t>
            </w:r>
          </w:p>
        </w:tc>
        <w:tc>
          <w:tcPr>
            <w:tcW w:w="4574" w:type="dxa"/>
            <w:vAlign w:val="center"/>
          </w:tcPr>
          <w:p>
            <w:pPr>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竞赛成绩公布</w:t>
            </w:r>
          </w:p>
        </w:tc>
      </w:tr>
    </w:tbl>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注：时间安排拟定为一天2场，根据工位数和参赛选手人数适时增减竞赛场次，成绩公布时间定在比赛最后一天20:00以后。</w:t>
      </w:r>
    </w:p>
    <w:p>
      <w:pPr>
        <w:pStyle w:val="16"/>
        <w:spacing w:before="0" w:after="0" w:line="560" w:lineRule="exact"/>
        <w:ind w:firstLine="600" w:firstLineChars="200"/>
        <w:jc w:val="left"/>
        <w:rPr>
          <w:rFonts w:ascii="仿宋" w:hAnsi="仿宋" w:eastAsia="仿宋"/>
          <w:color w:val="000000" w:themeColor="text1"/>
          <w:kern w:val="2"/>
          <w:sz w:val="28"/>
          <w:szCs w:val="28"/>
        </w:rPr>
      </w:pPr>
      <w:r>
        <w:rPr>
          <w:rFonts w:hint="eastAsia" w:ascii="黑体" w:hAnsi="黑体" w:eastAsia="黑体"/>
          <w:b w:val="0"/>
          <w:color w:val="000000" w:themeColor="text1"/>
          <w:kern w:val="2"/>
          <w:sz w:val="30"/>
          <w:szCs w:val="30"/>
        </w:rPr>
        <w:t>六、竞赛内容</w:t>
      </w:r>
    </w:p>
    <w:p>
      <w:pPr>
        <w:spacing w:line="560" w:lineRule="exact"/>
        <w:ind w:firstLine="600" w:firstLineChars="200"/>
        <w:rPr>
          <w:rFonts w:ascii="仿宋_GB2312" w:hAnsi="仿宋" w:eastAsia="仿宋_GB2312"/>
          <w:color w:val="000000" w:themeColor="text1"/>
          <w:sz w:val="30"/>
          <w:szCs w:val="30"/>
        </w:rPr>
      </w:pPr>
      <w:r>
        <w:rPr>
          <w:rFonts w:hint="eastAsia" w:ascii="楷体_GB2312" w:hAnsi="楷体_GB2312" w:eastAsia="楷体_GB2312" w:cs="楷体_GB2312"/>
          <w:sz w:val="30"/>
          <w:szCs w:val="30"/>
        </w:rPr>
        <w:t>（一）能力要求</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赛项竞赛时长为</w:t>
      </w:r>
      <w:r>
        <w:rPr>
          <w:rFonts w:ascii="仿宋_GB2312" w:hAnsi="仿宋" w:eastAsia="仿宋_GB2312"/>
          <w:color w:val="000000" w:themeColor="text1"/>
          <w:sz w:val="30"/>
          <w:szCs w:val="30"/>
        </w:rPr>
        <w:t>3小时，</w:t>
      </w:r>
      <w:r>
        <w:rPr>
          <w:rFonts w:hint="eastAsia" w:ascii="仿宋_GB2312" w:hAnsi="仿宋" w:eastAsia="仿宋_GB2312"/>
          <w:color w:val="000000" w:themeColor="text1"/>
          <w:sz w:val="30"/>
          <w:szCs w:val="30"/>
        </w:rPr>
        <w:t>重点考核参赛选手网络组建和安全运维、安全审计、网络安全应急响应、数字取证调查、应用程序安全和网络攻防渗透等综合实践能力，具体包括：</w:t>
      </w:r>
    </w:p>
    <w:p>
      <w:pPr>
        <w:spacing w:line="560" w:lineRule="exact"/>
        <w:ind w:firstLine="600" w:firstLineChars="200"/>
        <w:rPr>
          <w:rFonts w:ascii="仿宋_GB2312" w:hAnsi="仿宋" w:eastAsia="仿宋_GB2312"/>
          <w:color w:val="000000" w:themeColor="text1"/>
          <w:sz w:val="30"/>
          <w:szCs w:val="30"/>
        </w:rPr>
      </w:pPr>
      <w:r>
        <w:rPr>
          <w:rFonts w:ascii="仿宋_GB2312" w:hAnsi="仿宋" w:eastAsia="仿宋_GB2312"/>
          <w:color w:val="000000" w:themeColor="text1"/>
          <w:sz w:val="30"/>
          <w:szCs w:val="30"/>
        </w:rPr>
        <w:t>1</w:t>
      </w:r>
      <w:r>
        <w:rPr>
          <w:rFonts w:hint="eastAsia" w:ascii="仿宋_GB2312" w:hAnsi="仿宋" w:eastAsia="仿宋_GB2312"/>
          <w:color w:val="000000" w:themeColor="text1"/>
          <w:sz w:val="30"/>
          <w:szCs w:val="30"/>
        </w:rPr>
        <w:t>.参赛选手能够根据大赛提供的赛项要求，设计信息安全防护方案，并且能够提供详细的信息安全防护设备拓扑图。</w:t>
      </w:r>
    </w:p>
    <w:p>
      <w:pPr>
        <w:spacing w:line="560" w:lineRule="exact"/>
        <w:ind w:firstLine="600" w:firstLineChars="200"/>
        <w:rPr>
          <w:rFonts w:ascii="仿宋_GB2312" w:hAnsi="仿宋" w:eastAsia="仿宋_GB2312"/>
          <w:color w:val="000000" w:themeColor="text1"/>
          <w:sz w:val="30"/>
          <w:szCs w:val="30"/>
        </w:rPr>
      </w:pPr>
      <w:r>
        <w:rPr>
          <w:rFonts w:ascii="仿宋_GB2312" w:hAnsi="仿宋" w:eastAsia="仿宋_GB2312"/>
          <w:color w:val="000000" w:themeColor="text1"/>
          <w:sz w:val="30"/>
          <w:szCs w:val="30"/>
        </w:rPr>
        <w:t>2.</w:t>
      </w:r>
      <w:r>
        <w:rPr>
          <w:rFonts w:hint="eastAsia" w:ascii="仿宋_GB2312" w:hAnsi="仿宋" w:eastAsia="仿宋_GB2312"/>
          <w:color w:val="000000" w:themeColor="text1"/>
          <w:sz w:val="30"/>
          <w:szCs w:val="30"/>
        </w:rPr>
        <w:t>参赛选手能够根据业务需求和实际的工程应用环境，实现网络设备、安全设备、服务器的连接，通过调试，实现设备互联互通。</w:t>
      </w:r>
    </w:p>
    <w:p>
      <w:pPr>
        <w:spacing w:line="560" w:lineRule="exact"/>
        <w:ind w:firstLine="600" w:firstLineChars="200"/>
        <w:rPr>
          <w:rFonts w:ascii="仿宋_GB2312" w:hAnsi="仿宋" w:eastAsia="仿宋_GB2312"/>
          <w:color w:val="000000" w:themeColor="text1"/>
          <w:sz w:val="30"/>
          <w:szCs w:val="30"/>
        </w:rPr>
      </w:pPr>
      <w:r>
        <w:rPr>
          <w:rFonts w:ascii="仿宋_GB2312" w:hAnsi="仿宋" w:eastAsia="仿宋_GB2312"/>
          <w:color w:val="000000" w:themeColor="text1"/>
          <w:sz w:val="30"/>
          <w:szCs w:val="30"/>
        </w:rPr>
        <w:t>3.</w:t>
      </w:r>
      <w:r>
        <w:rPr>
          <w:rFonts w:hint="eastAsia" w:ascii="仿宋_GB2312" w:hAnsi="仿宋" w:eastAsia="仿宋_GB2312"/>
          <w:color w:val="000000" w:themeColor="text1"/>
          <w:sz w:val="30"/>
          <w:szCs w:val="30"/>
        </w:rPr>
        <w:t>参赛选手能够在赛项提供的网络设备及服务器上配置各种协议和服务，实现网络系统的运行，并根据网络业务需求配置各种安全策略，组建网络以满足应用需求。</w:t>
      </w:r>
    </w:p>
    <w:p>
      <w:pPr>
        <w:spacing w:line="560" w:lineRule="exact"/>
        <w:ind w:firstLine="600" w:firstLineChars="200"/>
        <w:rPr>
          <w:rFonts w:ascii="仿宋_GB2312" w:hAnsi="仿宋" w:eastAsia="仿宋_GB2312"/>
          <w:color w:val="000000" w:themeColor="text1"/>
          <w:sz w:val="30"/>
          <w:szCs w:val="30"/>
        </w:rPr>
      </w:pPr>
      <w:r>
        <w:rPr>
          <w:rFonts w:ascii="仿宋_GB2312" w:hAnsi="仿宋" w:eastAsia="仿宋_GB2312"/>
          <w:color w:val="000000" w:themeColor="text1"/>
          <w:sz w:val="30"/>
          <w:szCs w:val="30"/>
        </w:rPr>
        <w:t>4.</w:t>
      </w:r>
      <w:r>
        <w:rPr>
          <w:rFonts w:hint="eastAsia" w:ascii="仿宋_GB2312" w:hAnsi="仿宋" w:eastAsia="仿宋_GB2312"/>
          <w:color w:val="000000" w:themeColor="text1"/>
          <w:sz w:val="30"/>
          <w:szCs w:val="30"/>
        </w:rPr>
        <w:t>参赛选手能够根据企业所发现的安全事件，展开网络安全事件的调查、分析和取证工作，收集、保存、处理、分析和提供与计算机相关的证据，审计黑客的入侵行为，恢复被黑客破坏的文件。</w:t>
      </w:r>
    </w:p>
    <w:p>
      <w:pPr>
        <w:spacing w:line="560" w:lineRule="exact"/>
        <w:ind w:firstLine="600" w:firstLineChars="200"/>
        <w:rPr>
          <w:rFonts w:ascii="仿宋_GB2312" w:hAnsi="仿宋" w:eastAsia="仿宋_GB2312"/>
          <w:color w:val="FF0000"/>
          <w:sz w:val="30"/>
          <w:szCs w:val="30"/>
        </w:rPr>
      </w:pPr>
      <w:r>
        <w:rPr>
          <w:rFonts w:ascii="仿宋_GB2312" w:hAnsi="仿宋" w:eastAsia="仿宋_GB2312"/>
          <w:color w:val="000000" w:themeColor="text1"/>
          <w:sz w:val="30"/>
          <w:szCs w:val="30"/>
        </w:rPr>
        <w:t>5.</w:t>
      </w:r>
      <w:r>
        <w:rPr>
          <w:rFonts w:hint="eastAsia" w:ascii="仿宋_GB2312" w:hAnsi="仿宋" w:eastAsia="仿宋_GB2312"/>
          <w:color w:val="000000" w:themeColor="text1"/>
          <w:sz w:val="30"/>
          <w:szCs w:val="30"/>
        </w:rPr>
        <w:t>参赛选手可以利用一系列网络安全攻击渗透工具对所提供的网络安全攻击靶场环境进行综合分析、挖掘和渗透</w:t>
      </w:r>
      <w:r>
        <w:rPr>
          <w:rFonts w:ascii="仿宋_GB2312" w:hAnsi="仿宋" w:eastAsia="仿宋_GB2312"/>
          <w:color w:val="000000" w:themeColor="text1"/>
          <w:sz w:val="30"/>
          <w:szCs w:val="30"/>
        </w:rPr>
        <w:t>。</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w:t>
      </w:r>
      <w:r>
        <w:rPr>
          <w:rFonts w:ascii="仿宋_GB2312" w:hAnsi="仿宋" w:eastAsia="仿宋_GB2312"/>
          <w:sz w:val="30"/>
          <w:szCs w:val="30"/>
        </w:rPr>
        <w:t>选手在规定时间</w:t>
      </w:r>
      <w:r>
        <w:rPr>
          <w:rFonts w:hint="eastAsia" w:ascii="仿宋_GB2312" w:hAnsi="仿宋" w:eastAsia="仿宋_GB2312"/>
          <w:sz w:val="30"/>
          <w:szCs w:val="30"/>
        </w:rPr>
        <w:t>内</w:t>
      </w:r>
      <w:r>
        <w:rPr>
          <w:rFonts w:ascii="仿宋_GB2312" w:hAnsi="仿宋" w:eastAsia="仿宋_GB2312"/>
          <w:sz w:val="30"/>
          <w:szCs w:val="30"/>
        </w:rPr>
        <w:t>，以现场操作的方式，根据赛场提供的有关资料和</w:t>
      </w:r>
      <w:r>
        <w:rPr>
          <w:rFonts w:hint="eastAsia" w:ascii="仿宋_GB2312" w:hAnsi="仿宋" w:eastAsia="仿宋_GB2312"/>
          <w:sz w:val="30"/>
          <w:szCs w:val="30"/>
        </w:rPr>
        <w:t>赛项</w:t>
      </w:r>
      <w:r>
        <w:rPr>
          <w:rFonts w:ascii="仿宋_GB2312" w:hAnsi="仿宋" w:eastAsia="仿宋_GB2312"/>
          <w:sz w:val="30"/>
          <w:szCs w:val="30"/>
        </w:rPr>
        <w:t>任务书，完成赛项任务，具体竞赛内容和成绩占比如下表所示：</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（二）竞赛内容</w:t>
      </w:r>
    </w:p>
    <w:tbl>
      <w:tblPr>
        <w:tblStyle w:val="23"/>
        <w:tblW w:w="8642" w:type="dxa"/>
        <w:tblInd w:w="0" w:type="dxa"/>
        <w:tblLayout w:type="fixed"/>
        <w:tblCellMar>
          <w:top w:w="0" w:type="dxa"/>
          <w:left w:w="108" w:type="dxa"/>
          <w:bottom w:w="0" w:type="dxa"/>
          <w:right w:w="108" w:type="dxa"/>
        </w:tblCellMar>
      </w:tblPr>
      <w:tblGrid>
        <w:gridCol w:w="1159"/>
        <w:gridCol w:w="1389"/>
        <w:gridCol w:w="1701"/>
        <w:gridCol w:w="4393"/>
      </w:tblGrid>
      <w:tr>
        <w:tblPrEx>
          <w:tblCellMar>
            <w:top w:w="0" w:type="dxa"/>
            <w:left w:w="108" w:type="dxa"/>
            <w:bottom w:w="0" w:type="dxa"/>
            <w:right w:w="108" w:type="dxa"/>
          </w:tblCellMar>
        </w:tblPrEx>
        <w:trPr>
          <w:trHeight w:val="270" w:hRule="atLeast"/>
        </w:trPr>
        <w:tc>
          <w:tcPr>
            <w:tcW w:w="1159" w:type="dxa"/>
            <w:tcBorders>
              <w:top w:val="single" w:color="auto" w:sz="4" w:space="0"/>
              <w:left w:val="single" w:color="auto" w:sz="4" w:space="0"/>
              <w:bottom w:val="single" w:color="auto" w:sz="4" w:space="0"/>
              <w:right w:val="single" w:color="auto" w:sz="4" w:space="0"/>
            </w:tcBorders>
            <w:vAlign w:val="bottom"/>
          </w:tcPr>
          <w:p>
            <w:pPr>
              <w:pStyle w:val="76"/>
              <w:jc w:val="center"/>
              <w:rPr>
                <w:rFonts w:ascii="黑体" w:hAnsi="黑体" w:eastAsia="黑体" w:cs="黑体"/>
                <w:bCs/>
                <w:kern w:val="0"/>
              </w:rPr>
            </w:pPr>
            <w:r>
              <w:rPr>
                <w:rFonts w:hint="eastAsia" w:ascii="黑体" w:hAnsi="黑体" w:eastAsia="黑体" w:cs="黑体"/>
                <w:bCs/>
                <w:kern w:val="0"/>
              </w:rPr>
              <w:t>序号</w:t>
            </w:r>
          </w:p>
        </w:tc>
        <w:tc>
          <w:tcPr>
            <w:tcW w:w="1389" w:type="dxa"/>
            <w:tcBorders>
              <w:top w:val="single" w:color="auto" w:sz="4" w:space="0"/>
              <w:left w:val="nil"/>
              <w:bottom w:val="single" w:color="auto" w:sz="4" w:space="0"/>
              <w:right w:val="single" w:color="auto" w:sz="4" w:space="0"/>
            </w:tcBorders>
            <w:vAlign w:val="bottom"/>
          </w:tcPr>
          <w:p>
            <w:pPr>
              <w:pStyle w:val="76"/>
              <w:jc w:val="center"/>
              <w:rPr>
                <w:rFonts w:ascii="黑体" w:hAnsi="黑体" w:eastAsia="黑体" w:cs="黑体"/>
                <w:bCs/>
                <w:kern w:val="0"/>
              </w:rPr>
            </w:pPr>
            <w:r>
              <w:rPr>
                <w:rFonts w:hint="eastAsia" w:ascii="黑体" w:hAnsi="黑体" w:eastAsia="黑体" w:cs="黑体"/>
                <w:bCs/>
                <w:kern w:val="0"/>
              </w:rPr>
              <w:t>内容模块</w:t>
            </w:r>
          </w:p>
        </w:tc>
        <w:tc>
          <w:tcPr>
            <w:tcW w:w="1701" w:type="dxa"/>
            <w:tcBorders>
              <w:top w:val="single" w:color="auto" w:sz="4" w:space="0"/>
              <w:left w:val="nil"/>
              <w:bottom w:val="single" w:color="auto" w:sz="4" w:space="0"/>
              <w:right w:val="single" w:color="auto" w:sz="4" w:space="0"/>
            </w:tcBorders>
            <w:vAlign w:val="bottom"/>
          </w:tcPr>
          <w:p>
            <w:pPr>
              <w:pStyle w:val="76"/>
              <w:jc w:val="center"/>
              <w:rPr>
                <w:rFonts w:ascii="黑体" w:hAnsi="黑体" w:eastAsia="黑体" w:cs="黑体"/>
                <w:bCs/>
                <w:kern w:val="0"/>
              </w:rPr>
            </w:pPr>
            <w:r>
              <w:rPr>
                <w:rFonts w:hint="eastAsia" w:ascii="黑体" w:hAnsi="黑体" w:eastAsia="黑体" w:cs="黑体"/>
                <w:bCs/>
                <w:kern w:val="0"/>
              </w:rPr>
              <w:t>具体内容</w:t>
            </w:r>
          </w:p>
        </w:tc>
        <w:tc>
          <w:tcPr>
            <w:tcW w:w="4393" w:type="dxa"/>
            <w:tcBorders>
              <w:top w:val="single" w:color="auto" w:sz="4" w:space="0"/>
              <w:left w:val="nil"/>
              <w:bottom w:val="single" w:color="auto" w:sz="4" w:space="0"/>
              <w:right w:val="single" w:color="auto" w:sz="4" w:space="0"/>
            </w:tcBorders>
            <w:vAlign w:val="bottom"/>
          </w:tcPr>
          <w:p>
            <w:pPr>
              <w:pStyle w:val="76"/>
              <w:jc w:val="center"/>
              <w:rPr>
                <w:rFonts w:ascii="黑体" w:hAnsi="黑体" w:eastAsia="黑体" w:cs="黑体"/>
                <w:bCs/>
                <w:kern w:val="0"/>
              </w:rPr>
            </w:pPr>
            <w:r>
              <w:rPr>
                <w:rFonts w:hint="eastAsia" w:ascii="黑体" w:hAnsi="黑体" w:eastAsia="黑体" w:cs="黑体"/>
                <w:bCs/>
                <w:kern w:val="0"/>
              </w:rPr>
              <w:t>说明</w:t>
            </w:r>
          </w:p>
        </w:tc>
      </w:tr>
      <w:tr>
        <w:tblPrEx>
          <w:tblCellMar>
            <w:top w:w="0" w:type="dxa"/>
            <w:left w:w="108" w:type="dxa"/>
            <w:bottom w:w="0" w:type="dxa"/>
            <w:right w:w="108" w:type="dxa"/>
          </w:tblCellMar>
        </w:tblPrEx>
        <w:trPr>
          <w:trHeight w:val="555" w:hRule="atLeast"/>
        </w:trPr>
        <w:tc>
          <w:tcPr>
            <w:tcW w:w="1159" w:type="dxa"/>
            <w:vMerge w:val="restart"/>
            <w:tcBorders>
              <w:top w:val="single" w:color="auto" w:sz="4" w:space="0"/>
              <w:left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第一部分</w:t>
            </w:r>
          </w:p>
        </w:tc>
        <w:tc>
          <w:tcPr>
            <w:tcW w:w="1389" w:type="dxa"/>
            <w:vMerge w:val="restart"/>
            <w:tcBorders>
              <w:top w:val="nil"/>
              <w:left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网络平台搭建</w:t>
            </w:r>
          </w:p>
        </w:tc>
        <w:tc>
          <w:tcPr>
            <w:tcW w:w="1701"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网络规划</w:t>
            </w:r>
          </w:p>
        </w:tc>
        <w:tc>
          <w:tcPr>
            <w:tcW w:w="4393"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VLSM、CIDR等；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38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701"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基础网络</w:t>
            </w:r>
          </w:p>
        </w:tc>
        <w:tc>
          <w:tcPr>
            <w:tcW w:w="4393"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000000" w:themeColor="text1"/>
              </w:rPr>
            </w:pPr>
            <w:r>
              <w:rPr>
                <w:rFonts w:ascii="仿宋" w:hAnsi="仿宋" w:eastAsia="仿宋"/>
                <w:color w:val="000000" w:themeColor="text1"/>
              </w:rPr>
              <w:t>VLAN</w:t>
            </w:r>
            <w:r>
              <w:rPr>
                <w:rFonts w:hint="eastAsia" w:ascii="仿宋" w:hAnsi="仿宋" w:eastAsia="仿宋"/>
                <w:color w:val="000000" w:themeColor="text1"/>
              </w:rPr>
              <w:t>、</w:t>
            </w:r>
            <w:r>
              <w:rPr>
                <w:rFonts w:ascii="仿宋" w:hAnsi="仿宋" w:eastAsia="仿宋"/>
                <w:color w:val="000000" w:themeColor="text1"/>
              </w:rPr>
              <w:t>WLAN</w:t>
            </w:r>
            <w:r>
              <w:rPr>
                <w:rFonts w:hint="eastAsia" w:ascii="仿宋" w:hAnsi="仿宋" w:eastAsia="仿宋"/>
                <w:color w:val="000000" w:themeColor="text1"/>
              </w:rPr>
              <w:t>、</w:t>
            </w:r>
            <w:r>
              <w:rPr>
                <w:rFonts w:ascii="仿宋" w:hAnsi="仿宋" w:eastAsia="仿宋"/>
                <w:color w:val="000000" w:themeColor="text1"/>
              </w:rPr>
              <w:t>STP</w:t>
            </w:r>
            <w:r>
              <w:rPr>
                <w:rFonts w:hint="eastAsia" w:ascii="仿宋" w:hAnsi="仿宋" w:eastAsia="仿宋"/>
                <w:color w:val="000000" w:themeColor="text1"/>
              </w:rPr>
              <w:t>、</w:t>
            </w:r>
            <w:r>
              <w:rPr>
                <w:rFonts w:ascii="仿宋" w:hAnsi="仿宋" w:eastAsia="仿宋"/>
                <w:color w:val="000000" w:themeColor="text1"/>
              </w:rPr>
              <w:t>SVI</w:t>
            </w:r>
            <w:r>
              <w:rPr>
                <w:rFonts w:hint="eastAsia" w:ascii="仿宋" w:hAnsi="仿宋" w:eastAsia="仿宋"/>
                <w:color w:val="000000" w:themeColor="text1"/>
              </w:rPr>
              <w:t>、</w:t>
            </w:r>
            <w:r>
              <w:rPr>
                <w:rFonts w:ascii="仿宋" w:hAnsi="仿宋" w:eastAsia="仿宋"/>
                <w:color w:val="000000" w:themeColor="text1"/>
              </w:rPr>
              <w:t>RIPV2</w:t>
            </w:r>
            <w:r>
              <w:rPr>
                <w:rFonts w:hint="eastAsia" w:ascii="仿宋" w:hAnsi="仿宋" w:eastAsia="仿宋"/>
                <w:color w:val="000000" w:themeColor="text1"/>
              </w:rPr>
              <w:t>、</w:t>
            </w:r>
            <w:r>
              <w:rPr>
                <w:rFonts w:ascii="仿宋" w:hAnsi="仿宋" w:eastAsia="仿宋"/>
                <w:color w:val="000000" w:themeColor="text1"/>
              </w:rPr>
              <w:t>OSPF</w:t>
            </w:r>
            <w:r>
              <w:rPr>
                <w:rFonts w:hint="eastAsia" w:ascii="仿宋" w:hAnsi="仿宋" w:eastAsia="仿宋"/>
                <w:color w:val="000000" w:themeColor="text1"/>
              </w:rPr>
              <w:t>、</w:t>
            </w:r>
            <w:r>
              <w:rPr>
                <w:rFonts w:ascii="仿宋" w:hAnsi="仿宋" w:eastAsia="仿宋"/>
                <w:color w:val="000000" w:themeColor="text1"/>
              </w:rPr>
              <w:t>BGP</w:t>
            </w:r>
            <w:r>
              <w:rPr>
                <w:rFonts w:hint="eastAsia" w:ascii="仿宋" w:hAnsi="仿宋" w:eastAsia="仿宋"/>
                <w:color w:val="000000" w:themeColor="text1"/>
              </w:rPr>
              <w:t>、</w:t>
            </w:r>
            <w:r>
              <w:rPr>
                <w:rFonts w:ascii="仿宋" w:hAnsi="仿宋" w:eastAsia="仿宋"/>
                <w:color w:val="000000" w:themeColor="text1"/>
              </w:rPr>
              <w:t>IPv6</w:t>
            </w:r>
            <w:r>
              <w:rPr>
                <w:rFonts w:hint="eastAsia" w:ascii="仿宋" w:hAnsi="仿宋" w:eastAsia="仿宋"/>
                <w:color w:val="000000" w:themeColor="text1"/>
              </w:rPr>
              <w:t>、组播等</w:t>
            </w:r>
          </w:p>
        </w:tc>
      </w:tr>
      <w:tr>
        <w:tblPrEx>
          <w:tblCellMar>
            <w:top w:w="0" w:type="dxa"/>
            <w:left w:w="108" w:type="dxa"/>
            <w:bottom w:w="0" w:type="dxa"/>
            <w:right w:w="108" w:type="dxa"/>
          </w:tblCellMar>
        </w:tblPrEx>
        <w:trPr>
          <w:trHeight w:val="1050" w:hRule="atLeast"/>
        </w:trPr>
        <w:tc>
          <w:tcPr>
            <w:tcW w:w="115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389" w:type="dxa"/>
            <w:vMerge w:val="restart"/>
            <w:tcBorders>
              <w:top w:val="single" w:color="auto" w:sz="4" w:space="0"/>
              <w:left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网络安全设备配置与防护</w:t>
            </w:r>
          </w:p>
        </w:tc>
        <w:tc>
          <w:tcPr>
            <w:tcW w:w="1701"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访问控制</w:t>
            </w:r>
          </w:p>
        </w:tc>
        <w:tc>
          <w:tcPr>
            <w:tcW w:w="4393"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保护网络应用安全，实现防DOS、DDOS攻击、实现包过滤、应用层代理、状态化包过滤、URL过滤、基于IP、协议、应用、用户角色、自定义数据流和时间等方式的带宽控制，QOS策略等；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38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701"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密码学和VPN</w:t>
            </w:r>
          </w:p>
        </w:tc>
        <w:tc>
          <w:tcPr>
            <w:tcW w:w="4393"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密码学基本理论</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L2L IPSec VPN</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GRE Over IPSec</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L2TP Over IPSec</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IKE：PSK</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IKE：PKI</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SSL VPN等；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389" w:type="dxa"/>
            <w:vMerge w:val="continue"/>
            <w:tcBorders>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701"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数据分析</w:t>
            </w:r>
          </w:p>
        </w:tc>
        <w:tc>
          <w:tcPr>
            <w:tcW w:w="4393"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能够利用日志系统对网络内的数据进行日志分析，把控网络安全等；</w:t>
            </w:r>
          </w:p>
        </w:tc>
      </w:tr>
      <w:tr>
        <w:tblPrEx>
          <w:tblCellMar>
            <w:top w:w="0" w:type="dxa"/>
            <w:left w:w="108" w:type="dxa"/>
            <w:bottom w:w="0" w:type="dxa"/>
            <w:right w:w="108" w:type="dxa"/>
          </w:tblCellMar>
        </w:tblPrEx>
        <w:trPr>
          <w:trHeight w:val="540" w:hRule="atLeast"/>
        </w:trPr>
        <w:tc>
          <w:tcPr>
            <w:tcW w:w="1159" w:type="dxa"/>
            <w:vMerge w:val="restart"/>
            <w:tcBorders>
              <w:top w:val="single" w:color="auto" w:sz="4" w:space="0"/>
              <w:left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第二部分</w:t>
            </w:r>
          </w:p>
        </w:tc>
        <w:tc>
          <w:tcPr>
            <w:tcW w:w="1389"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网络安全</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事件响应、</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数字取证</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调查、应用</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程序安全</w:t>
            </w:r>
          </w:p>
        </w:tc>
        <w:tc>
          <w:tcPr>
            <w:tcW w:w="1701"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网络安全事件</w:t>
            </w:r>
          </w:p>
          <w:p>
            <w:pPr>
              <w:pStyle w:val="76"/>
              <w:jc w:val="center"/>
              <w:rPr>
                <w:rFonts w:ascii="仿宋" w:hAnsi="仿宋" w:eastAsia="仿宋" w:cs="仿宋_GB2312"/>
                <w:color w:val="000000" w:themeColor="text1"/>
                <w:kern w:val="0"/>
              </w:rPr>
            </w:pPr>
            <w:r>
              <w:rPr>
                <w:rFonts w:hint="eastAsia" w:ascii="仿宋" w:hAnsi="仿宋" w:eastAsia="仿宋" w:cs="仿宋_GB2312"/>
                <w:color w:val="000000" w:themeColor="text1"/>
                <w:kern w:val="0"/>
              </w:rPr>
              <w:t>响应</w:t>
            </w:r>
          </w:p>
        </w:tc>
        <w:tc>
          <w:tcPr>
            <w:tcW w:w="4393"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操作系统日志</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应用系统</w:t>
            </w:r>
            <w:r>
              <w:rPr>
                <w:rFonts w:ascii="仿宋" w:hAnsi="仿宋" w:eastAsia="仿宋"/>
                <w:color w:val="000000" w:themeColor="text1"/>
              </w:rPr>
              <w:t>/</w:t>
            </w:r>
            <w:r>
              <w:rPr>
                <w:rFonts w:hint="eastAsia" w:ascii="仿宋" w:hAnsi="仿宋" w:eastAsia="仿宋"/>
                <w:color w:val="000000" w:themeColor="text1"/>
              </w:rPr>
              <w:t>中间件日志</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系统进程分析</w:t>
            </w:r>
          </w:p>
          <w:p>
            <w:pPr>
              <w:pStyle w:val="76"/>
              <w:jc w:val="center"/>
              <w:rPr>
                <w:rFonts w:ascii="仿宋" w:hAnsi="仿宋" w:eastAsia="仿宋" w:cs="仿宋_GB2312"/>
                <w:color w:val="000000" w:themeColor="text1"/>
                <w:kern w:val="0"/>
              </w:rPr>
            </w:pPr>
            <w:r>
              <w:rPr>
                <w:rFonts w:hint="eastAsia" w:ascii="仿宋" w:hAnsi="仿宋" w:eastAsia="仿宋" w:cs="仿宋_GB2312"/>
                <w:color w:val="000000" w:themeColor="text1"/>
                <w:kern w:val="0"/>
              </w:rPr>
              <w:t>系统安全漏洞及加固</w:t>
            </w:r>
          </w:p>
        </w:tc>
      </w:tr>
      <w:tr>
        <w:tblPrEx>
          <w:tblCellMar>
            <w:top w:w="0" w:type="dxa"/>
            <w:left w:w="108" w:type="dxa"/>
            <w:bottom w:w="0" w:type="dxa"/>
            <w:right w:w="108" w:type="dxa"/>
          </w:tblCellMar>
        </w:tblPrEx>
        <w:trPr>
          <w:trHeight w:val="510" w:hRule="atLeast"/>
        </w:trPr>
        <w:tc>
          <w:tcPr>
            <w:tcW w:w="115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389" w:type="dxa"/>
            <w:vMerge w:val="continue"/>
            <w:tcBorders>
              <w:left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701"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数字取证调查</w:t>
            </w:r>
          </w:p>
        </w:tc>
        <w:tc>
          <w:tcPr>
            <w:tcW w:w="4393"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内存镜像分析</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编码转换、加解密、数据隐写</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文件分析取证</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网络流量包分析</w:t>
            </w:r>
          </w:p>
        </w:tc>
      </w:tr>
      <w:tr>
        <w:tblPrEx>
          <w:tblCellMar>
            <w:top w:w="0" w:type="dxa"/>
            <w:left w:w="108" w:type="dxa"/>
            <w:bottom w:w="0" w:type="dxa"/>
            <w:right w:w="108" w:type="dxa"/>
          </w:tblCellMar>
        </w:tblPrEx>
        <w:trPr>
          <w:trHeight w:val="549" w:hRule="atLeast"/>
        </w:trPr>
        <w:tc>
          <w:tcPr>
            <w:tcW w:w="1159" w:type="dxa"/>
            <w:vMerge w:val="continue"/>
            <w:tcBorders>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389" w:type="dxa"/>
            <w:vMerge w:val="continue"/>
            <w:tcBorders>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1701"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应用程序安全</w:t>
            </w:r>
          </w:p>
        </w:tc>
        <w:tc>
          <w:tcPr>
            <w:tcW w:w="4393"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程序逆向分析</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移动应用程序代码分析</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恶意脚本代码分析</w:t>
            </w:r>
          </w:p>
        </w:tc>
      </w:tr>
      <w:tr>
        <w:tblPrEx>
          <w:tblCellMar>
            <w:top w:w="0" w:type="dxa"/>
            <w:left w:w="108" w:type="dxa"/>
            <w:bottom w:w="0" w:type="dxa"/>
            <w:right w:w="108" w:type="dxa"/>
          </w:tblCellMar>
        </w:tblPrEx>
        <w:trPr>
          <w:trHeight w:val="510" w:hRule="atLeast"/>
        </w:trPr>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highlight w:val="yellow"/>
              </w:rPr>
            </w:pPr>
            <w:r>
              <w:rPr>
                <w:rFonts w:hint="eastAsia" w:ascii="仿宋" w:hAnsi="仿宋" w:eastAsia="仿宋"/>
                <w:color w:val="000000" w:themeColor="text1"/>
              </w:rPr>
              <w:t>第三部分</w:t>
            </w:r>
          </w:p>
        </w:tc>
        <w:tc>
          <w:tcPr>
            <w:tcW w:w="138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夺旗挑战</w:t>
            </w:r>
          </w:p>
          <w:p>
            <w:pPr>
              <w:autoSpaceDE w:val="0"/>
              <w:autoSpaceDN w:val="0"/>
              <w:adjustRightInd w:val="0"/>
              <w:jc w:val="center"/>
              <w:rPr>
                <w:rFonts w:ascii="仿宋" w:hAnsi="仿宋" w:eastAsia="仿宋"/>
                <w:color w:val="000000" w:themeColor="text1"/>
              </w:rPr>
            </w:pPr>
            <w:r>
              <w:rPr>
                <w:rFonts w:ascii="仿宋" w:hAnsi="仿宋" w:eastAsia="仿宋"/>
                <w:color w:val="000000" w:themeColor="text1"/>
              </w:rPr>
              <w:t>CTF</w:t>
            </w:r>
            <w:r>
              <w:rPr>
                <w:rFonts w:hint="eastAsia" w:ascii="仿宋" w:hAnsi="仿宋" w:eastAsia="仿宋"/>
                <w:color w:val="000000" w:themeColor="text1"/>
              </w:rPr>
              <w:t>（网络</w:t>
            </w:r>
          </w:p>
          <w:p>
            <w:pPr>
              <w:pStyle w:val="76"/>
              <w:jc w:val="center"/>
              <w:rPr>
                <w:rFonts w:ascii="仿宋" w:hAnsi="仿宋" w:eastAsia="仿宋"/>
                <w:color w:val="000000" w:themeColor="text1"/>
                <w:kern w:val="0"/>
                <w:highlight w:val="yellow"/>
              </w:rPr>
            </w:pPr>
            <w:r>
              <w:rPr>
                <w:rFonts w:hint="eastAsia" w:ascii="仿宋" w:hAnsi="仿宋" w:eastAsia="仿宋" w:cs="仿宋_GB2312"/>
                <w:color w:val="000000" w:themeColor="text1"/>
                <w:kern w:val="0"/>
              </w:rPr>
              <w:t>安全渗透）</w:t>
            </w:r>
          </w:p>
        </w:tc>
        <w:tc>
          <w:tcPr>
            <w:tcW w:w="170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参赛队针对预</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设的环境进行</w:t>
            </w:r>
          </w:p>
          <w:p>
            <w:pPr>
              <w:autoSpaceDE w:val="0"/>
              <w:autoSpaceDN w:val="0"/>
              <w:adjustRightInd w:val="0"/>
              <w:jc w:val="center"/>
              <w:rPr>
                <w:rFonts w:ascii="仿宋" w:hAnsi="仿宋" w:eastAsia="仿宋"/>
                <w:color w:val="000000" w:themeColor="text1"/>
                <w:highlight w:val="yellow"/>
              </w:rPr>
            </w:pPr>
            <w:r>
              <w:rPr>
                <w:rFonts w:hint="eastAsia" w:ascii="仿宋" w:hAnsi="仿宋" w:eastAsia="仿宋"/>
                <w:color w:val="000000" w:themeColor="text1"/>
              </w:rPr>
              <w:t>渗透测试</w:t>
            </w:r>
          </w:p>
        </w:tc>
        <w:tc>
          <w:tcPr>
            <w:tcW w:w="4393"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 w:hAnsi="仿宋" w:eastAsia="仿宋"/>
                <w:color w:val="000000" w:themeColor="text1"/>
              </w:rPr>
            </w:pPr>
            <w:r>
              <w:rPr>
                <w:rFonts w:ascii="仿宋" w:hAnsi="仿宋" w:eastAsia="仿宋"/>
                <w:color w:val="000000" w:themeColor="text1"/>
              </w:rPr>
              <w:t xml:space="preserve">SQL </w:t>
            </w:r>
            <w:r>
              <w:rPr>
                <w:rFonts w:hint="eastAsia" w:ascii="仿宋" w:hAnsi="仿宋" w:eastAsia="仿宋"/>
                <w:color w:val="000000" w:themeColor="text1"/>
              </w:rPr>
              <w:t>注入</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文件上传</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命令执行</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缓冲区溢出</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信息收集</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逆向文件分析</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二进制漏洞利用</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应用服务漏洞利用</w:t>
            </w:r>
          </w:p>
          <w:p>
            <w:pPr>
              <w:autoSpaceDE w:val="0"/>
              <w:autoSpaceDN w:val="0"/>
              <w:adjustRightInd w:val="0"/>
              <w:jc w:val="center"/>
              <w:rPr>
                <w:rFonts w:ascii="仿宋" w:hAnsi="仿宋" w:eastAsia="仿宋"/>
                <w:color w:val="000000" w:themeColor="text1"/>
              </w:rPr>
            </w:pPr>
            <w:r>
              <w:rPr>
                <w:rFonts w:hint="eastAsia" w:ascii="仿宋" w:hAnsi="仿宋" w:eastAsia="仿宋"/>
                <w:color w:val="000000" w:themeColor="text1"/>
              </w:rPr>
              <w:t>操作系统漏洞利用</w:t>
            </w:r>
          </w:p>
          <w:p>
            <w:pPr>
              <w:pStyle w:val="76"/>
              <w:jc w:val="center"/>
              <w:rPr>
                <w:rFonts w:ascii="仿宋" w:hAnsi="仿宋" w:eastAsia="仿宋"/>
                <w:color w:val="000000" w:themeColor="text1"/>
                <w:kern w:val="0"/>
                <w:highlight w:val="yellow"/>
              </w:rPr>
            </w:pPr>
            <w:r>
              <w:rPr>
                <w:rFonts w:hint="eastAsia" w:ascii="仿宋" w:hAnsi="仿宋" w:eastAsia="仿宋" w:cs="仿宋_GB2312"/>
                <w:color w:val="000000" w:themeColor="text1"/>
                <w:kern w:val="0"/>
              </w:rPr>
              <w:t>密码学分析</w:t>
            </w:r>
          </w:p>
        </w:tc>
      </w:tr>
    </w:tbl>
    <w:p>
      <w:pPr>
        <w:spacing w:line="560" w:lineRule="exact"/>
        <w:ind w:firstLine="600" w:firstLineChars="200"/>
        <w:rPr>
          <w:rFonts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（三）成绩占比</w:t>
      </w:r>
    </w:p>
    <w:tbl>
      <w:tblPr>
        <w:tblStyle w:val="23"/>
        <w:tblW w:w="8646" w:type="dxa"/>
        <w:tblInd w:w="0" w:type="dxa"/>
        <w:tblLayout w:type="fixed"/>
        <w:tblCellMar>
          <w:top w:w="0" w:type="dxa"/>
          <w:left w:w="108" w:type="dxa"/>
          <w:bottom w:w="0" w:type="dxa"/>
          <w:right w:w="108" w:type="dxa"/>
        </w:tblCellMar>
      </w:tblPr>
      <w:tblGrid>
        <w:gridCol w:w="1980"/>
        <w:gridCol w:w="4394"/>
        <w:gridCol w:w="2272"/>
      </w:tblGrid>
      <w:tr>
        <w:tblPrEx>
          <w:tblCellMar>
            <w:top w:w="0" w:type="dxa"/>
            <w:left w:w="108" w:type="dxa"/>
            <w:bottom w:w="0" w:type="dxa"/>
            <w:right w:w="108" w:type="dxa"/>
          </w:tblCellMar>
        </w:tblPrEx>
        <w:trPr>
          <w:trHeight w:val="285"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序号</w:t>
            </w:r>
          </w:p>
        </w:tc>
        <w:tc>
          <w:tcPr>
            <w:tcW w:w="4394" w:type="dxa"/>
            <w:tcBorders>
              <w:top w:val="single" w:color="auto" w:sz="4" w:space="0"/>
              <w:left w:val="nil"/>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内容模块</w:t>
            </w:r>
          </w:p>
        </w:tc>
        <w:tc>
          <w:tcPr>
            <w:tcW w:w="2272" w:type="dxa"/>
            <w:tcBorders>
              <w:top w:val="single" w:color="auto" w:sz="4" w:space="0"/>
              <w:left w:val="nil"/>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竞赛时间</w:t>
            </w:r>
          </w:p>
        </w:tc>
      </w:tr>
      <w:tr>
        <w:tblPrEx>
          <w:tblCellMar>
            <w:top w:w="0" w:type="dxa"/>
            <w:left w:w="108" w:type="dxa"/>
            <w:bottom w:w="0" w:type="dxa"/>
            <w:right w:w="108" w:type="dxa"/>
          </w:tblCellMar>
        </w:tblPrEx>
        <w:trPr>
          <w:trHeight w:val="285" w:hRule="atLeast"/>
        </w:trPr>
        <w:tc>
          <w:tcPr>
            <w:tcW w:w="1980" w:type="dxa"/>
            <w:vMerge w:val="restart"/>
            <w:tcBorders>
              <w:top w:val="nil"/>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第一部分</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权重30%</w:t>
            </w:r>
          </w:p>
        </w:tc>
        <w:tc>
          <w:tcPr>
            <w:tcW w:w="4394"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网络平台搭建</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权重</w:t>
            </w:r>
            <w:r>
              <w:rPr>
                <w:rFonts w:ascii="仿宋" w:hAnsi="仿宋" w:eastAsia="仿宋"/>
                <w:color w:val="000000" w:themeColor="text1"/>
                <w:kern w:val="0"/>
              </w:rPr>
              <w:t>5</w:t>
            </w:r>
            <w:r>
              <w:rPr>
                <w:rFonts w:hint="eastAsia" w:ascii="仿宋" w:hAnsi="仿宋" w:eastAsia="仿宋"/>
                <w:color w:val="000000" w:themeColor="text1"/>
                <w:kern w:val="0"/>
              </w:rPr>
              <w:t>%</w:t>
            </w:r>
          </w:p>
        </w:tc>
        <w:tc>
          <w:tcPr>
            <w:tcW w:w="2272" w:type="dxa"/>
            <w:vMerge w:val="restart"/>
            <w:tcBorders>
              <w:top w:val="nil"/>
              <w:left w:val="nil"/>
              <w:right w:val="single" w:color="auto" w:sz="4" w:space="0"/>
            </w:tcBorders>
            <w:vAlign w:val="center"/>
          </w:tcPr>
          <w:p>
            <w:pPr>
              <w:pStyle w:val="76"/>
              <w:jc w:val="center"/>
              <w:rPr>
                <w:rFonts w:ascii="仿宋" w:hAnsi="仿宋" w:eastAsia="仿宋" w:cs="Calibri"/>
                <w:color w:val="000000" w:themeColor="text1"/>
                <w:kern w:val="0"/>
              </w:rPr>
            </w:pPr>
            <w:r>
              <w:rPr>
                <w:rFonts w:ascii="仿宋" w:hAnsi="仿宋" w:eastAsia="仿宋" w:cs="Calibri"/>
                <w:color w:val="000000" w:themeColor="text1"/>
                <w:kern w:val="0"/>
              </w:rPr>
              <w:t>180</w:t>
            </w:r>
            <w:r>
              <w:rPr>
                <w:rFonts w:hint="eastAsia" w:ascii="仿宋" w:hAnsi="仿宋" w:eastAsia="仿宋" w:cs="Calibri"/>
                <w:color w:val="000000" w:themeColor="text1"/>
                <w:kern w:val="0"/>
              </w:rPr>
              <w:t>分钟</w:t>
            </w:r>
          </w:p>
          <w:p>
            <w:pPr>
              <w:pStyle w:val="76"/>
              <w:jc w:val="center"/>
              <w:rPr>
                <w:rFonts w:ascii="仿宋" w:hAnsi="仿宋" w:eastAsia="仿宋" w:cs="Calibri"/>
                <w:color w:val="000000" w:themeColor="text1"/>
                <w:kern w:val="0"/>
                <w:sz w:val="18"/>
                <w:szCs w:val="18"/>
              </w:rPr>
            </w:pPr>
            <w:r>
              <w:rPr>
                <w:rFonts w:ascii="仿宋" w:hAnsi="仿宋" w:eastAsia="仿宋" w:cs="Calibri"/>
                <w:color w:val="000000" w:themeColor="text1"/>
                <w:kern w:val="0"/>
              </w:rPr>
              <w:t>（</w:t>
            </w:r>
            <w:r>
              <w:rPr>
                <w:rFonts w:hint="eastAsia" w:ascii="仿宋" w:hAnsi="仿宋" w:eastAsia="仿宋" w:cs="Calibri"/>
                <w:color w:val="000000" w:themeColor="text1"/>
                <w:kern w:val="0"/>
              </w:rPr>
              <w:t>无中场，自行分配时间</w:t>
            </w:r>
            <w:r>
              <w:rPr>
                <w:rFonts w:ascii="仿宋" w:hAnsi="仿宋" w:eastAsia="仿宋" w:cs="Calibri"/>
                <w:color w:val="000000" w:themeColor="text1"/>
                <w:kern w:val="0"/>
              </w:rPr>
              <w:t>）</w:t>
            </w:r>
          </w:p>
        </w:tc>
      </w:tr>
      <w:tr>
        <w:tblPrEx>
          <w:tblCellMar>
            <w:top w:w="0" w:type="dxa"/>
            <w:left w:w="108" w:type="dxa"/>
            <w:bottom w:w="0" w:type="dxa"/>
            <w:right w:w="108" w:type="dxa"/>
          </w:tblCellMar>
        </w:tblPrEx>
        <w:trPr>
          <w:trHeight w:val="285" w:hRule="atLeast"/>
        </w:trPr>
        <w:tc>
          <w:tcPr>
            <w:tcW w:w="1980" w:type="dxa"/>
            <w:vMerge w:val="continue"/>
            <w:tcBorders>
              <w:top w:val="nil"/>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p>
        </w:tc>
        <w:tc>
          <w:tcPr>
            <w:tcW w:w="4394" w:type="dxa"/>
            <w:tcBorders>
              <w:top w:val="nil"/>
              <w:left w:val="nil"/>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网络安全设备配置与防护</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权重</w:t>
            </w:r>
            <w:r>
              <w:rPr>
                <w:rFonts w:ascii="仿宋" w:hAnsi="仿宋" w:eastAsia="仿宋"/>
                <w:color w:val="000000" w:themeColor="text1"/>
                <w:kern w:val="0"/>
              </w:rPr>
              <w:t>25</w:t>
            </w:r>
            <w:r>
              <w:rPr>
                <w:rFonts w:hint="eastAsia" w:ascii="仿宋" w:hAnsi="仿宋" w:eastAsia="仿宋"/>
                <w:color w:val="000000" w:themeColor="text1"/>
                <w:kern w:val="0"/>
              </w:rPr>
              <w:t>%</w:t>
            </w:r>
          </w:p>
        </w:tc>
        <w:tc>
          <w:tcPr>
            <w:tcW w:w="2272" w:type="dxa"/>
            <w:vMerge w:val="continue"/>
            <w:tcBorders>
              <w:left w:val="nil"/>
              <w:right w:val="single" w:color="auto" w:sz="4" w:space="0"/>
            </w:tcBorders>
            <w:vAlign w:val="center"/>
          </w:tcPr>
          <w:p>
            <w:pPr>
              <w:pStyle w:val="76"/>
              <w:jc w:val="center"/>
              <w:rPr>
                <w:rFonts w:ascii="仿宋" w:hAnsi="仿宋" w:eastAsia="仿宋" w:cs="Calibri"/>
                <w:color w:val="000000" w:themeColor="text1"/>
                <w:kern w:val="0"/>
              </w:rPr>
            </w:pPr>
          </w:p>
        </w:tc>
      </w:tr>
      <w:tr>
        <w:tblPrEx>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第二部分</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权重</w:t>
            </w:r>
            <w:r>
              <w:rPr>
                <w:rFonts w:ascii="仿宋" w:hAnsi="仿宋" w:eastAsia="仿宋"/>
                <w:color w:val="000000" w:themeColor="text1"/>
                <w:kern w:val="0"/>
              </w:rPr>
              <w:t>40</w:t>
            </w:r>
            <w:r>
              <w:rPr>
                <w:rFonts w:hint="eastAsia" w:ascii="仿宋" w:hAnsi="仿宋" w:eastAsia="仿宋"/>
                <w:color w:val="000000" w:themeColor="text1"/>
                <w:kern w:val="0"/>
              </w:rPr>
              <w:t>%</w:t>
            </w:r>
          </w:p>
        </w:tc>
        <w:tc>
          <w:tcPr>
            <w:tcW w:w="4394" w:type="dxa"/>
            <w:tcBorders>
              <w:top w:val="nil"/>
              <w:left w:val="nil"/>
              <w:bottom w:val="single" w:color="auto" w:sz="4" w:space="0"/>
              <w:right w:val="single" w:color="auto" w:sz="4" w:space="0"/>
            </w:tcBorders>
            <w:vAlign w:val="center"/>
          </w:tcPr>
          <w:p>
            <w:pPr>
              <w:autoSpaceDE w:val="0"/>
              <w:autoSpaceDN w:val="0"/>
              <w:adjustRightInd w:val="0"/>
              <w:jc w:val="center"/>
              <w:rPr>
                <w:rFonts w:ascii="仿宋" w:hAnsi="仿宋" w:eastAsia="仿宋" w:cs="Calibri"/>
                <w:color w:val="000000" w:themeColor="text1"/>
              </w:rPr>
            </w:pPr>
            <w:r>
              <w:rPr>
                <w:rFonts w:hint="eastAsia" w:ascii="仿宋" w:hAnsi="仿宋" w:eastAsia="仿宋" w:cs="Calibri"/>
                <w:color w:val="000000" w:themeColor="text1"/>
              </w:rPr>
              <w:t>网络安全事件响应、数字取证调查、应用程序安全权重40%</w:t>
            </w:r>
          </w:p>
        </w:tc>
        <w:tc>
          <w:tcPr>
            <w:tcW w:w="2272" w:type="dxa"/>
            <w:vMerge w:val="continue"/>
            <w:tcBorders>
              <w:left w:val="nil"/>
              <w:right w:val="single" w:color="auto" w:sz="4" w:space="0"/>
            </w:tcBorders>
            <w:vAlign w:val="center"/>
          </w:tcPr>
          <w:p>
            <w:pPr>
              <w:pStyle w:val="76"/>
              <w:jc w:val="center"/>
              <w:rPr>
                <w:rFonts w:ascii="仿宋" w:hAnsi="仿宋" w:eastAsia="仿宋" w:cs="Calibri"/>
                <w:color w:val="000000" w:themeColor="text1"/>
                <w:kern w:val="0"/>
              </w:rPr>
            </w:pPr>
          </w:p>
        </w:tc>
      </w:tr>
      <w:tr>
        <w:tblPrEx>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pStyle w:val="76"/>
              <w:jc w:val="center"/>
              <w:rPr>
                <w:rFonts w:ascii="仿宋" w:hAnsi="仿宋" w:eastAsia="仿宋"/>
                <w:color w:val="000000" w:themeColor="text1"/>
                <w:kern w:val="0"/>
              </w:rPr>
            </w:pPr>
            <w:r>
              <w:rPr>
                <w:rFonts w:hint="eastAsia" w:ascii="仿宋" w:hAnsi="仿宋" w:eastAsia="仿宋"/>
                <w:color w:val="000000" w:themeColor="text1"/>
                <w:kern w:val="0"/>
              </w:rPr>
              <w:t>第三部分</w:t>
            </w:r>
          </w:p>
          <w:p>
            <w:pPr>
              <w:pStyle w:val="76"/>
              <w:jc w:val="center"/>
              <w:rPr>
                <w:rFonts w:ascii="仿宋" w:hAnsi="仿宋" w:eastAsia="仿宋"/>
                <w:color w:val="000000" w:themeColor="text1"/>
                <w:kern w:val="0"/>
              </w:rPr>
            </w:pPr>
            <w:r>
              <w:rPr>
                <w:rFonts w:hint="eastAsia" w:ascii="仿宋" w:hAnsi="仿宋" w:eastAsia="仿宋"/>
                <w:color w:val="000000" w:themeColor="text1"/>
                <w:kern w:val="0"/>
              </w:rPr>
              <w:t>权重</w:t>
            </w:r>
            <w:r>
              <w:rPr>
                <w:rFonts w:ascii="仿宋" w:hAnsi="仿宋" w:eastAsia="仿宋"/>
                <w:color w:val="000000" w:themeColor="text1"/>
                <w:kern w:val="0"/>
              </w:rPr>
              <w:t>30</w:t>
            </w:r>
            <w:r>
              <w:rPr>
                <w:rFonts w:hint="eastAsia" w:ascii="仿宋" w:hAnsi="仿宋" w:eastAsia="仿宋"/>
                <w:color w:val="000000" w:themeColor="text1"/>
                <w:kern w:val="0"/>
              </w:rPr>
              <w:t>%</w:t>
            </w:r>
          </w:p>
        </w:tc>
        <w:tc>
          <w:tcPr>
            <w:tcW w:w="4394" w:type="dxa"/>
            <w:tcBorders>
              <w:top w:val="nil"/>
              <w:left w:val="nil"/>
              <w:bottom w:val="single" w:color="auto" w:sz="4" w:space="0"/>
              <w:right w:val="single" w:color="auto" w:sz="4" w:space="0"/>
            </w:tcBorders>
            <w:vAlign w:val="center"/>
          </w:tcPr>
          <w:p>
            <w:pPr>
              <w:pStyle w:val="76"/>
              <w:jc w:val="center"/>
              <w:rPr>
                <w:rFonts w:ascii="仿宋" w:hAnsi="仿宋" w:eastAsia="仿宋" w:cs="Calibri"/>
                <w:color w:val="000000" w:themeColor="text1"/>
                <w:kern w:val="0"/>
              </w:rPr>
            </w:pPr>
            <w:r>
              <w:rPr>
                <w:rFonts w:hint="eastAsia" w:ascii="仿宋" w:hAnsi="仿宋" w:eastAsia="仿宋" w:cs="Calibri"/>
                <w:color w:val="000000" w:themeColor="text1"/>
                <w:kern w:val="0"/>
              </w:rPr>
              <w:t>夺旗挑战</w:t>
            </w:r>
            <w:r>
              <w:rPr>
                <w:rFonts w:ascii="仿宋" w:hAnsi="仿宋" w:eastAsia="仿宋" w:cs="Calibri"/>
                <w:color w:val="000000" w:themeColor="text1"/>
                <w:kern w:val="0"/>
              </w:rPr>
              <w:t>CTF</w:t>
            </w:r>
            <w:r>
              <w:rPr>
                <w:rFonts w:hint="eastAsia" w:ascii="仿宋" w:hAnsi="仿宋" w:eastAsia="仿宋" w:cs="Calibri"/>
                <w:color w:val="000000" w:themeColor="text1"/>
                <w:kern w:val="0"/>
              </w:rPr>
              <w:t>（网络安全渗透）</w:t>
            </w:r>
          </w:p>
          <w:p>
            <w:pPr>
              <w:pStyle w:val="76"/>
              <w:jc w:val="center"/>
              <w:rPr>
                <w:rFonts w:ascii="仿宋" w:hAnsi="仿宋" w:eastAsia="仿宋"/>
                <w:color w:val="000000" w:themeColor="text1"/>
                <w:kern w:val="0"/>
              </w:rPr>
            </w:pPr>
            <w:r>
              <w:rPr>
                <w:rFonts w:hint="eastAsia" w:ascii="仿宋" w:hAnsi="仿宋" w:eastAsia="仿宋" w:cs="Calibri"/>
                <w:color w:val="000000" w:themeColor="text1"/>
                <w:kern w:val="0"/>
              </w:rPr>
              <w:t>权重</w:t>
            </w:r>
            <w:r>
              <w:rPr>
                <w:rFonts w:ascii="仿宋" w:hAnsi="仿宋" w:eastAsia="仿宋" w:cs="Calibri"/>
                <w:color w:val="000000" w:themeColor="text1"/>
                <w:kern w:val="0"/>
              </w:rPr>
              <w:t>30</w:t>
            </w:r>
            <w:r>
              <w:rPr>
                <w:rFonts w:hint="eastAsia" w:ascii="仿宋" w:hAnsi="仿宋" w:eastAsia="仿宋" w:cs="Calibri"/>
                <w:color w:val="000000" w:themeColor="text1"/>
                <w:kern w:val="0"/>
              </w:rPr>
              <w:t>%</w:t>
            </w:r>
          </w:p>
        </w:tc>
        <w:tc>
          <w:tcPr>
            <w:tcW w:w="2272" w:type="dxa"/>
            <w:vMerge w:val="continue"/>
            <w:tcBorders>
              <w:left w:val="nil"/>
              <w:bottom w:val="single" w:color="auto" w:sz="4" w:space="0"/>
              <w:right w:val="single" w:color="auto" w:sz="4" w:space="0"/>
            </w:tcBorders>
            <w:vAlign w:val="center"/>
          </w:tcPr>
          <w:p>
            <w:pPr>
              <w:pStyle w:val="76"/>
              <w:jc w:val="center"/>
              <w:rPr>
                <w:rFonts w:ascii="仿宋" w:hAnsi="仿宋" w:eastAsia="仿宋" w:cs="Calibri"/>
                <w:color w:val="000000" w:themeColor="text1"/>
                <w:kern w:val="0"/>
              </w:rPr>
            </w:pPr>
          </w:p>
        </w:tc>
      </w:tr>
    </w:tbl>
    <w:p>
      <w:pPr>
        <w:pStyle w:val="16"/>
        <w:spacing w:before="0" w:after="0" w:line="560" w:lineRule="exact"/>
        <w:ind w:firstLine="600" w:firstLineChars="200"/>
        <w:jc w:val="left"/>
        <w:rPr>
          <w:rFonts w:ascii="仿宋" w:hAnsi="仿宋" w:eastAsia="仿宋"/>
          <w:color w:val="000000" w:themeColor="text1"/>
          <w:kern w:val="2"/>
          <w:sz w:val="28"/>
          <w:szCs w:val="28"/>
        </w:rPr>
      </w:pPr>
      <w:r>
        <w:rPr>
          <w:rFonts w:hint="eastAsia" w:ascii="黑体" w:hAnsi="黑体" w:eastAsia="黑体"/>
          <w:b w:val="0"/>
          <w:color w:val="000000" w:themeColor="text1"/>
          <w:kern w:val="2"/>
          <w:sz w:val="30"/>
          <w:szCs w:val="30"/>
        </w:rPr>
        <w:t>七、竞赛方式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竞赛</w:t>
      </w:r>
      <w:r>
        <w:rPr>
          <w:rFonts w:ascii="仿宋_GB2312" w:hAnsi="仿宋" w:eastAsia="仿宋_GB2312"/>
          <w:sz w:val="30"/>
          <w:szCs w:val="30"/>
        </w:rPr>
        <w:t>模式：封闭式竞赛。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本赛项</w:t>
      </w:r>
      <w:r>
        <w:rPr>
          <w:rFonts w:ascii="仿宋_GB2312" w:hAnsi="仿宋" w:eastAsia="仿宋_GB2312"/>
          <w:sz w:val="30"/>
          <w:szCs w:val="30"/>
        </w:rPr>
        <w:t>的竞赛过程中不</w:t>
      </w:r>
      <w:r>
        <w:rPr>
          <w:rFonts w:hint="eastAsia" w:ascii="仿宋_GB2312" w:hAnsi="仿宋" w:eastAsia="仿宋_GB2312"/>
          <w:sz w:val="30"/>
          <w:szCs w:val="30"/>
        </w:rPr>
        <w:t>安排</w:t>
      </w:r>
      <w:r>
        <w:rPr>
          <w:rFonts w:ascii="仿宋_GB2312" w:hAnsi="仿宋" w:eastAsia="仿宋_GB2312"/>
          <w:sz w:val="30"/>
          <w:szCs w:val="30"/>
        </w:rPr>
        <w:t>指导老师进场</w:t>
      </w:r>
      <w:r>
        <w:rPr>
          <w:rFonts w:hint="eastAsia" w:ascii="仿宋_GB2312" w:hAnsi="仿宋" w:eastAsia="仿宋_GB2312"/>
          <w:sz w:val="30"/>
          <w:szCs w:val="30"/>
        </w:rPr>
        <w:t>指导</w:t>
      </w:r>
      <w:r>
        <w:rPr>
          <w:rFonts w:ascii="仿宋_GB2312" w:hAnsi="仿宋" w:eastAsia="仿宋_GB2312"/>
          <w:sz w:val="30"/>
          <w:szCs w:val="30"/>
        </w:rPr>
        <w:t>。</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统一</w:t>
      </w:r>
      <w:r>
        <w:rPr>
          <w:rFonts w:ascii="仿宋_GB2312" w:hAnsi="仿宋" w:eastAsia="仿宋_GB2312"/>
          <w:sz w:val="30"/>
          <w:szCs w:val="30"/>
        </w:rPr>
        <w:t>编制赛位</w:t>
      </w:r>
      <w:r>
        <w:rPr>
          <w:rFonts w:hint="eastAsia" w:ascii="仿宋_GB2312" w:hAnsi="仿宋" w:eastAsia="仿宋_GB2312"/>
          <w:sz w:val="30"/>
          <w:szCs w:val="30"/>
        </w:rPr>
        <w:t>号</w:t>
      </w:r>
      <w:r>
        <w:rPr>
          <w:rFonts w:ascii="仿宋_GB2312" w:hAnsi="仿宋" w:eastAsia="仿宋_GB2312"/>
          <w:sz w:val="30"/>
          <w:szCs w:val="30"/>
        </w:rPr>
        <w:t>，参赛队比赛开始前</w:t>
      </w:r>
      <w:r>
        <w:rPr>
          <w:rFonts w:hint="eastAsia" w:ascii="仿宋_GB2312" w:hAnsi="仿宋" w:eastAsia="仿宋_GB2312"/>
          <w:sz w:val="30"/>
          <w:szCs w:val="30"/>
        </w:rPr>
        <w:t>30分钟</w:t>
      </w:r>
      <w:r>
        <w:rPr>
          <w:rFonts w:ascii="仿宋_GB2312" w:hAnsi="仿宋" w:eastAsia="仿宋_GB2312"/>
          <w:sz w:val="30"/>
          <w:szCs w:val="30"/>
        </w:rPr>
        <w:t>到赛项指定地点接受检录，抽取顺序号，进场抽签决定赛位号，抽签结束后，按照抽取的赛位号进场，在对应的</w:t>
      </w:r>
      <w:r>
        <w:rPr>
          <w:rFonts w:hint="eastAsia" w:ascii="仿宋_GB2312" w:hAnsi="仿宋" w:eastAsia="仿宋_GB2312"/>
          <w:sz w:val="30"/>
          <w:szCs w:val="30"/>
        </w:rPr>
        <w:t>赛</w:t>
      </w:r>
      <w:r>
        <w:rPr>
          <w:rFonts w:ascii="仿宋_GB2312" w:hAnsi="仿宋" w:eastAsia="仿宋_GB2312"/>
          <w:sz w:val="30"/>
          <w:szCs w:val="30"/>
        </w:rPr>
        <w:t>位上完成</w:t>
      </w:r>
      <w:r>
        <w:rPr>
          <w:rFonts w:hint="eastAsia" w:ascii="仿宋_GB2312" w:hAnsi="仿宋" w:eastAsia="仿宋_GB2312"/>
          <w:sz w:val="30"/>
          <w:szCs w:val="30"/>
        </w:rPr>
        <w:t>竞赛</w:t>
      </w:r>
      <w:r>
        <w:rPr>
          <w:rFonts w:ascii="仿宋_GB2312" w:hAnsi="仿宋" w:eastAsia="仿宋_GB2312"/>
          <w:sz w:val="30"/>
          <w:szCs w:val="30"/>
        </w:rPr>
        <w:t>任务</w:t>
      </w:r>
      <w:r>
        <w:rPr>
          <w:rFonts w:hint="eastAsia" w:ascii="仿宋_GB2312" w:hAnsi="仿宋" w:eastAsia="仿宋_GB2312"/>
          <w:sz w:val="30"/>
          <w:szCs w:val="30"/>
        </w:rPr>
        <w:t>。</w:t>
      </w:r>
    </w:p>
    <w:p>
      <w:pPr>
        <w:spacing w:line="560" w:lineRule="exact"/>
        <w:ind w:firstLine="600" w:firstLineChars="200"/>
        <w:rPr>
          <w:rFonts w:ascii="仿宋" w:hAnsi="仿宋" w:eastAsia="仿宋" w:cs="仿宋"/>
          <w:b/>
          <w:bCs/>
          <w:sz w:val="28"/>
          <w:szCs w:val="28"/>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本赛项为团体赛，以院校为单位组队参赛，不得跨校组队。每支参赛队由</w:t>
      </w:r>
      <w:r>
        <w:rPr>
          <w:rFonts w:ascii="仿宋_GB2312" w:hAnsi="仿宋" w:eastAsia="仿宋_GB2312"/>
          <w:sz w:val="30"/>
          <w:szCs w:val="30"/>
        </w:rPr>
        <w:t>3名选手（设队长1名）和不超过2名指导教师组成。</w:t>
      </w:r>
      <w:bookmarkStart w:id="0" w:name="OLE_LINK4"/>
      <w:r>
        <w:rPr>
          <w:rFonts w:ascii="仿宋_GB2312" w:hAnsi="仿宋" w:eastAsia="仿宋_GB2312"/>
          <w:sz w:val="30"/>
          <w:szCs w:val="30"/>
        </w:rPr>
        <w:t>参赛选手须为</w:t>
      </w:r>
      <w:r>
        <w:rPr>
          <w:rFonts w:hint="eastAsia" w:ascii="仿宋_GB2312" w:hAnsi="仿宋" w:eastAsia="仿宋_GB2312"/>
          <w:sz w:val="30"/>
          <w:szCs w:val="30"/>
        </w:rPr>
        <w:t>全省高职院校</w:t>
      </w:r>
      <w:bookmarkStart w:id="1" w:name="_Hlk535832311"/>
      <w:r>
        <w:rPr>
          <w:rFonts w:ascii="仿宋_GB2312" w:hAnsi="仿宋" w:eastAsia="仿宋_GB2312"/>
          <w:sz w:val="30"/>
          <w:szCs w:val="30"/>
        </w:rPr>
        <w:t>在籍学生</w:t>
      </w:r>
      <w:bookmarkEnd w:id="0"/>
      <w:bookmarkEnd w:id="1"/>
      <w:r>
        <w:rPr>
          <w:rFonts w:ascii="仿宋_GB2312" w:hAnsi="仿宋" w:eastAsia="仿宋_GB2312"/>
          <w:sz w:val="30"/>
          <w:szCs w:val="30"/>
        </w:rPr>
        <w:t>。参赛选手在报名获得确认后，原则上不再更换，允许队员缺席比赛。</w:t>
      </w:r>
    </w:p>
    <w:p>
      <w:pPr>
        <w:pStyle w:val="16"/>
        <w:spacing w:before="0" w:after="0" w:line="560" w:lineRule="exact"/>
        <w:ind w:firstLine="600" w:firstLineChars="200"/>
        <w:jc w:val="left"/>
        <w:rPr>
          <w:rFonts w:ascii="黑体" w:hAnsi="宋体" w:eastAsia="黑体"/>
          <w:b w:val="0"/>
          <w:color w:val="000000" w:themeColor="text1"/>
          <w:kern w:val="2"/>
          <w:sz w:val="28"/>
          <w:szCs w:val="28"/>
        </w:rPr>
      </w:pPr>
      <w:r>
        <w:rPr>
          <w:rFonts w:hint="eastAsia" w:ascii="黑体" w:hAnsi="黑体" w:eastAsia="黑体"/>
          <w:b w:val="0"/>
          <w:color w:val="000000" w:themeColor="text1"/>
          <w:kern w:val="2"/>
          <w:sz w:val="30"/>
          <w:szCs w:val="30"/>
        </w:rPr>
        <w:t>八、竞赛规则</w:t>
      </w:r>
    </w:p>
    <w:p>
      <w:pPr>
        <w:spacing w:line="560" w:lineRule="exact"/>
        <w:ind w:firstLine="300" w:firstLineChars="1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w:t>
      </w:r>
      <w:r>
        <w:rPr>
          <w:rFonts w:ascii="楷体_GB2312" w:hAnsi="楷体_GB2312" w:eastAsia="楷体_GB2312" w:cs="楷体_GB2312"/>
          <w:kern w:val="2"/>
          <w:sz w:val="30"/>
          <w:szCs w:val="30"/>
          <w:lang w:val="zh-TW" w:eastAsia="zh-TW"/>
        </w:rPr>
        <w:t>竞赛命题规则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.竞赛题目以实际项目为基础，体现网络信息安全领域的先进技术、主流产品和应用，符合行业应用相关的工程规范及标准，体现网络信息安全领域的人才需求特点。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.竞赛题目设计和评分规则体现竞赛的选拔性，具有一定难度。</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.赛项专家组封闭命题，理论与实践、知识与能力并重，注重参赛选手综合职业能力的考核，体现高职计算机信息安全类专业人才培养特色。</w:t>
      </w:r>
    </w:p>
    <w:p>
      <w:pPr>
        <w:spacing w:line="560" w:lineRule="exact"/>
        <w:ind w:firstLine="300" w:firstLineChars="1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（二）赛前准备</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参赛学校自备竞赛用跳线及网线测试工具，竞赛需</w:t>
      </w:r>
      <w:r>
        <w:rPr>
          <w:rFonts w:ascii="仿宋_GB2312" w:hAnsi="仿宋" w:eastAsia="仿宋_GB2312"/>
          <w:sz w:val="30"/>
          <w:szCs w:val="30"/>
        </w:rPr>
        <w:t>20</w:t>
      </w:r>
      <w:r>
        <w:rPr>
          <w:rFonts w:hint="eastAsia" w:ascii="仿宋_GB2312" w:hAnsi="仿宋" w:eastAsia="仿宋_GB2312"/>
          <w:sz w:val="30"/>
          <w:szCs w:val="30"/>
        </w:rPr>
        <w:t>根</w:t>
      </w:r>
      <w:r>
        <w:rPr>
          <w:rFonts w:ascii="仿宋_GB2312" w:hAnsi="仿宋" w:eastAsia="仿宋_GB2312"/>
          <w:sz w:val="30"/>
          <w:szCs w:val="30"/>
        </w:rPr>
        <w:t>1.5</w:t>
      </w:r>
      <w:r>
        <w:rPr>
          <w:rFonts w:hint="eastAsia" w:ascii="仿宋_GB2312" w:hAnsi="仿宋" w:eastAsia="仿宋_GB2312"/>
          <w:sz w:val="30"/>
          <w:szCs w:val="30"/>
        </w:rPr>
        <w:t>米长跳线，除以上工具和网线外，</w:t>
      </w:r>
      <w:r>
        <w:rPr>
          <w:rFonts w:ascii="仿宋_GB2312" w:hAnsi="仿宋" w:eastAsia="仿宋_GB2312"/>
          <w:sz w:val="30"/>
          <w:szCs w:val="30"/>
        </w:rPr>
        <w:t>竞赛所需设备（</w:t>
      </w:r>
      <w:r>
        <w:rPr>
          <w:rFonts w:hint="eastAsia" w:ascii="仿宋_GB2312" w:hAnsi="仿宋" w:eastAsia="仿宋_GB2312"/>
          <w:sz w:val="30"/>
          <w:szCs w:val="30"/>
        </w:rPr>
        <w:t>含</w:t>
      </w:r>
      <w:r>
        <w:rPr>
          <w:rFonts w:ascii="仿宋_GB2312" w:hAnsi="仿宋" w:eastAsia="仿宋_GB2312"/>
          <w:sz w:val="30"/>
          <w:szCs w:val="30"/>
        </w:rPr>
        <w:t>设备配置线）、系统软件和辅助工具由组委会统一安排，参赛选手不得自带软件、移动存储、辅助工具、移动通信等</w:t>
      </w:r>
      <w:r>
        <w:rPr>
          <w:rFonts w:hint="eastAsia" w:ascii="仿宋_GB2312" w:hAnsi="仿宋" w:eastAsia="仿宋_GB2312"/>
          <w:sz w:val="30"/>
          <w:szCs w:val="30"/>
        </w:rPr>
        <w:t>违规物品</w:t>
      </w:r>
      <w:r>
        <w:rPr>
          <w:rFonts w:ascii="仿宋_GB2312" w:hAnsi="仿宋" w:eastAsia="仿宋_GB2312"/>
          <w:sz w:val="30"/>
          <w:szCs w:val="30"/>
        </w:rPr>
        <w:t>进入竞赛现场。</w:t>
      </w:r>
    </w:p>
    <w:p>
      <w:pPr>
        <w:spacing w:line="56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ascii="仿宋_GB2312" w:hAnsi="仿宋" w:eastAsia="仿宋_GB2312"/>
          <w:sz w:val="30"/>
          <w:szCs w:val="30"/>
        </w:rPr>
      </w:pPr>
      <w:r>
        <w:rPr>
          <w:rFonts w:eastAsia="仿宋_GB2312"/>
          <w:sz w:val="30"/>
          <w:szCs w:val="30"/>
        </w:rPr>
        <w:t>3</w:t>
      </w:r>
      <w:r>
        <w:rPr>
          <w:rFonts w:hint="eastAsia" w:eastAsia="仿宋_GB2312"/>
          <w:sz w:val="30"/>
          <w:szCs w:val="30"/>
        </w:rPr>
        <w:t>.参赛队入场：参赛选手应提前30分钟到达赛场，接受工作人员对选手身份、资格和有关证件的核验，赛位由抽签确定，不得擅自变更、调整；选手在竞赛过程中不得擅自离开赛场，如有特殊情况，须经裁判人员同意。</w:t>
      </w:r>
    </w:p>
    <w:p>
      <w:pPr>
        <w:spacing w:line="560" w:lineRule="exact"/>
        <w:ind w:firstLine="300" w:firstLineChars="100"/>
        <w:rPr>
          <w:rFonts w:ascii="仿宋_GB2312" w:hAnsi="仿宋" w:eastAsia="仿宋_GB2312"/>
          <w:sz w:val="30"/>
          <w:szCs w:val="30"/>
        </w:rPr>
      </w:pP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lang w:val="zh-TW"/>
        </w:rPr>
        <w:t>三</w:t>
      </w: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lang w:val="zh-TW"/>
        </w:rPr>
        <w:t>赛场要求</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eastAsia="仿宋_GB2312"/>
          <w:sz w:val="30"/>
          <w:szCs w:val="30"/>
        </w:rPr>
        <w:t xml:space="preserve"> 所有人员在赛场内不得有影响其他选手完成工作任务的行为，参赛选手不允许窜岗、窜位，使用文明用语，不得言语及人身攻击裁判和赛场工作人员。</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2.参赛队在赛前进入竞赛工位并领取竞赛任务，竞赛正式开始后方可展开相关工作。</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竞赛过程中，选手须严格遵守操作规程，确保人身及设备安全，并接受裁判员的监督和警示。若因选手因素造成设备故障或损坏，无法继续竞赛，裁判长有权决定终止该队竞赛；若因非选手个人因素造成设备故障，由裁判长视具体情况做出裁决。</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比赛过程中</w:t>
      </w:r>
      <w:r>
        <w:rPr>
          <w:rFonts w:ascii="仿宋_GB2312" w:hAnsi="仿宋" w:eastAsia="仿宋_GB2312"/>
          <w:sz w:val="30"/>
          <w:szCs w:val="30"/>
        </w:rPr>
        <w:t>禁止攻击裁判服务器和网络连接设备，按照现场WAF（或网络设备）</w:t>
      </w:r>
      <w:r>
        <w:rPr>
          <w:rFonts w:hint="eastAsia" w:ascii="仿宋_GB2312" w:hAnsi="仿宋" w:eastAsia="仿宋_GB2312"/>
          <w:sz w:val="30"/>
          <w:szCs w:val="30"/>
        </w:rPr>
        <w:t>告警</w:t>
      </w:r>
      <w:r>
        <w:rPr>
          <w:rFonts w:ascii="仿宋_GB2312" w:hAnsi="仿宋" w:eastAsia="仿宋_GB2312"/>
          <w:sz w:val="30"/>
          <w:szCs w:val="30"/>
        </w:rPr>
        <w:t>记录</w:t>
      </w:r>
      <w:r>
        <w:rPr>
          <w:rFonts w:hint="eastAsia" w:ascii="仿宋_GB2312" w:hAnsi="仿宋" w:eastAsia="仿宋_GB2312"/>
          <w:sz w:val="30"/>
          <w:szCs w:val="30"/>
        </w:rPr>
        <w:t>，若</w:t>
      </w:r>
      <w:r>
        <w:rPr>
          <w:rFonts w:ascii="仿宋_GB2312" w:hAnsi="仿宋" w:eastAsia="仿宋_GB2312"/>
          <w:sz w:val="30"/>
          <w:szCs w:val="30"/>
        </w:rPr>
        <w:t>发现攻击行为</w:t>
      </w:r>
      <w:r>
        <w:rPr>
          <w:rFonts w:hint="eastAsia" w:ascii="仿宋_GB2312" w:hAnsi="仿宋" w:eastAsia="仿宋_GB2312"/>
          <w:sz w:val="30"/>
          <w:szCs w:val="30"/>
        </w:rPr>
        <w:t>，将</w:t>
      </w:r>
      <w:r>
        <w:rPr>
          <w:rFonts w:ascii="仿宋_GB2312" w:hAnsi="仿宋" w:eastAsia="仿宋_GB2312"/>
          <w:sz w:val="30"/>
          <w:szCs w:val="30"/>
        </w:rPr>
        <w:t>根据《全国职业院校技能大赛制度汇编》奖惩办法，</w:t>
      </w:r>
      <w:r>
        <w:rPr>
          <w:rFonts w:hint="eastAsia" w:ascii="仿宋_GB2312" w:hAnsi="仿宋" w:eastAsia="仿宋_GB2312"/>
          <w:sz w:val="30"/>
          <w:szCs w:val="30"/>
        </w:rPr>
        <w:t>对</w:t>
      </w:r>
      <w:r>
        <w:rPr>
          <w:rFonts w:ascii="仿宋_GB2312" w:hAnsi="仿宋" w:eastAsia="仿宋_GB2312"/>
          <w:sz w:val="30"/>
          <w:szCs w:val="30"/>
        </w:rPr>
        <w:t>参赛选手按扰乱赛场秩序处理，立即停止比赛，并给予选手取消成绩的处</w:t>
      </w:r>
      <w:r>
        <w:rPr>
          <w:rFonts w:hint="eastAsia" w:ascii="仿宋_GB2312" w:hAnsi="仿宋" w:eastAsia="仿宋_GB2312"/>
          <w:sz w:val="30"/>
          <w:szCs w:val="30"/>
        </w:rPr>
        <w:t>理</w:t>
      </w:r>
      <w:r>
        <w:rPr>
          <w:rFonts w:ascii="仿宋_GB2312" w:hAnsi="仿宋" w:eastAsia="仿宋_GB2312"/>
          <w:sz w:val="30"/>
          <w:szCs w:val="30"/>
        </w:rPr>
        <w:t>，同时，责成所在学校按照学生违纪违规处分规定作出处理</w:t>
      </w:r>
      <w:r>
        <w:rPr>
          <w:rFonts w:hint="eastAsia" w:ascii="仿宋_GB2312" w:hAnsi="仿宋" w:eastAsia="仿宋_GB2312"/>
          <w:sz w:val="30"/>
          <w:szCs w:val="30"/>
        </w:rPr>
        <w:t>。</w:t>
      </w:r>
      <w:r>
        <w:rPr>
          <w:rFonts w:ascii="仿宋_GB2312" w:hAnsi="仿宋" w:eastAsia="仿宋_GB2312"/>
          <w:sz w:val="30"/>
          <w:szCs w:val="30"/>
        </w:rPr>
        <w:t xml:space="preserve"> </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5.竞赛结束（或提前完成）后，参赛队要确认已成功提交所有竞赛文档，裁判员与参赛队队长一起签字确认，参赛队在确认后不得再进行任何操作。</w:t>
      </w:r>
    </w:p>
    <w:p>
      <w:pPr>
        <w:pStyle w:val="16"/>
        <w:spacing w:before="0" w:after="0" w:line="560" w:lineRule="exact"/>
        <w:ind w:firstLine="300" w:firstLineChars="100"/>
        <w:jc w:val="left"/>
        <w:rPr>
          <w:rFonts w:ascii="楷体_GB2312" w:hAnsi="楷体_GB2312" w:eastAsia="楷体_GB2312" w:cs="楷体_GB2312"/>
          <w:b w:val="0"/>
          <w:bCs w:val="0"/>
          <w:kern w:val="2"/>
          <w:sz w:val="30"/>
          <w:szCs w:val="30"/>
          <w:lang w:val="zh-TW" w:eastAsia="zh-TW"/>
        </w:rPr>
      </w:pPr>
      <w:r>
        <w:rPr>
          <w:rFonts w:hint="eastAsia" w:ascii="楷体_GB2312" w:hAnsi="楷体_GB2312" w:eastAsia="楷体_GB2312" w:cs="楷体_GB2312"/>
          <w:b w:val="0"/>
          <w:bCs w:val="0"/>
          <w:kern w:val="2"/>
          <w:sz w:val="30"/>
          <w:szCs w:val="30"/>
          <w:lang w:val="zh-TW" w:eastAsia="zh-TW"/>
        </w:rPr>
        <w:t>（四）</w:t>
      </w:r>
      <w:r>
        <w:rPr>
          <w:rFonts w:ascii="楷体_GB2312" w:hAnsi="楷体_GB2312" w:eastAsia="楷体_GB2312" w:cs="楷体_GB2312"/>
          <w:b w:val="0"/>
          <w:bCs w:val="0"/>
          <w:kern w:val="2"/>
          <w:sz w:val="30"/>
          <w:szCs w:val="30"/>
          <w:lang w:val="zh-TW" w:eastAsia="zh-TW"/>
        </w:rPr>
        <w:t>成绩评定</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所有有关专家和裁判以及相关人员将签订保密协议,严格遵守保密纪律，不得私自透露比赛需保密的内容和比赛结果。</w:t>
      </w:r>
    </w:p>
    <w:p>
      <w:pPr>
        <w:spacing w:line="560" w:lineRule="exact"/>
        <w:ind w:firstLine="600" w:firstLineChars="200"/>
        <w:rPr>
          <w:rFonts w:ascii="仿宋_GB2312" w:hAnsi="仿宋" w:eastAsia="仿宋_GB2312"/>
          <w:sz w:val="30"/>
          <w:szCs w:val="30"/>
        </w:rPr>
      </w:pPr>
      <w:r>
        <w:rPr>
          <w:rFonts w:eastAsia="仿宋_GB2312"/>
          <w:sz w:val="30"/>
          <w:szCs w:val="30"/>
        </w:rPr>
        <w:t>3.评判结束后，记分员负责在监督仲裁组</w:t>
      </w:r>
      <w:r>
        <w:rPr>
          <w:rFonts w:hint="eastAsia" w:eastAsia="仿宋_GB2312"/>
          <w:sz w:val="30"/>
          <w:szCs w:val="30"/>
        </w:rPr>
        <w:t>的</w:t>
      </w:r>
      <w:r>
        <w:rPr>
          <w:rFonts w:eastAsia="仿宋_GB2312"/>
          <w:sz w:val="30"/>
          <w:szCs w:val="30"/>
        </w:rPr>
        <w:t>监督下完成统分工作，统分表由记分员、裁判长、监督仲裁组成员共同签字确认，在监督仲裁组</w:t>
      </w:r>
      <w:r>
        <w:rPr>
          <w:rFonts w:hint="eastAsia" w:eastAsia="仿宋_GB2312"/>
          <w:sz w:val="30"/>
          <w:szCs w:val="30"/>
        </w:rPr>
        <w:t>的</w:t>
      </w:r>
      <w:r>
        <w:rPr>
          <w:rFonts w:eastAsia="仿宋_GB2312"/>
          <w:sz w:val="30"/>
          <w:szCs w:val="30"/>
        </w:rPr>
        <w:t>监督下由裁判长审核签字后封装。</w:t>
      </w:r>
    </w:p>
    <w:p>
      <w:pPr>
        <w:pStyle w:val="16"/>
        <w:spacing w:before="0" w:after="0" w:line="560" w:lineRule="exact"/>
        <w:ind w:firstLine="300" w:firstLineChars="100"/>
        <w:jc w:val="left"/>
        <w:rPr>
          <w:rFonts w:ascii="楷体_GB2312" w:hAnsi="楷体_GB2312" w:eastAsia="楷体_GB2312" w:cs="楷体_GB2312"/>
          <w:b w:val="0"/>
          <w:bCs w:val="0"/>
          <w:kern w:val="2"/>
          <w:sz w:val="30"/>
          <w:szCs w:val="30"/>
          <w:lang w:val="zh-TW" w:eastAsia="zh-TW"/>
        </w:rPr>
      </w:pPr>
      <w:r>
        <w:rPr>
          <w:rFonts w:hint="eastAsia" w:ascii="楷体_GB2312" w:hAnsi="楷体_GB2312" w:eastAsia="楷体_GB2312" w:cs="楷体_GB2312"/>
          <w:b w:val="0"/>
          <w:bCs w:val="0"/>
          <w:kern w:val="2"/>
          <w:sz w:val="30"/>
          <w:szCs w:val="30"/>
          <w:lang w:val="zh-TW" w:eastAsia="zh-TW"/>
        </w:rPr>
        <w:t>（五）成绩公布</w:t>
      </w:r>
    </w:p>
    <w:p>
      <w:pPr>
        <w:spacing w:line="560" w:lineRule="exact"/>
        <w:ind w:firstLine="600" w:firstLineChars="200"/>
        <w:rPr>
          <w:rFonts w:ascii="楷体_GB2312" w:hAnsi="楷体_GB2312" w:eastAsia="PMingLiU" w:cs="楷体_GB2312"/>
          <w:kern w:val="2"/>
          <w:sz w:val="30"/>
          <w:szCs w:val="30"/>
          <w:lang w:val="zh-TW" w:eastAsia="zh-TW"/>
        </w:rPr>
      </w:pPr>
      <w:r>
        <w:rPr>
          <w:rFonts w:eastAsia="仿宋_GB2312"/>
          <w:sz w:val="30"/>
          <w:szCs w:val="30"/>
        </w:rPr>
        <w:t>记分员将解密后的各参赛队伍（选手）成绩汇总成最终成绩单，经裁判长、监督组签字后进行公示。</w:t>
      </w:r>
    </w:p>
    <w:p>
      <w:pPr>
        <w:pStyle w:val="16"/>
        <w:spacing w:before="0" w:after="0" w:line="560" w:lineRule="exact"/>
        <w:ind w:firstLine="600" w:firstLineChars="200"/>
        <w:jc w:val="left"/>
        <w:rPr>
          <w:rFonts w:ascii="黑体" w:hAnsi="黑体" w:eastAsia="黑体"/>
          <w:b w:val="0"/>
          <w:color w:val="000000" w:themeColor="text1"/>
          <w:kern w:val="2"/>
          <w:sz w:val="30"/>
          <w:szCs w:val="30"/>
        </w:rPr>
      </w:pPr>
      <w:r>
        <w:rPr>
          <w:rFonts w:hint="eastAsia" w:ascii="黑体" w:hAnsi="黑体" w:eastAsia="黑体"/>
          <w:b w:val="0"/>
          <w:color w:val="000000" w:themeColor="text1"/>
          <w:kern w:val="2"/>
          <w:sz w:val="30"/>
          <w:szCs w:val="30"/>
        </w:rPr>
        <w:t xml:space="preserve"> 九、竞赛环境</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（一）竞赛场地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竞赛现场设置竞赛区、裁判区、服务区、技术支持区。现场保证良好的采光、照明和通风，提供稳定的水、电和供电应急设备。同时提供所有指导教师休息室1间。</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（二）竞赛设备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竞赛设备由执委会和承办校负责提供和保障，竞赛区按照参赛队数量准备比赛所需的软硬件平台，为参赛队提供标准竞赛设备。</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（三）竞赛工位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竞赛现场各个工作区配备单相220V/3A以上交流电源。每个比赛工位上标明编号。每个比赛间配有工作台，用于摆放计算机和其它调试设备工具等，配备</w:t>
      </w:r>
      <w:r>
        <w:rPr>
          <w:rFonts w:ascii="仿宋_GB2312" w:hAnsi="仿宋" w:eastAsia="仿宋_GB2312"/>
          <w:sz w:val="30"/>
          <w:szCs w:val="30"/>
        </w:rPr>
        <w:t>3</w:t>
      </w:r>
      <w:r>
        <w:rPr>
          <w:rFonts w:hint="eastAsia" w:ascii="仿宋_GB2312" w:hAnsi="仿宋" w:eastAsia="仿宋_GB2312"/>
          <w:sz w:val="30"/>
          <w:szCs w:val="30"/>
        </w:rPr>
        <w:t>把工作椅（凳），竞赛工位须隔离和抗干扰。</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（四）技术支持区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为参赛选手比赛提供网络环境部署和网络安全防范。</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（五）服务区</w:t>
      </w:r>
    </w:p>
    <w:p>
      <w:pPr>
        <w:spacing w:line="560" w:lineRule="exact"/>
        <w:ind w:firstLine="600" w:firstLineChars="200"/>
        <w:rPr>
          <w:rFonts w:ascii="仿宋" w:hAnsi="仿宋" w:eastAsia="仿宋" w:cs="仿宋"/>
          <w:b/>
          <w:bCs/>
        </w:rPr>
      </w:pPr>
      <w:r>
        <w:rPr>
          <w:rFonts w:hint="eastAsia" w:ascii="仿宋_GB2312" w:hAnsi="仿宋" w:eastAsia="仿宋_GB2312"/>
          <w:sz w:val="30"/>
          <w:szCs w:val="30"/>
        </w:rPr>
        <w:t>提供医疗等服务保障。</w:t>
      </w:r>
    </w:p>
    <w:p>
      <w:pPr>
        <w:pStyle w:val="16"/>
        <w:spacing w:before="0" w:after="0" w:line="560" w:lineRule="exact"/>
        <w:ind w:firstLine="600" w:firstLineChars="200"/>
        <w:jc w:val="left"/>
        <w:rPr>
          <w:rFonts w:ascii="黑体" w:hAnsi="黑体" w:eastAsia="黑体"/>
          <w:b w:val="0"/>
          <w:color w:val="000000" w:themeColor="text1"/>
          <w:kern w:val="2"/>
          <w:sz w:val="30"/>
          <w:szCs w:val="30"/>
        </w:rPr>
      </w:pPr>
      <w:r>
        <w:rPr>
          <w:rFonts w:hint="eastAsia" w:ascii="黑体" w:hAnsi="黑体" w:eastAsia="黑体"/>
          <w:b w:val="0"/>
          <w:color w:val="000000" w:themeColor="text1"/>
          <w:kern w:val="2"/>
          <w:sz w:val="30"/>
          <w:szCs w:val="30"/>
        </w:rPr>
        <w:t>十、技术规范</w:t>
      </w:r>
    </w:p>
    <w:p>
      <w:pPr>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该赛项涉及的信息网络安全工程在设计、组建过程中，主要有以下</w:t>
      </w:r>
      <w:r>
        <w:rPr>
          <w:rFonts w:ascii="仿宋_GB2312" w:hAnsi="仿宋" w:eastAsia="仿宋_GB2312"/>
          <w:color w:val="000000" w:themeColor="text1"/>
          <w:sz w:val="30"/>
          <w:szCs w:val="30"/>
        </w:rPr>
        <w:t xml:space="preserve">9 </w:t>
      </w:r>
      <w:r>
        <w:rPr>
          <w:rFonts w:hint="eastAsia" w:ascii="仿宋_GB2312" w:hAnsi="仿宋" w:eastAsia="仿宋_GB2312"/>
          <w:color w:val="000000" w:themeColor="text1"/>
          <w:sz w:val="30"/>
          <w:szCs w:val="30"/>
        </w:rPr>
        <w:t>项国家标准，参赛队在实施竞赛项目中要求遵循如下规：</w:t>
      </w:r>
    </w:p>
    <w:tbl>
      <w:tblPr>
        <w:tblStyle w:val="2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0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黑体" w:hAnsi="黑体" w:eastAsia="黑体" w:cs="黑体"/>
                <w:bCs/>
                <w:kern w:val="0"/>
              </w:rPr>
            </w:pPr>
            <w:r>
              <w:rPr>
                <w:rFonts w:hint="eastAsia" w:ascii="黑体" w:hAnsi="黑体" w:eastAsia="黑体" w:cs="黑体"/>
                <w:bCs/>
                <w:kern w:val="0"/>
              </w:rPr>
              <w:t>序号</w:t>
            </w:r>
          </w:p>
        </w:tc>
        <w:tc>
          <w:tcPr>
            <w:tcW w:w="3402" w:type="dxa"/>
            <w:shd w:val="clear" w:color="auto" w:fill="auto"/>
            <w:vAlign w:val="bottom"/>
          </w:tcPr>
          <w:p>
            <w:pPr>
              <w:pStyle w:val="76"/>
              <w:jc w:val="center"/>
              <w:rPr>
                <w:rFonts w:ascii="黑体" w:hAnsi="黑体" w:eastAsia="黑体" w:cs="黑体"/>
                <w:bCs/>
                <w:kern w:val="0"/>
              </w:rPr>
            </w:pPr>
            <w:r>
              <w:rPr>
                <w:rFonts w:hint="eastAsia" w:ascii="黑体" w:hAnsi="黑体" w:eastAsia="黑体" w:cs="黑体"/>
                <w:bCs/>
                <w:kern w:val="0"/>
              </w:rPr>
              <w:t>标准号</w:t>
            </w:r>
          </w:p>
        </w:tc>
        <w:tc>
          <w:tcPr>
            <w:tcW w:w="5245" w:type="dxa"/>
            <w:shd w:val="clear" w:color="auto" w:fill="auto"/>
            <w:vAlign w:val="bottom"/>
          </w:tcPr>
          <w:p>
            <w:pPr>
              <w:pStyle w:val="76"/>
              <w:jc w:val="center"/>
              <w:rPr>
                <w:rFonts w:ascii="黑体" w:hAnsi="黑体" w:eastAsia="黑体" w:cs="黑体"/>
                <w:bCs/>
                <w:kern w:val="0"/>
              </w:rPr>
            </w:pPr>
            <w:r>
              <w:rPr>
                <w:rFonts w:hint="eastAsia" w:ascii="黑体" w:hAnsi="黑体" w:eastAsia="黑体" w:cs="黑体"/>
                <w:bCs/>
                <w:kern w:val="0"/>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1</w:t>
            </w:r>
          </w:p>
        </w:tc>
        <w:tc>
          <w:tcPr>
            <w:tcW w:w="3402" w:type="dxa"/>
            <w:shd w:val="clear" w:color="auto" w:fill="auto"/>
            <w:vAlign w:val="bottom"/>
          </w:tcPr>
          <w:p>
            <w:pPr>
              <w:autoSpaceDE w:val="0"/>
              <w:autoSpaceDN w:val="0"/>
              <w:adjustRightInd w:val="0"/>
              <w:jc w:val="center"/>
              <w:rPr>
                <w:rFonts w:ascii="仿宋" w:hAnsi="仿宋" w:eastAsia="仿宋"/>
                <w:color w:val="000000" w:themeColor="text1"/>
                <w:sz w:val="21"/>
                <w:szCs w:val="21"/>
              </w:rPr>
            </w:pPr>
            <w:r>
              <w:rPr>
                <w:rFonts w:ascii="仿宋" w:hAnsi="仿宋" w:eastAsia="仿宋"/>
                <w:color w:val="000000" w:themeColor="text1"/>
                <w:sz w:val="21"/>
                <w:szCs w:val="21"/>
              </w:rPr>
              <w:t>WSC2022_WSO554_Cyber_Security</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《世界技能大赛网络安全项目职业标准》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2</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4-04-04-02</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《网络与信息安全管理员》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3</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4-04-04-04</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《信息安全测试员》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4</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GB</w:t>
            </w:r>
            <w:r>
              <w:rPr>
                <w:rFonts w:hint="eastAsia" w:ascii="仿宋" w:hAnsi="仿宋" w:eastAsia="仿宋"/>
                <w:color w:val="000000" w:themeColor="text1"/>
                <w:kern w:val="0"/>
                <w:sz w:val="21"/>
                <w:szCs w:val="21"/>
              </w:rPr>
              <w:t>∕</w:t>
            </w:r>
            <w:r>
              <w:rPr>
                <w:rFonts w:ascii="仿宋" w:hAnsi="仿宋" w:eastAsia="仿宋"/>
                <w:color w:val="000000" w:themeColor="text1"/>
                <w:kern w:val="0"/>
                <w:sz w:val="21"/>
                <w:szCs w:val="21"/>
              </w:rPr>
              <w:t>T 22239-2019</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《信息安全技术网络安全等级保护基本要求》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5</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GB</w:t>
            </w:r>
            <w:r>
              <w:rPr>
                <w:rFonts w:hint="eastAsia" w:ascii="仿宋" w:hAnsi="仿宋" w:eastAsia="仿宋"/>
                <w:color w:val="000000" w:themeColor="text1"/>
                <w:kern w:val="0"/>
                <w:sz w:val="21"/>
                <w:szCs w:val="21"/>
              </w:rPr>
              <w:t>∕</w:t>
            </w:r>
            <w:r>
              <w:rPr>
                <w:rFonts w:ascii="仿宋" w:hAnsi="仿宋" w:eastAsia="仿宋"/>
                <w:color w:val="000000" w:themeColor="text1"/>
                <w:kern w:val="0"/>
                <w:sz w:val="21"/>
                <w:szCs w:val="21"/>
              </w:rPr>
              <w:t>T 28448-2019</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《信息安全技术网络安全等级保护测评要求》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6</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GB</w:t>
            </w:r>
            <w:r>
              <w:rPr>
                <w:rFonts w:hint="eastAsia" w:ascii="仿宋" w:hAnsi="仿宋" w:eastAsia="仿宋"/>
                <w:color w:val="000000" w:themeColor="text1"/>
                <w:kern w:val="0"/>
                <w:sz w:val="21"/>
                <w:szCs w:val="21"/>
              </w:rPr>
              <w:t>∕</w:t>
            </w:r>
            <w:r>
              <w:rPr>
                <w:rFonts w:ascii="仿宋" w:hAnsi="仿宋" w:eastAsia="仿宋"/>
                <w:color w:val="000000" w:themeColor="text1"/>
                <w:kern w:val="0"/>
                <w:sz w:val="21"/>
                <w:szCs w:val="21"/>
              </w:rPr>
              <w:t>T 36627-2018</w:t>
            </w:r>
          </w:p>
        </w:tc>
        <w:tc>
          <w:tcPr>
            <w:tcW w:w="5245" w:type="dxa"/>
            <w:shd w:val="clear" w:color="auto" w:fill="auto"/>
            <w:vAlign w:val="bottom"/>
          </w:tcPr>
          <w:p>
            <w:pPr>
              <w:pStyle w:val="76"/>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《信息安全技术网络安全等级保护测试评估技术指南》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7</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GB</w:t>
            </w:r>
            <w:r>
              <w:rPr>
                <w:rFonts w:hint="eastAsia" w:ascii="仿宋" w:hAnsi="仿宋" w:eastAsia="仿宋"/>
                <w:color w:val="000000" w:themeColor="text1"/>
                <w:kern w:val="0"/>
                <w:sz w:val="21"/>
                <w:szCs w:val="21"/>
              </w:rPr>
              <w:t>∕</w:t>
            </w:r>
            <w:r>
              <w:rPr>
                <w:rFonts w:ascii="仿宋" w:hAnsi="仿宋" w:eastAsia="仿宋"/>
                <w:color w:val="000000" w:themeColor="text1"/>
                <w:kern w:val="0"/>
                <w:sz w:val="21"/>
                <w:szCs w:val="21"/>
              </w:rPr>
              <w:t>T 31509-2015</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《信息安全技术信息安全风险评估实施指南》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8</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ISO17799</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《信息安全管理实施细则》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9</w:t>
            </w:r>
          </w:p>
        </w:tc>
        <w:tc>
          <w:tcPr>
            <w:tcW w:w="3402" w:type="dxa"/>
            <w:shd w:val="clear" w:color="auto" w:fill="auto"/>
            <w:vAlign w:val="bottom"/>
          </w:tcPr>
          <w:p>
            <w:pPr>
              <w:pStyle w:val="76"/>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ISO/IEC 27001</w:t>
            </w:r>
          </w:p>
        </w:tc>
        <w:tc>
          <w:tcPr>
            <w:tcW w:w="5245" w:type="dxa"/>
            <w:shd w:val="clear" w:color="auto" w:fill="auto"/>
            <w:vAlign w:val="bottom"/>
          </w:tcPr>
          <w:p>
            <w:pPr>
              <w:pStyle w:val="76"/>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《信息安全管理体系》</w:t>
            </w:r>
          </w:p>
        </w:tc>
      </w:tr>
    </w:tbl>
    <w:p>
      <w:pPr>
        <w:pStyle w:val="16"/>
        <w:spacing w:before="0" w:after="0" w:line="560" w:lineRule="exact"/>
        <w:ind w:firstLine="600" w:firstLineChars="200"/>
        <w:jc w:val="left"/>
        <w:rPr>
          <w:rFonts w:ascii="黑体" w:hAnsi="黑体" w:eastAsia="黑体"/>
          <w:b w:val="0"/>
          <w:color w:val="000000" w:themeColor="text1"/>
          <w:kern w:val="2"/>
          <w:sz w:val="30"/>
          <w:szCs w:val="30"/>
        </w:rPr>
      </w:pPr>
      <w:r>
        <w:rPr>
          <w:rFonts w:hint="eastAsia" w:ascii="黑体" w:hAnsi="黑体" w:eastAsia="黑体"/>
          <w:b w:val="0"/>
          <w:color w:val="000000" w:themeColor="text1"/>
          <w:kern w:val="2"/>
          <w:sz w:val="30"/>
          <w:szCs w:val="30"/>
        </w:rPr>
        <w:t>十一、技术平台</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（一）竞赛软件</w:t>
      </w:r>
    </w:p>
    <w:p>
      <w:pPr>
        <w:spacing w:line="560" w:lineRule="exact"/>
        <w:ind w:firstLine="600" w:firstLineChars="200"/>
        <w:rPr>
          <w:rFonts w:ascii="仿宋" w:hAnsi="仿宋" w:eastAsia="仿宋" w:cs="仿宋"/>
        </w:rPr>
      </w:pPr>
      <w:r>
        <w:rPr>
          <w:rFonts w:hint="eastAsia" w:ascii="仿宋_GB2312" w:hAnsi="仿宋" w:eastAsia="仿宋_GB2312"/>
          <w:sz w:val="30"/>
          <w:szCs w:val="30"/>
        </w:rPr>
        <w:t>赛项执委会提供个人计算机（安装Windows操作系统），用以组建竞赛操作环境，并安装Office等常用应用软件。</w:t>
      </w:r>
    </w:p>
    <w:tbl>
      <w:tblPr>
        <w:tblStyle w:val="23"/>
        <w:tblW w:w="8642" w:type="dxa"/>
        <w:jc w:val="center"/>
        <w:tblLayout w:type="fixed"/>
        <w:tblCellMar>
          <w:top w:w="0" w:type="dxa"/>
          <w:left w:w="108" w:type="dxa"/>
          <w:bottom w:w="0" w:type="dxa"/>
          <w:right w:w="108" w:type="dxa"/>
        </w:tblCellMar>
      </w:tblPr>
      <w:tblGrid>
        <w:gridCol w:w="878"/>
        <w:gridCol w:w="3653"/>
        <w:gridCol w:w="4111"/>
      </w:tblGrid>
      <w:tr>
        <w:tblPrEx>
          <w:tblCellMar>
            <w:top w:w="0" w:type="dxa"/>
            <w:left w:w="108" w:type="dxa"/>
            <w:bottom w:w="0" w:type="dxa"/>
            <w:right w:w="108" w:type="dxa"/>
          </w:tblCellMar>
        </w:tblPrEx>
        <w:trPr>
          <w:trHeight w:val="387"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76"/>
              <w:jc w:val="center"/>
              <w:rPr>
                <w:rFonts w:ascii="黑体" w:hAnsi="黑体" w:eastAsia="黑体" w:cs="黑体"/>
                <w:bCs/>
                <w:kern w:val="0"/>
              </w:rPr>
            </w:pPr>
            <w:r>
              <w:rPr>
                <w:rFonts w:hint="eastAsia" w:ascii="黑体" w:hAnsi="黑体" w:eastAsia="黑体" w:cs="黑体"/>
                <w:bCs/>
                <w:kern w:val="0"/>
              </w:rPr>
              <w:t>序号</w:t>
            </w:r>
          </w:p>
        </w:tc>
        <w:tc>
          <w:tcPr>
            <w:tcW w:w="3653" w:type="dxa"/>
            <w:tcBorders>
              <w:top w:val="single" w:color="auto" w:sz="4" w:space="0"/>
              <w:left w:val="nil"/>
              <w:bottom w:val="single" w:color="auto" w:sz="4" w:space="0"/>
              <w:right w:val="single" w:color="auto" w:sz="4" w:space="0"/>
            </w:tcBorders>
            <w:shd w:val="clear" w:color="000000" w:fill="auto"/>
            <w:vAlign w:val="center"/>
          </w:tcPr>
          <w:p>
            <w:pPr>
              <w:pStyle w:val="76"/>
              <w:jc w:val="center"/>
              <w:rPr>
                <w:rFonts w:ascii="黑体" w:hAnsi="黑体" w:eastAsia="黑体" w:cs="黑体"/>
                <w:bCs/>
                <w:kern w:val="0"/>
              </w:rPr>
            </w:pPr>
            <w:r>
              <w:rPr>
                <w:rFonts w:hint="eastAsia" w:ascii="黑体" w:hAnsi="黑体" w:eastAsia="黑体" w:cs="黑体"/>
                <w:bCs/>
                <w:kern w:val="0"/>
              </w:rPr>
              <w:t>软件</w:t>
            </w:r>
          </w:p>
        </w:tc>
        <w:tc>
          <w:tcPr>
            <w:tcW w:w="4111" w:type="dxa"/>
            <w:tcBorders>
              <w:top w:val="single" w:color="auto" w:sz="4" w:space="0"/>
              <w:left w:val="nil"/>
              <w:bottom w:val="single" w:color="auto" w:sz="4" w:space="0"/>
              <w:right w:val="single" w:color="auto" w:sz="4" w:space="0"/>
            </w:tcBorders>
            <w:shd w:val="clear" w:color="000000" w:fill="auto"/>
            <w:vAlign w:val="center"/>
          </w:tcPr>
          <w:p>
            <w:pPr>
              <w:pStyle w:val="76"/>
              <w:jc w:val="center"/>
              <w:rPr>
                <w:rFonts w:ascii="黑体" w:hAnsi="黑体" w:eastAsia="黑体" w:cs="黑体"/>
                <w:bCs/>
                <w:kern w:val="0"/>
              </w:rPr>
            </w:pPr>
            <w:r>
              <w:rPr>
                <w:rFonts w:hint="eastAsia" w:ascii="黑体" w:hAnsi="黑体" w:eastAsia="黑体" w:cs="黑体"/>
                <w:bCs/>
                <w:kern w:val="0"/>
              </w:rPr>
              <w:t>版本</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Windows 10</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professional</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Microsoft Office</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Version 2010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VMwareWorkstation</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Version 12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Windows Server 2016</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Datacenter</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5</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Wireshark</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3.4.9</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bind</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9.11.4</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Kali</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Version2021.3</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8</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IDA free</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7.0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9</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OllyDbg</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Version1.10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0</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PDF reader</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1</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Volatility</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b/>
                <w:color w:val="000000" w:themeColor="text1"/>
                <w:sz w:val="21"/>
                <w:szCs w:val="21"/>
              </w:rPr>
            </w:pPr>
            <w:r>
              <w:rPr>
                <w:rFonts w:ascii="仿宋" w:hAnsi="仿宋" w:eastAsia="仿宋" w:cs="仿宋"/>
                <w:color w:val="000000" w:themeColor="text1"/>
                <w:sz w:val="21"/>
                <w:szCs w:val="21"/>
              </w:rPr>
              <w:t xml:space="preserve">Version2.6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2</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Autopsy</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Version4.0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3</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windbg</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Version4.0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4</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Jadx-gui</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1.2.0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5</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apktool</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2.6.1</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6</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Android Studio</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2021.3.1</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7</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HxD Hex Editor</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Version 2.X </w:t>
            </w:r>
            <w:r>
              <w:rPr>
                <w:rFonts w:hint="eastAsia" w:ascii="仿宋" w:hAnsi="仿宋" w:eastAsia="仿宋" w:cs="仿宋"/>
                <w:color w:val="000000" w:themeColor="text1"/>
                <w:sz w:val="21"/>
                <w:szCs w:val="21"/>
              </w:rPr>
              <w:t>以上版本</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8</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Android Emulator</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API27</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ascii="仿宋" w:hAnsi="仿宋" w:eastAsia="仿宋" w:cs="仿宋"/>
                <w:color w:val="000000" w:themeColor="text1"/>
                <w:sz w:val="21"/>
                <w:szCs w:val="21"/>
              </w:rPr>
              <w:t>9</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StegSolve</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1.4</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0</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audacity</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3.1.0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1</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Parrot-security</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4.11.2</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2</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gdb-pwndbg</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2021.06.22</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3</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sagemath</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9.2</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4</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pwntools</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4.5.0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5</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pycryptodome</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3.14.1</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6</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frida-server</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15.1.10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7</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frida-tools</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10.4.1</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8</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vscode</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X64-1.6.1</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r>
              <w:rPr>
                <w:rFonts w:ascii="仿宋" w:hAnsi="仿宋" w:eastAsia="仿宋" w:cs="仿宋"/>
                <w:color w:val="000000" w:themeColor="text1"/>
                <w:sz w:val="21"/>
                <w:szCs w:val="21"/>
              </w:rPr>
              <w:t>9</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Frp</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0.38.0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0</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Neo-reGeorg</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v3.7.0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31</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EmEditor Free</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V21.5.2</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2</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Putty</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0.68 </w:t>
            </w:r>
            <w:r>
              <w:rPr>
                <w:rFonts w:hint="eastAsia" w:ascii="仿宋" w:hAnsi="仿宋" w:eastAsia="仿宋" w:cs="仿宋"/>
                <w:color w:val="000000" w:themeColor="text1"/>
                <w:sz w:val="21"/>
                <w:szCs w:val="21"/>
              </w:rPr>
              <w:t>以上</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3</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VNC viewer</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1.2.1.2</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4</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VirtualBox</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6.1.28</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5</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CaptfEncoder</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2.1.0</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6</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BeautifulSoup</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4 4.9.3</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7</w:t>
            </w:r>
          </w:p>
        </w:tc>
        <w:tc>
          <w:tcPr>
            <w:tcW w:w="3653"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one_gadget</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1.7.4</w:t>
            </w:r>
          </w:p>
        </w:tc>
      </w:tr>
      <w:tr>
        <w:tblPrEx>
          <w:tblCellMar>
            <w:top w:w="0" w:type="dxa"/>
            <w:left w:w="108" w:type="dxa"/>
            <w:bottom w:w="0" w:type="dxa"/>
            <w:right w:w="108" w:type="dxa"/>
          </w:tblCellMar>
        </w:tblPrEx>
        <w:trPr>
          <w:trHeight w:val="170"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r>
              <w:rPr>
                <w:rFonts w:ascii="仿宋" w:hAnsi="仿宋" w:eastAsia="仿宋" w:cs="仿宋"/>
                <w:color w:val="000000" w:themeColor="text1"/>
                <w:sz w:val="21"/>
                <w:szCs w:val="21"/>
              </w:rPr>
              <w:t>8</w:t>
            </w:r>
          </w:p>
        </w:tc>
        <w:tc>
          <w:tcPr>
            <w:tcW w:w="3653" w:type="dxa"/>
            <w:tcBorders>
              <w:top w:val="nil"/>
              <w:left w:val="nil"/>
              <w:bottom w:val="single" w:color="auto" w:sz="4" w:space="0"/>
              <w:right w:val="single" w:color="auto" w:sz="4" w:space="0"/>
            </w:tcBorders>
          </w:tcPr>
          <w:p>
            <w:pPr>
              <w:jc w:val="center"/>
              <w:rPr>
                <w:rFonts w:ascii="仿宋" w:hAnsi="仿宋" w:eastAsia="仿宋"/>
                <w:color w:val="000000" w:themeColor="text1"/>
                <w:sz w:val="21"/>
                <w:szCs w:val="21"/>
              </w:rPr>
            </w:pPr>
            <w:r>
              <w:rPr>
                <w:rFonts w:hint="eastAsia" w:ascii="仿宋" w:hAnsi="仿宋" w:eastAsia="仿宋" w:cs="仿宋"/>
                <w:color w:val="000000" w:themeColor="text1"/>
                <w:sz w:val="21"/>
                <w:szCs w:val="21"/>
              </w:rPr>
              <w:t>超级终端</w:t>
            </w:r>
          </w:p>
        </w:tc>
        <w:tc>
          <w:tcPr>
            <w:tcW w:w="4111"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设备调试连接工具</w:t>
            </w:r>
          </w:p>
        </w:tc>
      </w:tr>
    </w:tbl>
    <w:p>
      <w:pPr>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（二）赛项执委会提供渗透测试机和靶机虚拟机环境</w:t>
      </w:r>
    </w:p>
    <w:tbl>
      <w:tblPr>
        <w:tblStyle w:val="23"/>
        <w:tblW w:w="8642" w:type="dxa"/>
        <w:jc w:val="center"/>
        <w:tblLayout w:type="fixed"/>
        <w:tblCellMar>
          <w:top w:w="0" w:type="dxa"/>
          <w:left w:w="108" w:type="dxa"/>
          <w:bottom w:w="0" w:type="dxa"/>
          <w:right w:w="108" w:type="dxa"/>
        </w:tblCellMar>
      </w:tblPr>
      <w:tblGrid>
        <w:gridCol w:w="878"/>
        <w:gridCol w:w="4204"/>
        <w:gridCol w:w="3560"/>
      </w:tblGrid>
      <w:tr>
        <w:tblPrEx>
          <w:tblCellMar>
            <w:top w:w="0" w:type="dxa"/>
            <w:left w:w="108" w:type="dxa"/>
            <w:bottom w:w="0" w:type="dxa"/>
            <w:right w:w="108" w:type="dxa"/>
          </w:tblCellMar>
        </w:tblPrEx>
        <w:trPr>
          <w:trHeight w:val="567"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76"/>
              <w:jc w:val="center"/>
              <w:rPr>
                <w:rFonts w:ascii="黑体" w:hAnsi="黑体" w:eastAsia="黑体" w:cs="黑体"/>
                <w:bCs/>
                <w:kern w:val="0"/>
              </w:rPr>
            </w:pPr>
            <w:r>
              <w:rPr>
                <w:rFonts w:hint="eastAsia" w:ascii="黑体" w:hAnsi="黑体" w:eastAsia="黑体" w:cs="黑体"/>
                <w:bCs/>
                <w:kern w:val="0"/>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pStyle w:val="76"/>
              <w:jc w:val="center"/>
              <w:rPr>
                <w:rFonts w:ascii="黑体" w:hAnsi="黑体" w:eastAsia="黑体" w:cs="黑体"/>
                <w:bCs/>
                <w:kern w:val="0"/>
              </w:rPr>
            </w:pPr>
            <w:r>
              <w:rPr>
                <w:rFonts w:hint="eastAsia" w:ascii="黑体" w:hAnsi="黑体" w:eastAsia="黑体" w:cs="黑体"/>
                <w:bCs/>
                <w:kern w:val="0"/>
              </w:rPr>
              <w:t>软件</w:t>
            </w:r>
          </w:p>
        </w:tc>
        <w:tc>
          <w:tcPr>
            <w:tcW w:w="3560" w:type="dxa"/>
            <w:tcBorders>
              <w:top w:val="single" w:color="auto" w:sz="4" w:space="0"/>
              <w:left w:val="nil"/>
              <w:bottom w:val="single" w:color="auto" w:sz="4" w:space="0"/>
              <w:right w:val="single" w:color="auto" w:sz="4" w:space="0"/>
            </w:tcBorders>
            <w:shd w:val="clear" w:color="000000" w:fill="auto"/>
            <w:vAlign w:val="center"/>
          </w:tcPr>
          <w:p>
            <w:pPr>
              <w:pStyle w:val="76"/>
              <w:jc w:val="center"/>
              <w:rPr>
                <w:rFonts w:ascii="黑体" w:hAnsi="黑体" w:eastAsia="黑体" w:cs="黑体"/>
                <w:bCs/>
                <w:kern w:val="0"/>
              </w:rPr>
            </w:pPr>
            <w:r>
              <w:rPr>
                <w:rFonts w:hint="eastAsia" w:ascii="黑体" w:hAnsi="黑体" w:eastAsia="黑体" w:cs="黑体"/>
                <w:bCs/>
                <w:kern w:val="0"/>
              </w:rPr>
              <w:t>版本</w:t>
            </w:r>
          </w:p>
        </w:tc>
      </w:tr>
      <w:tr>
        <w:tblPrEx>
          <w:tblCellMar>
            <w:top w:w="0" w:type="dxa"/>
            <w:left w:w="108" w:type="dxa"/>
            <w:bottom w:w="0" w:type="dxa"/>
            <w:right w:w="108" w:type="dxa"/>
          </w:tblCellMar>
        </w:tblPrEx>
        <w:trPr>
          <w:trHeight w:val="227"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04" w:type="dxa"/>
            <w:tcBorders>
              <w:top w:val="single" w:color="auto" w:sz="4" w:space="0"/>
              <w:left w:val="nil"/>
              <w:bottom w:val="single" w:color="auto" w:sz="4" w:space="0"/>
              <w:right w:val="single" w:color="auto" w:sz="4" w:space="0"/>
            </w:tcBorders>
            <w:shd w:val="clear" w:color="000000" w:fill="auto"/>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Windows Server 2016</w:t>
            </w:r>
          </w:p>
        </w:tc>
        <w:tc>
          <w:tcPr>
            <w:tcW w:w="3560" w:type="dxa"/>
            <w:tcBorders>
              <w:top w:val="single" w:color="auto" w:sz="4" w:space="0"/>
              <w:left w:val="nil"/>
              <w:bottom w:val="single" w:color="auto" w:sz="4" w:space="0"/>
              <w:right w:val="single" w:color="auto" w:sz="4" w:space="0"/>
            </w:tcBorders>
            <w:shd w:val="clear" w:color="000000" w:fill="auto"/>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Datacenter</w:t>
            </w:r>
          </w:p>
        </w:tc>
      </w:tr>
      <w:tr>
        <w:tblPrEx>
          <w:tblCellMar>
            <w:top w:w="0" w:type="dxa"/>
            <w:left w:w="108" w:type="dxa"/>
            <w:bottom w:w="0" w:type="dxa"/>
            <w:right w:w="108" w:type="dxa"/>
          </w:tblCellMar>
        </w:tblPrEx>
        <w:trPr>
          <w:trHeight w:val="22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4204" w:type="dxa"/>
            <w:tcBorders>
              <w:top w:val="nil"/>
              <w:left w:val="nil"/>
              <w:bottom w:val="single" w:color="auto" w:sz="4" w:space="0"/>
              <w:right w:val="single" w:color="auto" w:sz="4" w:space="0"/>
            </w:tcBorders>
          </w:tcPr>
          <w:p>
            <w:pPr>
              <w:autoSpaceDE w:val="0"/>
              <w:autoSpaceDN w:val="0"/>
              <w:adjustRightInd w:val="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Windows 10</w:t>
            </w:r>
          </w:p>
        </w:tc>
        <w:tc>
          <w:tcPr>
            <w:tcW w:w="3560"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professional</w:t>
            </w:r>
          </w:p>
        </w:tc>
      </w:tr>
      <w:tr>
        <w:tblPrEx>
          <w:tblCellMar>
            <w:top w:w="0" w:type="dxa"/>
            <w:left w:w="108" w:type="dxa"/>
            <w:bottom w:w="0" w:type="dxa"/>
            <w:right w:w="108" w:type="dxa"/>
          </w:tblCellMar>
        </w:tblPrEx>
        <w:trPr>
          <w:trHeight w:val="227" w:hRule="atLeast"/>
          <w:jc w:val="center"/>
        </w:trPr>
        <w:tc>
          <w:tcPr>
            <w:tcW w:w="878" w:type="dxa"/>
            <w:tcBorders>
              <w:top w:val="nil"/>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4204"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Linux CentOS</w:t>
            </w:r>
          </w:p>
        </w:tc>
        <w:tc>
          <w:tcPr>
            <w:tcW w:w="3560" w:type="dxa"/>
            <w:tcBorders>
              <w:top w:val="nil"/>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Version 7.6.1810</w:t>
            </w:r>
          </w:p>
        </w:tc>
      </w:tr>
      <w:tr>
        <w:tblPrEx>
          <w:tblCellMar>
            <w:top w:w="0" w:type="dxa"/>
            <w:left w:w="108" w:type="dxa"/>
            <w:bottom w:w="0" w:type="dxa"/>
            <w:right w:w="108" w:type="dxa"/>
          </w:tblCellMar>
        </w:tblPrEx>
        <w:trPr>
          <w:trHeight w:val="22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4204"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ubuntu</w:t>
            </w:r>
          </w:p>
        </w:tc>
        <w:tc>
          <w:tcPr>
            <w:tcW w:w="3560"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20.04</w:t>
            </w:r>
          </w:p>
        </w:tc>
      </w:tr>
      <w:tr>
        <w:tblPrEx>
          <w:tblCellMar>
            <w:top w:w="0" w:type="dxa"/>
            <w:left w:w="108" w:type="dxa"/>
            <w:bottom w:w="0" w:type="dxa"/>
            <w:right w:w="108" w:type="dxa"/>
          </w:tblCellMar>
        </w:tblPrEx>
        <w:trPr>
          <w:trHeight w:val="22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5</w:t>
            </w:r>
          </w:p>
        </w:tc>
        <w:tc>
          <w:tcPr>
            <w:tcW w:w="4204"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EVE-NG</w:t>
            </w:r>
          </w:p>
        </w:tc>
        <w:tc>
          <w:tcPr>
            <w:tcW w:w="3560" w:type="dxa"/>
            <w:tcBorders>
              <w:top w:val="single" w:color="auto" w:sz="4" w:space="0"/>
              <w:left w:val="nil"/>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v2.0.3-110</w:t>
            </w:r>
          </w:p>
        </w:tc>
      </w:tr>
    </w:tbl>
    <w:p>
      <w:pPr>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（三）竞赛设备清单</w:t>
      </w:r>
    </w:p>
    <w:tbl>
      <w:tblPr>
        <w:tblStyle w:val="2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91"/>
        <w:gridCol w:w="71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设备名称</w:t>
            </w:r>
          </w:p>
        </w:tc>
        <w:tc>
          <w:tcPr>
            <w:tcW w:w="712" w:type="dxa"/>
            <w:tcBorders>
              <w:top w:val="single" w:color="auto" w:sz="4" w:space="0"/>
              <w:left w:val="single" w:color="auto" w:sz="4" w:space="0"/>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数量</w:t>
            </w:r>
          </w:p>
        </w:tc>
        <w:tc>
          <w:tcPr>
            <w:tcW w:w="4252" w:type="dxa"/>
            <w:tcBorders>
              <w:top w:val="single" w:color="auto" w:sz="4" w:space="0"/>
              <w:left w:val="single" w:color="auto" w:sz="4" w:space="0"/>
              <w:bottom w:val="single" w:color="auto" w:sz="4" w:space="0"/>
              <w:right w:val="single" w:color="auto" w:sz="4" w:space="0"/>
            </w:tcBorders>
            <w:vAlign w:val="center"/>
          </w:tcPr>
          <w:p>
            <w:pPr>
              <w:pStyle w:val="76"/>
              <w:jc w:val="center"/>
              <w:rPr>
                <w:rFonts w:ascii="黑体" w:hAnsi="黑体" w:eastAsia="黑体" w:cs="黑体"/>
                <w:bCs/>
                <w:kern w:val="0"/>
              </w:rPr>
            </w:pPr>
            <w:r>
              <w:rPr>
                <w:rFonts w:hint="eastAsia" w:ascii="黑体" w:hAnsi="黑体" w:eastAsia="黑体" w:cs="黑体"/>
                <w:bCs/>
                <w:kern w:val="0"/>
              </w:rPr>
              <w:t>参考型号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三层虚拟化交换机</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w:t>
            </w:r>
            <w:r>
              <w:rPr>
                <w:rFonts w:ascii="仿宋" w:hAnsi="仿宋" w:eastAsia="仿宋" w:cs="仿宋"/>
                <w:color w:val="000000" w:themeColor="text1"/>
                <w:sz w:val="21"/>
                <w:szCs w:val="21"/>
              </w:rPr>
              <w:t xml:space="preserve">CS6200-28X-Pro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防火墙</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神州数码DCFW-1800E-N3002-Pro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服务器</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神州数码DCST-6000B</w:t>
            </w:r>
            <w:r>
              <w:rPr>
                <w:rFonts w:ascii="仿宋" w:hAnsi="仿宋" w:eastAsia="仿宋" w:cs="仿宋"/>
                <w:color w:val="000000" w:themeColor="text1"/>
                <w:sz w:val="21"/>
                <w:szCs w:val="21"/>
              </w:rPr>
              <w:t>-</w:t>
            </w:r>
            <w:r>
              <w:rPr>
                <w:rFonts w:hint="eastAsia" w:ascii="仿宋" w:hAnsi="仿宋" w:eastAsia="仿宋" w:cs="仿宋"/>
                <w:color w:val="000000" w:themeColor="text1"/>
                <w:sz w:val="21"/>
                <w:szCs w:val="21"/>
              </w:rPr>
              <w:t>P</w:t>
            </w:r>
            <w:r>
              <w:rPr>
                <w:rFonts w:ascii="仿宋" w:hAnsi="仿宋" w:eastAsia="仿宋" w:cs="仿宋"/>
                <w:color w:val="000000" w:themeColor="text1"/>
                <w:sz w:val="21"/>
                <w:szCs w:val="21"/>
              </w:rPr>
              <w:t>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WEB应用防火墙</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神州数码DCFW-1800-WAF</w:t>
            </w:r>
            <w:r>
              <w:rPr>
                <w:rFonts w:ascii="仿宋" w:hAnsi="仿宋" w:eastAsia="仿宋" w:cs="仿宋"/>
                <w:color w:val="000000" w:themeColor="text1"/>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5</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网络日志系统</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神州数码DCB</w:t>
            </w:r>
            <w:r>
              <w:rPr>
                <w:rFonts w:ascii="仿宋" w:hAnsi="仿宋" w:eastAsia="仿宋" w:cs="仿宋"/>
                <w:color w:val="000000" w:themeColor="text1"/>
                <w:sz w:val="21"/>
                <w:szCs w:val="21"/>
              </w:rPr>
              <w:t>C</w:t>
            </w:r>
            <w:r>
              <w:rPr>
                <w:rFonts w:hint="eastAsia" w:ascii="仿宋" w:hAnsi="仿宋" w:eastAsia="仿宋" w:cs="仿宋"/>
                <w:color w:val="000000" w:themeColor="text1"/>
                <w:sz w:val="21"/>
                <w:szCs w:val="21"/>
              </w:rPr>
              <w:t>-NetLog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无线交换机</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w:t>
            </w:r>
            <w:r>
              <w:rPr>
                <w:rFonts w:ascii="仿宋" w:hAnsi="仿宋" w:eastAsia="仿宋" w:cs="仿宋"/>
                <w:color w:val="000000" w:themeColor="text1"/>
                <w:sz w:val="21"/>
                <w:szCs w:val="21"/>
              </w:rPr>
              <w:t>DCWS-6028-Pro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无线接入点</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神州数码WL8200-I2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8</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P</w:t>
            </w:r>
            <w:r>
              <w:rPr>
                <w:rFonts w:ascii="仿宋" w:hAnsi="仿宋" w:eastAsia="仿宋" w:cs="仿宋"/>
                <w:color w:val="000000" w:themeColor="text1"/>
                <w:sz w:val="21"/>
                <w:szCs w:val="21"/>
              </w:rPr>
              <w:t>OE</w:t>
            </w:r>
            <w:r>
              <w:rPr>
                <w:rFonts w:hint="eastAsia" w:ascii="仿宋" w:hAnsi="仿宋" w:eastAsia="仿宋" w:cs="仿宋"/>
                <w:color w:val="000000" w:themeColor="text1"/>
                <w:sz w:val="21"/>
                <w:szCs w:val="21"/>
              </w:rPr>
              <w:t>模块</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神州数码DCWL-P</w:t>
            </w:r>
            <w:r>
              <w:rPr>
                <w:rFonts w:ascii="仿宋" w:hAnsi="仿宋" w:eastAsia="仿宋" w:cs="仿宋"/>
                <w:color w:val="000000" w:themeColor="text1"/>
                <w:sz w:val="21"/>
                <w:szCs w:val="21"/>
              </w:rPr>
              <w:t>o</w:t>
            </w:r>
            <w:r>
              <w:rPr>
                <w:rFonts w:hint="eastAsia" w:ascii="仿宋" w:hAnsi="仿宋" w:eastAsia="仿宋" w:cs="仿宋"/>
                <w:color w:val="000000" w:themeColor="text1"/>
                <w:sz w:val="21"/>
                <w:szCs w:val="21"/>
              </w:rPr>
              <w:t>EING-G+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9</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竞赛平台</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神州数码</w:t>
            </w:r>
            <w:r>
              <w:rPr>
                <w:rFonts w:ascii="仿宋" w:hAnsi="仿宋" w:eastAsia="仿宋" w:cs="仿宋"/>
                <w:color w:val="000000" w:themeColor="text1"/>
                <w:sz w:val="21"/>
                <w:szCs w:val="21"/>
              </w:rPr>
              <w:t>TRCloud9100-CAD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10</w:t>
            </w:r>
          </w:p>
        </w:tc>
        <w:tc>
          <w:tcPr>
            <w:tcW w:w="2591"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PC机</w:t>
            </w:r>
          </w:p>
        </w:tc>
        <w:tc>
          <w:tcPr>
            <w:tcW w:w="71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4252" w:type="dxa"/>
            <w:tcBorders>
              <w:top w:val="single" w:color="auto" w:sz="4" w:space="0"/>
              <w:left w:val="single" w:color="auto" w:sz="4" w:space="0"/>
              <w:bottom w:val="single" w:color="auto" w:sz="4" w:space="0"/>
              <w:right w:val="single" w:color="auto" w:sz="4" w:space="0"/>
            </w:tcBorders>
            <w:vAlign w:val="center"/>
          </w:tcPr>
          <w:p>
            <w:pPr>
              <w:pStyle w:val="52"/>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多核CPU，双核心四线程以上，内存</w:t>
            </w:r>
            <w:r>
              <w:rPr>
                <w:rFonts w:hint="eastAsia" w:ascii="宋体" w:hAnsi="宋体" w:eastAsia="宋体" w:cs="仿宋"/>
                <w:color w:val="000000" w:themeColor="text1"/>
                <w:sz w:val="21"/>
                <w:szCs w:val="21"/>
              </w:rPr>
              <w:t>≥</w:t>
            </w:r>
            <w:r>
              <w:rPr>
                <w:rFonts w:hint="eastAsia" w:ascii="仿宋" w:hAnsi="仿宋" w:eastAsia="仿宋" w:cs="仿宋"/>
                <w:color w:val="000000" w:themeColor="text1"/>
                <w:sz w:val="21"/>
                <w:szCs w:val="21"/>
              </w:rPr>
              <w:t>8GB，具有串口或者配置USB转串口的配置线，支持硬件虚拟化</w:t>
            </w:r>
          </w:p>
        </w:tc>
      </w:tr>
    </w:tbl>
    <w:p>
      <w:pPr>
        <w:pStyle w:val="16"/>
        <w:spacing w:before="0" w:after="0" w:line="560" w:lineRule="exact"/>
        <w:ind w:firstLine="600" w:firstLineChars="200"/>
        <w:jc w:val="left"/>
        <w:rPr>
          <w:rFonts w:ascii="黑体" w:hAnsi="黑体" w:eastAsia="黑体"/>
          <w:b w:val="0"/>
          <w:color w:val="000000" w:themeColor="text1"/>
          <w:kern w:val="2"/>
          <w:sz w:val="30"/>
          <w:szCs w:val="30"/>
        </w:rPr>
      </w:pPr>
      <w:r>
        <w:rPr>
          <w:rFonts w:hint="eastAsia" w:ascii="黑体" w:hAnsi="黑体" w:eastAsia="黑体"/>
          <w:b w:val="0"/>
          <w:color w:val="000000" w:themeColor="text1"/>
          <w:kern w:val="2"/>
          <w:sz w:val="30"/>
          <w:szCs w:val="30"/>
        </w:rPr>
        <w:t>十二、成绩评定</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sz w:val="30"/>
          <w:szCs w:val="30"/>
        </w:rPr>
        <w:t>依据参赛选手完成的情况实施综合评定，评定依据结合国家及行业的相关标准和规范，全面评价参赛选手职业能力的要求，本着“科学严谨、公正公平”的原则制定评分标准。</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（一）评分标准及分值</w:t>
      </w:r>
    </w:p>
    <w:tbl>
      <w:tblPr>
        <w:tblStyle w:val="23"/>
        <w:tblW w:w="0" w:type="auto"/>
        <w:tblInd w:w="108" w:type="dxa"/>
        <w:tblLayout w:type="autofit"/>
        <w:tblCellMar>
          <w:top w:w="0" w:type="dxa"/>
          <w:left w:w="108" w:type="dxa"/>
          <w:bottom w:w="0" w:type="dxa"/>
          <w:right w:w="108" w:type="dxa"/>
        </w:tblCellMar>
      </w:tblPr>
      <w:tblGrid>
        <w:gridCol w:w="1497"/>
        <w:gridCol w:w="2268"/>
        <w:gridCol w:w="3160"/>
        <w:gridCol w:w="629"/>
        <w:gridCol w:w="1284"/>
      </w:tblGrid>
      <w:tr>
        <w:tblPrEx>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76"/>
              <w:jc w:val="center"/>
              <w:rPr>
                <w:rFonts w:ascii="黑体" w:hAnsi="黑体" w:eastAsia="黑体" w:cs="黑体"/>
                <w:bCs/>
                <w:kern w:val="0"/>
              </w:rPr>
            </w:pPr>
            <w:r>
              <w:rPr>
                <w:rFonts w:hint="eastAsia" w:ascii="黑体" w:hAnsi="黑体" w:eastAsia="黑体" w:cs="黑体"/>
                <w:bCs/>
                <w:kern w:val="0"/>
              </w:rPr>
              <w:t>竞赛权重</w:t>
            </w: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76"/>
              <w:jc w:val="center"/>
              <w:rPr>
                <w:rFonts w:ascii="黑体" w:hAnsi="黑体" w:eastAsia="黑体" w:cs="黑体"/>
                <w:bCs/>
                <w:kern w:val="0"/>
              </w:rPr>
            </w:pPr>
            <w:r>
              <w:rPr>
                <w:rFonts w:hint="eastAsia" w:ascii="黑体" w:hAnsi="黑体" w:eastAsia="黑体" w:cs="黑体"/>
                <w:bCs/>
                <w:kern w:val="0"/>
              </w:rPr>
              <w:t>竞赛任务</w:t>
            </w:r>
          </w:p>
        </w:tc>
        <w:tc>
          <w:tcPr>
            <w:tcW w:w="3160" w:type="dxa"/>
            <w:tcBorders>
              <w:top w:val="single" w:color="auto" w:sz="4" w:space="0"/>
              <w:left w:val="nil"/>
              <w:bottom w:val="single" w:color="auto" w:sz="4" w:space="0"/>
              <w:right w:val="single" w:color="auto" w:sz="4" w:space="0"/>
            </w:tcBorders>
            <w:shd w:val="clear" w:color="auto" w:fill="auto"/>
            <w:vAlign w:val="center"/>
          </w:tcPr>
          <w:p>
            <w:pPr>
              <w:pStyle w:val="76"/>
              <w:jc w:val="center"/>
              <w:rPr>
                <w:rFonts w:ascii="黑体" w:hAnsi="黑体" w:eastAsia="黑体" w:cs="黑体"/>
                <w:bCs/>
                <w:kern w:val="0"/>
              </w:rPr>
            </w:pPr>
            <w:r>
              <w:rPr>
                <w:rFonts w:hint="eastAsia" w:ascii="黑体" w:hAnsi="黑体" w:eastAsia="黑体" w:cs="黑体"/>
                <w:bCs/>
                <w:kern w:val="0"/>
              </w:rPr>
              <w:t>考核内容</w:t>
            </w:r>
          </w:p>
        </w:tc>
        <w:tc>
          <w:tcPr>
            <w:tcW w:w="629" w:type="dxa"/>
            <w:tcBorders>
              <w:top w:val="single" w:color="auto" w:sz="4" w:space="0"/>
              <w:left w:val="nil"/>
              <w:bottom w:val="single" w:color="auto" w:sz="4" w:space="0"/>
              <w:right w:val="single" w:color="auto" w:sz="4" w:space="0"/>
            </w:tcBorders>
            <w:shd w:val="clear" w:color="auto" w:fill="auto"/>
            <w:vAlign w:val="center"/>
          </w:tcPr>
          <w:p>
            <w:pPr>
              <w:pStyle w:val="76"/>
              <w:jc w:val="center"/>
              <w:rPr>
                <w:rFonts w:ascii="黑体" w:hAnsi="黑体" w:eastAsia="黑体" w:cs="黑体"/>
                <w:bCs/>
                <w:kern w:val="0"/>
              </w:rPr>
            </w:pPr>
            <w:r>
              <w:rPr>
                <w:rFonts w:hint="eastAsia" w:ascii="黑体" w:hAnsi="黑体" w:eastAsia="黑体" w:cs="黑体"/>
                <w:bCs/>
                <w:kern w:val="0"/>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76"/>
              <w:jc w:val="center"/>
              <w:rPr>
                <w:rFonts w:ascii="黑体" w:hAnsi="黑体" w:eastAsia="黑体" w:cs="黑体"/>
                <w:bCs/>
                <w:kern w:val="0"/>
              </w:rPr>
            </w:pPr>
            <w:r>
              <w:rPr>
                <w:rFonts w:hint="eastAsia" w:ascii="黑体" w:hAnsi="黑体" w:eastAsia="黑体" w:cs="黑体"/>
                <w:bCs/>
                <w:kern w:val="0"/>
              </w:rPr>
              <w:t>评分方式</w:t>
            </w:r>
          </w:p>
        </w:tc>
      </w:tr>
      <w:tr>
        <w:tblPrEx>
          <w:tblCellMar>
            <w:top w:w="0" w:type="dxa"/>
            <w:left w:w="108" w:type="dxa"/>
            <w:bottom w:w="0" w:type="dxa"/>
            <w:right w:w="108" w:type="dxa"/>
          </w:tblCellMar>
        </w:tblPrEx>
        <w:trPr>
          <w:trHeight w:val="165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第一部分权重30%</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网络平台搭建权重</w:t>
            </w:r>
          </w:p>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5%</w:t>
            </w:r>
          </w:p>
        </w:tc>
        <w:tc>
          <w:tcPr>
            <w:tcW w:w="316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防火墙、网络日志系统、web 应用防火墙、无线控制器、三层交换机，物理连接，命名、IP 地址等配置。满分</w:t>
            </w:r>
            <w:r>
              <w:rPr>
                <w:rFonts w:ascii="仿宋" w:hAnsi="仿宋" w:eastAsia="仿宋" w:cs="宋体"/>
                <w:color w:val="000000" w:themeColor="text1"/>
                <w:sz w:val="21"/>
                <w:szCs w:val="21"/>
              </w:rPr>
              <w:t xml:space="preserve">5 </w:t>
            </w:r>
            <w:r>
              <w:rPr>
                <w:rFonts w:hint="eastAsia" w:ascii="仿宋" w:hAnsi="仿宋" w:eastAsia="仿宋" w:cs="宋体"/>
                <w:color w:val="000000" w:themeColor="text1"/>
                <w:sz w:val="21"/>
                <w:szCs w:val="21"/>
              </w:rPr>
              <w:t>分。</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结果评分-客观</w:t>
            </w:r>
          </w:p>
        </w:tc>
      </w:tr>
      <w:tr>
        <w:tblPrEx>
          <w:tblCellMar>
            <w:top w:w="0" w:type="dxa"/>
            <w:left w:w="108" w:type="dxa"/>
            <w:bottom w:w="0" w:type="dxa"/>
            <w:right w:w="108" w:type="dxa"/>
          </w:tblCellMar>
        </w:tblPrEx>
        <w:trPr>
          <w:trHeight w:val="330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1"/>
                <w:szCs w:val="21"/>
              </w:rPr>
            </w:pPr>
          </w:p>
        </w:tc>
        <w:tc>
          <w:tcPr>
            <w:tcW w:w="2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网络安全设备配置与防护权重</w:t>
            </w:r>
          </w:p>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25%</w:t>
            </w:r>
          </w:p>
        </w:tc>
        <w:tc>
          <w:tcPr>
            <w:tcW w:w="316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防火墙路由、安全策略、NAT、VPN 等配置和测试；网络日志系统网络检测、统计、告警等配置；web应用防火墙防护策略、过滤策略、告警等配置；无线管理、无线网络设置、安全策略等配置和测试；三层交换机路由、二层安全等配置和测试。满分2</w:t>
            </w:r>
            <w:r>
              <w:rPr>
                <w:rFonts w:ascii="仿宋" w:hAnsi="仿宋" w:eastAsia="仿宋" w:cs="宋体"/>
                <w:color w:val="000000" w:themeColor="text1"/>
                <w:sz w:val="21"/>
                <w:szCs w:val="21"/>
              </w:rPr>
              <w:t xml:space="preserve">5 </w:t>
            </w:r>
            <w:r>
              <w:rPr>
                <w:rFonts w:hint="eastAsia" w:ascii="仿宋" w:hAnsi="仿宋" w:eastAsia="仿宋" w:cs="宋体"/>
                <w:color w:val="000000" w:themeColor="text1"/>
                <w:sz w:val="21"/>
                <w:szCs w:val="21"/>
              </w:rPr>
              <w:t>分。</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25%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结果评分-客观</w:t>
            </w:r>
          </w:p>
        </w:tc>
      </w:tr>
      <w:tr>
        <w:tblPrEx>
          <w:tblCellMar>
            <w:top w:w="0" w:type="dxa"/>
            <w:left w:w="108" w:type="dxa"/>
            <w:bottom w:w="0" w:type="dxa"/>
            <w:right w:w="108" w:type="dxa"/>
          </w:tblCellMar>
        </w:tblPrEx>
        <w:trPr>
          <w:trHeight w:val="268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第二部分权重</w:t>
            </w:r>
            <w:r>
              <w:rPr>
                <w:rFonts w:ascii="仿宋" w:hAnsi="仿宋" w:eastAsia="仿宋" w:cs="宋体"/>
                <w:color w:val="000000" w:themeColor="text1"/>
                <w:sz w:val="21"/>
                <w:szCs w:val="21"/>
              </w:rPr>
              <w:t>40</w:t>
            </w:r>
            <w:r>
              <w:rPr>
                <w:rFonts w:hint="eastAsia" w:ascii="仿宋" w:hAnsi="仿宋" w:eastAsia="仿宋" w:cs="宋体"/>
                <w:color w:val="000000" w:themeColor="text1"/>
                <w:sz w:val="21"/>
                <w:szCs w:val="21"/>
              </w:rPr>
              <w:t>%</w:t>
            </w:r>
          </w:p>
        </w:tc>
        <w:tc>
          <w:tcPr>
            <w:tcW w:w="2268"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网络安全事件</w:t>
            </w:r>
          </w:p>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响应、数字取</w:t>
            </w:r>
          </w:p>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证调查和应用</w:t>
            </w:r>
          </w:p>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安全权重</w:t>
            </w:r>
          </w:p>
          <w:p>
            <w:pPr>
              <w:autoSpaceDE w:val="0"/>
              <w:autoSpaceDN w:val="0"/>
              <w:adjustRightInd w:val="0"/>
              <w:jc w:val="center"/>
              <w:rPr>
                <w:rFonts w:ascii="仿宋" w:hAnsi="仿宋" w:eastAsia="仿宋" w:cs="宋体"/>
                <w:color w:val="000000" w:themeColor="text1"/>
                <w:sz w:val="21"/>
                <w:szCs w:val="21"/>
              </w:rPr>
            </w:pPr>
            <w:r>
              <w:rPr>
                <w:rFonts w:ascii="仿宋" w:hAnsi="仿宋" w:eastAsia="仿宋" w:cs="宋体"/>
                <w:color w:val="000000" w:themeColor="text1"/>
                <w:sz w:val="21"/>
                <w:szCs w:val="21"/>
              </w:rPr>
              <w:t>40%</w:t>
            </w:r>
          </w:p>
        </w:tc>
        <w:tc>
          <w:tcPr>
            <w:tcW w:w="3160" w:type="dxa"/>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操作系统和应用系统的日志分析，漏洞分析，系统进程分析，内存分析，系统安全加固，程序逆向分析，编码转换，加解密技术，数据隐写，文件分析取证，网络流量包分析，移动应用程序分析，代码审计。满分</w:t>
            </w:r>
            <w:r>
              <w:rPr>
                <w:rFonts w:ascii="仿宋" w:hAnsi="仿宋" w:eastAsia="仿宋" w:cs="宋体"/>
                <w:color w:val="000000" w:themeColor="text1"/>
                <w:sz w:val="21"/>
                <w:szCs w:val="21"/>
              </w:rPr>
              <w:t>40</w:t>
            </w:r>
            <w:r>
              <w:rPr>
                <w:rFonts w:hint="eastAsia" w:ascii="仿宋" w:hAnsi="仿宋" w:eastAsia="仿宋" w:cs="宋体"/>
                <w:color w:val="000000" w:themeColor="text1"/>
                <w:sz w:val="21"/>
                <w:szCs w:val="21"/>
              </w:rPr>
              <w:t>分。</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ascii="仿宋" w:hAnsi="仿宋" w:eastAsia="仿宋" w:cs="宋体"/>
                <w:color w:val="000000" w:themeColor="text1"/>
                <w:sz w:val="21"/>
                <w:szCs w:val="21"/>
              </w:rPr>
              <w:t>40</w:t>
            </w:r>
            <w:r>
              <w:rPr>
                <w:rFonts w:hint="eastAsia" w:ascii="仿宋" w:hAnsi="仿宋" w:eastAsia="仿宋" w:cs="宋体"/>
                <w:color w:val="000000" w:themeColor="text1"/>
                <w:sz w:val="21"/>
                <w:szCs w:val="21"/>
              </w:rPr>
              <w:t>%</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结果评分-客观</w:t>
            </w:r>
          </w:p>
        </w:tc>
      </w:tr>
      <w:tr>
        <w:tblPrEx>
          <w:tblCellMar>
            <w:top w:w="0" w:type="dxa"/>
            <w:left w:w="108" w:type="dxa"/>
            <w:bottom w:w="0" w:type="dxa"/>
            <w:right w:w="108" w:type="dxa"/>
          </w:tblCellMar>
        </w:tblPrEx>
        <w:trPr>
          <w:trHeight w:val="16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第三部分权重</w:t>
            </w:r>
            <w:r>
              <w:rPr>
                <w:rFonts w:ascii="仿宋" w:hAnsi="仿宋" w:eastAsia="仿宋" w:cs="宋体"/>
                <w:color w:val="000000" w:themeColor="text1"/>
                <w:sz w:val="21"/>
                <w:szCs w:val="21"/>
              </w:rPr>
              <w:t>30</w:t>
            </w:r>
            <w:r>
              <w:rPr>
                <w:rFonts w:hint="eastAsia" w:ascii="仿宋" w:hAnsi="仿宋" w:eastAsia="仿宋" w:cs="宋体"/>
                <w:color w:val="000000" w:themeColor="text1"/>
                <w:sz w:val="21"/>
                <w:szCs w:val="21"/>
              </w:rPr>
              <w:t>%</w:t>
            </w:r>
          </w:p>
        </w:tc>
        <w:tc>
          <w:tcPr>
            <w:tcW w:w="2268"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夺旗挑战</w:t>
            </w:r>
            <w:r>
              <w:rPr>
                <w:rFonts w:ascii="仿宋" w:hAnsi="仿宋" w:eastAsia="仿宋" w:cs="宋体"/>
                <w:color w:val="000000" w:themeColor="text1"/>
                <w:sz w:val="21"/>
                <w:szCs w:val="21"/>
              </w:rPr>
              <w:t>CTF</w:t>
            </w:r>
          </w:p>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（网络安全渗</w:t>
            </w:r>
          </w:p>
          <w:p>
            <w:pPr>
              <w:autoSpaceDE w:val="0"/>
              <w:autoSpaceDN w:val="0"/>
              <w:adjustRightInd w:val="0"/>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透）权重</w:t>
            </w:r>
          </w:p>
          <w:p>
            <w:pPr>
              <w:autoSpaceDE w:val="0"/>
              <w:autoSpaceDN w:val="0"/>
              <w:adjustRightInd w:val="0"/>
              <w:jc w:val="center"/>
              <w:rPr>
                <w:rFonts w:ascii="仿宋" w:hAnsi="仿宋" w:eastAsia="仿宋" w:cs="宋体"/>
                <w:color w:val="000000" w:themeColor="text1"/>
                <w:sz w:val="21"/>
                <w:szCs w:val="21"/>
              </w:rPr>
            </w:pPr>
            <w:r>
              <w:rPr>
                <w:rFonts w:ascii="仿宋" w:hAnsi="仿宋" w:eastAsia="仿宋" w:cs="宋体"/>
                <w:color w:val="000000" w:themeColor="text1"/>
                <w:sz w:val="21"/>
                <w:szCs w:val="21"/>
              </w:rPr>
              <w:t>30%</w:t>
            </w:r>
          </w:p>
        </w:tc>
        <w:tc>
          <w:tcPr>
            <w:tcW w:w="3160" w:type="dxa"/>
            <w:tcBorders>
              <w:top w:val="nil"/>
              <w:left w:val="nil"/>
              <w:bottom w:val="single" w:color="auto" w:sz="4" w:space="0"/>
              <w:right w:val="single" w:color="auto" w:sz="4" w:space="0"/>
            </w:tcBorders>
            <w:shd w:val="clear" w:color="auto" w:fill="auto"/>
            <w:vAlign w:val="center"/>
          </w:tcPr>
          <w:p>
            <w:pPr>
              <w:autoSpaceDE w:val="0"/>
              <w:autoSpaceDN w:val="0"/>
              <w:adjustRightInd w:val="0"/>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使用渗透测试技术利用</w:t>
            </w:r>
            <w:r>
              <w:rPr>
                <w:rFonts w:ascii="仿宋" w:hAnsi="仿宋" w:eastAsia="仿宋" w:cs="宋体"/>
                <w:color w:val="000000" w:themeColor="text1"/>
                <w:sz w:val="21"/>
                <w:szCs w:val="21"/>
              </w:rPr>
              <w:t xml:space="preserve">SQL </w:t>
            </w:r>
            <w:r>
              <w:rPr>
                <w:rFonts w:hint="eastAsia" w:ascii="仿宋" w:hAnsi="仿宋" w:eastAsia="仿宋" w:cs="宋体"/>
                <w:color w:val="000000" w:themeColor="text1"/>
                <w:sz w:val="21"/>
                <w:szCs w:val="21"/>
              </w:rPr>
              <w:t>注入、文件上传、命令执行、栈溢出、缓冲区溢出等漏洞对目标靶机进行渗透测试；通过信息收集、逆向文件分析、二进制漏洞利用、应用服务漏洞利用、操作系统漏洞利用、密码学分析及一些杂项信息分析等信息安全技术获取靶机内的关键内容。满分</w:t>
            </w:r>
            <w:r>
              <w:rPr>
                <w:rFonts w:ascii="仿宋" w:hAnsi="仿宋" w:eastAsia="仿宋" w:cs="宋体"/>
                <w:color w:val="000000" w:themeColor="text1"/>
                <w:sz w:val="21"/>
                <w:szCs w:val="21"/>
              </w:rPr>
              <w:t xml:space="preserve">30 </w:t>
            </w:r>
            <w:r>
              <w:rPr>
                <w:rFonts w:hint="eastAsia" w:ascii="仿宋" w:hAnsi="仿宋" w:eastAsia="仿宋" w:cs="宋体"/>
                <w:color w:val="000000" w:themeColor="text1"/>
                <w:sz w:val="21"/>
                <w:szCs w:val="21"/>
              </w:rPr>
              <w:t>分。</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ascii="仿宋" w:hAnsi="仿宋" w:eastAsia="仿宋" w:cs="宋体"/>
                <w:color w:val="000000" w:themeColor="text1"/>
                <w:sz w:val="21"/>
                <w:szCs w:val="21"/>
              </w:rPr>
              <w:t>30</w:t>
            </w:r>
            <w:r>
              <w:rPr>
                <w:rFonts w:hint="eastAsia" w:ascii="仿宋" w:hAnsi="仿宋" w:eastAsia="仿宋" w:cs="宋体"/>
                <w:color w:val="000000" w:themeColor="text1"/>
                <w:sz w:val="21"/>
                <w:szCs w:val="21"/>
              </w:rPr>
              <w:t>%</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1"/>
                <w:szCs w:val="21"/>
              </w:rPr>
            </w:pPr>
            <w:r>
              <w:rPr>
                <w:rFonts w:hint="eastAsia" w:ascii="仿宋" w:hAnsi="仿宋" w:eastAsia="仿宋" w:cs="宋体"/>
                <w:color w:val="000000" w:themeColor="text1"/>
                <w:sz w:val="21"/>
                <w:szCs w:val="21"/>
              </w:rPr>
              <w:t>结果评分-客观</w:t>
            </w:r>
          </w:p>
        </w:tc>
      </w:tr>
    </w:tbl>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参赛选手应体现团队风貌、团队协作与沟通、组织与管理能力和工作计划能力等，并注意相关文档的准确性与规范性。</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（二）违规扣分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竞赛过程中，如果发生以下问题或事故，则在竞赛队总分中作扣分处理。具体标准如下：</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1.在完成工作任务的过程中，因操作不当导致人身或设备安全事故，扣</w:t>
      </w: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0 分，情况严重者取消比赛资格；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2.参赛选手有不服从裁判及监考、扰乱赛场秩序等行为扣10 分，情节严重的，取消参赛队竞赛成绩。有作弊行为的，取消参赛队参赛资格；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3.违反赛场纪律，依据情节轻重，扣1-5 分。情节特别严重，并产生不良后果的，则报赛项执委会批准，由裁判长宣布终止该选手的比赛；</w:t>
      </w:r>
    </w:p>
    <w:p>
      <w:pPr>
        <w:spacing w:line="560" w:lineRule="exact"/>
        <w:ind w:firstLine="600" w:firstLineChars="200"/>
      </w:pPr>
      <w:r>
        <w:rPr>
          <w:rFonts w:hint="eastAsia" w:ascii="仿宋_GB2312" w:hAnsi="仿宋" w:eastAsia="仿宋_GB2312"/>
          <w:sz w:val="30"/>
          <w:szCs w:val="30"/>
        </w:rPr>
        <w:t>4.现场裁判宣布竞赛时间结束，选手仍继续操作的，由现场裁判负责记录扣1-5 分，情节严重，警告无效的，取消参赛资格。</w:t>
      </w:r>
    </w:p>
    <w:p>
      <w:pPr>
        <w:pStyle w:val="16"/>
        <w:spacing w:before="0" w:after="0" w:line="560" w:lineRule="exact"/>
        <w:ind w:firstLine="600" w:firstLineChars="200"/>
        <w:jc w:val="left"/>
        <w:rPr>
          <w:rFonts w:ascii="仿宋" w:hAnsi="仿宋" w:eastAsia="仿宋"/>
          <w:color w:val="000000" w:themeColor="text1"/>
          <w:kern w:val="2"/>
          <w:sz w:val="30"/>
          <w:szCs w:val="30"/>
        </w:rPr>
      </w:pPr>
      <w:r>
        <w:rPr>
          <w:rFonts w:hint="eastAsia" w:ascii="黑体" w:hAnsi="黑体" w:eastAsia="黑体"/>
          <w:b w:val="0"/>
          <w:color w:val="000000" w:themeColor="text1"/>
          <w:kern w:val="2"/>
          <w:sz w:val="30"/>
          <w:szCs w:val="30"/>
        </w:rPr>
        <w:t>十三</w:t>
      </w:r>
      <w:r>
        <w:rPr>
          <w:rFonts w:ascii="黑体" w:hAnsi="黑体" w:eastAsia="黑体"/>
          <w:b w:val="0"/>
          <w:color w:val="000000" w:themeColor="text1"/>
          <w:kern w:val="2"/>
          <w:sz w:val="30"/>
          <w:szCs w:val="30"/>
        </w:rPr>
        <w:t>、奖项设定</w:t>
      </w:r>
    </w:p>
    <w:p>
      <w:pPr>
        <w:spacing w:line="560" w:lineRule="exact"/>
        <w:ind w:firstLine="600" w:firstLineChars="200"/>
        <w:rPr>
          <w:rFonts w:ascii="仿宋_GB2312" w:hAnsi="仿宋" w:eastAsia="仿宋_GB2312" w:cs="仿宋"/>
          <w:sz w:val="30"/>
          <w:szCs w:val="30"/>
        </w:rPr>
      </w:pPr>
      <w:r>
        <w:rPr>
          <w:rFonts w:hint="eastAsia" w:ascii="仿宋_GB2312" w:hAnsi="仿宋_GB2312" w:eastAsia="仿宋_GB2312" w:cs="仿宋_GB2312"/>
          <w:sz w:val="30"/>
          <w:szCs w:val="30"/>
        </w:rPr>
        <w:t>省赛学生组设个人奖、优秀指导教师奖；教师组设个人奖。个人奖的获奖等次与比例分别为：一等奖15%、二等奖25%、三等奖30%。对竞赛获奖学生的指导教师，颁发优秀指导教师奖（个人赛，每选手限1名指导教师；团体小组赛，每组限1-2名指导教师）。</w:t>
      </w:r>
    </w:p>
    <w:p>
      <w:pPr>
        <w:pStyle w:val="16"/>
        <w:spacing w:before="0" w:after="0" w:line="560" w:lineRule="exact"/>
        <w:ind w:firstLine="600" w:firstLineChars="200"/>
        <w:jc w:val="left"/>
        <w:rPr>
          <w:rFonts w:ascii="黑体" w:hAnsi="黑体" w:eastAsia="黑体"/>
          <w:b w:val="0"/>
          <w:color w:val="000000" w:themeColor="text1"/>
          <w:kern w:val="2"/>
          <w:sz w:val="30"/>
          <w:szCs w:val="30"/>
        </w:rPr>
      </w:pPr>
      <w:r>
        <w:rPr>
          <w:rFonts w:hint="eastAsia" w:ascii="黑体" w:hAnsi="黑体" w:eastAsia="黑体"/>
          <w:b w:val="0"/>
          <w:color w:val="000000" w:themeColor="text1"/>
          <w:kern w:val="2"/>
          <w:sz w:val="30"/>
          <w:szCs w:val="30"/>
        </w:rPr>
        <w:t>十四、赛场预案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为确保竞赛安全顺利进行，保障各地参赛队师生的人身安全，及时有效的处理大赛期间突发安全事故，保证大赛安全有序的进行，特制定以下方案及突发安全事故应急预案。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1.严格按照《高等学校实验室安全管理办法》的有关规定准备和开展赛项的竞赛活动。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2.成立竞赛安全工作组，分设安全用电、防火等安保人员，对赛场内所有设施设备进行安全检查，排除各种安全隐患。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3.对竞赛中可能出现的伤害事故，做好相应的应急准备，备好急救药品及车辆，确保及时实施救助。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5.针对各个赛项的安全隐患，特做如下应急预案：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（1）加强赛场安保，与比赛无关人员禁止进入竞赛场地；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（2）用到易燃试剂或气体的比赛场地加配灭火器材，并配备足够的安全员；</w:t>
      </w:r>
    </w:p>
    <w:p>
      <w:pPr>
        <w:spacing w:line="560" w:lineRule="exact"/>
        <w:ind w:firstLine="600" w:firstLineChars="200"/>
        <w:rPr>
          <w:rFonts w:ascii="仿宋_GB2312" w:hAnsi="仿宋" w:eastAsia="仿宋_GB2312"/>
          <w:sz w:val="30"/>
          <w:szCs w:val="30"/>
        </w:rPr>
      </w:pPr>
      <w:r>
        <w:rPr>
          <w:rFonts w:hint="eastAsia" w:ascii="仿宋_GB2312" w:hAnsi="仿宋_GB2312" w:eastAsia="仿宋_GB2312"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ind w:firstLine="600" w:firstLineChars="200"/>
      </w:pPr>
      <w:r>
        <w:rPr>
          <w:rFonts w:ascii="仿宋_GB2312" w:hAnsi="仿宋" w:eastAsia="仿宋_GB2312"/>
          <w:sz w:val="30"/>
          <w:szCs w:val="30"/>
        </w:rPr>
        <w:t>6.</w:t>
      </w:r>
      <w:r>
        <w:rPr>
          <w:rFonts w:hint="eastAsia" w:ascii="仿宋_GB2312" w:hAnsi="仿宋" w:eastAsia="仿宋_GB2312"/>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Style w:val="16"/>
        <w:spacing w:before="0" w:after="0" w:line="560" w:lineRule="exact"/>
        <w:ind w:firstLine="600" w:firstLineChars="200"/>
        <w:jc w:val="left"/>
        <w:rPr>
          <w:rFonts w:ascii="黑体" w:hAnsi="黑体" w:eastAsia="黑体"/>
          <w:b w:val="0"/>
          <w:kern w:val="0"/>
          <w:sz w:val="30"/>
          <w:szCs w:val="30"/>
        </w:rPr>
      </w:pPr>
      <w:r>
        <w:rPr>
          <w:rFonts w:hint="eastAsia" w:ascii="黑体" w:hAnsi="黑体" w:eastAsia="黑体"/>
          <w:b w:val="0"/>
          <w:color w:val="000000" w:themeColor="text1"/>
          <w:kern w:val="2"/>
          <w:sz w:val="30"/>
          <w:szCs w:val="30"/>
        </w:rPr>
        <w:t>十五、赛项安全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1.赛前组织专人对比赛现场、住宿场所和交通保障进行考察，并对安全工作提出明确要求。赛场的布置，赛场内的器材、设备，符合国家有关安全规定。协办单位赛前将按照执委会要求排除安全隐患。</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2.赛场周围设立警戒线，防止无关人员进入发生意外事件。比赛现场内的每个工位安全操作规范。选手进场后开赛前，裁判长将统一进行告知。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3.协办院校制定赛场用电预案。现场提供医疗和消防安全保障。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4.严格控制与参赛无关的易燃易爆以及各类危险品进入比赛场地，不许随便携带书包进入赛场。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5.大赛期间工作组须在比赛管理的关键岗位增加力量，建立安全管理机制。</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（二）组队责任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1.各学校组织代表队时，须为参赛选手购买大赛期间的人身意外伤害保险，有效期必须为大赛举行期间，不得以其他长期保险代替。</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2.各学校代表队组成后，须制定相关管理制度，并对所有选手、指导教师进行安全教育。</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3.各参赛队伍须加强对参与比赛人员的安全管理，实现与赛场安全管理的对接。</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（四）处罚措施</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1.因参赛队伍原因造成重大安全事故的，取消其获奖资格。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2.参赛队伍有发生重大安全事故隐患，经赛场工作人员提示、警告无效的，可取消其继续比赛的资格。</w:t>
      </w:r>
    </w:p>
    <w:p>
      <w:pPr>
        <w:spacing w:line="560" w:lineRule="exact"/>
        <w:ind w:firstLine="600" w:firstLineChars="200"/>
      </w:pPr>
      <w:r>
        <w:rPr>
          <w:rFonts w:hint="eastAsia" w:ascii="仿宋_GB2312" w:hAnsi="仿宋" w:eastAsia="仿宋_GB2312"/>
          <w:sz w:val="30"/>
          <w:szCs w:val="30"/>
        </w:rPr>
        <w:t>3.赛事工作人员违规的，按照相应的制度追究责任。情节恶劣并造成重大安全事故的，由司法机关追究相应法律责任。</w:t>
      </w:r>
    </w:p>
    <w:p>
      <w:pPr>
        <w:pStyle w:val="16"/>
        <w:spacing w:before="0" w:after="0" w:line="560" w:lineRule="exact"/>
        <w:ind w:firstLine="600" w:firstLineChars="200"/>
        <w:jc w:val="left"/>
        <w:rPr>
          <w:rFonts w:ascii="仿宋" w:hAnsi="仿宋" w:eastAsia="仿宋"/>
          <w:color w:val="000000" w:themeColor="text1"/>
          <w:kern w:val="2"/>
          <w:sz w:val="30"/>
          <w:szCs w:val="30"/>
        </w:rPr>
      </w:pPr>
      <w:r>
        <w:rPr>
          <w:rFonts w:hint="eastAsia" w:ascii="黑体" w:hAnsi="黑体" w:eastAsia="黑体"/>
          <w:b w:val="0"/>
          <w:color w:val="000000" w:themeColor="text1"/>
          <w:kern w:val="2"/>
          <w:sz w:val="30"/>
          <w:szCs w:val="30"/>
        </w:rPr>
        <w:t>十六、</w:t>
      </w:r>
      <w:r>
        <w:rPr>
          <w:rFonts w:ascii="黑体" w:hAnsi="黑体" w:eastAsia="黑体"/>
          <w:b w:val="0"/>
          <w:color w:val="000000" w:themeColor="text1"/>
          <w:kern w:val="2"/>
          <w:sz w:val="30"/>
          <w:szCs w:val="30"/>
        </w:rPr>
        <w:t>申诉</w:t>
      </w:r>
      <w:r>
        <w:rPr>
          <w:rFonts w:hint="eastAsia" w:ascii="黑体" w:hAnsi="黑体" w:eastAsia="黑体"/>
          <w:b w:val="0"/>
          <w:color w:val="000000" w:themeColor="text1"/>
          <w:kern w:val="2"/>
          <w:sz w:val="30"/>
          <w:szCs w:val="30"/>
        </w:rPr>
        <w:t>与</w:t>
      </w:r>
      <w:r>
        <w:rPr>
          <w:rFonts w:ascii="黑体" w:hAnsi="黑体" w:eastAsia="黑体"/>
          <w:b w:val="0"/>
          <w:color w:val="000000" w:themeColor="text1"/>
          <w:kern w:val="2"/>
          <w:sz w:val="30"/>
          <w:szCs w:val="30"/>
        </w:rPr>
        <w:t>仲裁</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（一）申诉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1.参赛队对不符合竞赛规定的设备、工具、软件，有失公正的评判、奖励，以及对工作人员的违规行为等，均可提出申诉。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3.竞赛仲裁组收到申诉报告后，应根据申诉事由进行审查，由裁判组组长根据申述情况给出处理结果及处理依据和理由。</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4.申诉人不得无故拒不接受处理结果，不得采取过激行为刁难、攻击工作人员，否则视为放弃申诉。</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（二）仲裁</w:t>
      </w:r>
    </w:p>
    <w:p>
      <w:pPr>
        <w:spacing w:line="560" w:lineRule="exact"/>
        <w:ind w:firstLine="600" w:firstLineChars="200"/>
      </w:pPr>
      <w:r>
        <w:rPr>
          <w:rFonts w:hint="eastAsia" w:ascii="仿宋_GB2312" w:hAnsi="仿宋" w:eastAsia="仿宋_GB2312"/>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16"/>
        <w:spacing w:before="0" w:after="0" w:line="560" w:lineRule="exact"/>
        <w:ind w:firstLine="600" w:firstLineChars="200"/>
        <w:jc w:val="left"/>
        <w:rPr>
          <w:rFonts w:ascii="仿宋" w:hAnsi="仿宋" w:eastAsia="仿宋" w:cs="仿宋"/>
          <w:bCs w:val="0"/>
          <w:color w:val="000000" w:themeColor="text1"/>
          <w:kern w:val="2"/>
          <w:lang w:val="zh-CN"/>
        </w:rPr>
      </w:pPr>
      <w:r>
        <w:rPr>
          <w:rFonts w:hint="eastAsia" w:ascii="黑体" w:hAnsi="黑体" w:eastAsia="黑体"/>
          <w:b w:val="0"/>
          <w:color w:val="000000" w:themeColor="text1"/>
          <w:kern w:val="2"/>
          <w:sz w:val="30"/>
          <w:szCs w:val="30"/>
        </w:rPr>
        <w:t>十七、竞赛须知</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（一）参赛队须知 </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参赛队名称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统一使用规定的学校代表队名称，不接受跨校组队报名。</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参赛队组成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每支参赛队由3名选手（设队长1名）。参赛选手须为</w:t>
      </w:r>
      <w:bookmarkStart w:id="2" w:name="OLE_LINK5"/>
      <w:r>
        <w:rPr>
          <w:rFonts w:hint="eastAsia" w:ascii="仿宋_GB2312" w:hAnsi="仿宋" w:eastAsia="仿宋_GB2312"/>
          <w:sz w:val="30"/>
          <w:szCs w:val="30"/>
        </w:rPr>
        <w:t>全省高职院校</w:t>
      </w:r>
      <w:r>
        <w:rPr>
          <w:rFonts w:ascii="仿宋_GB2312" w:hAnsi="仿宋" w:eastAsia="仿宋_GB2312"/>
          <w:sz w:val="30"/>
          <w:szCs w:val="30"/>
        </w:rPr>
        <w:t>在籍学生</w:t>
      </w:r>
      <w:bookmarkEnd w:id="2"/>
      <w:r>
        <w:rPr>
          <w:rFonts w:hint="eastAsia" w:ascii="仿宋_GB2312" w:hAnsi="仿宋" w:eastAsia="仿宋_GB2312"/>
          <w:sz w:val="30"/>
          <w:szCs w:val="30"/>
        </w:rPr>
        <w:t>。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指导教师</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每支参赛队最</w:t>
      </w:r>
      <w:r>
        <w:rPr>
          <w:rFonts w:ascii="仿宋_GB2312" w:hAnsi="仿宋" w:eastAsia="仿宋_GB2312"/>
          <w:sz w:val="30"/>
          <w:szCs w:val="30"/>
        </w:rPr>
        <w:t>多</w:t>
      </w:r>
      <w:r>
        <w:rPr>
          <w:rFonts w:hint="eastAsia" w:ascii="仿宋_GB2312" w:hAnsi="仿宋" w:eastAsia="仿宋_GB2312"/>
          <w:sz w:val="30"/>
          <w:szCs w:val="30"/>
        </w:rPr>
        <w:t>可配指导教师2名，指导教师经报名并通过资格审查后确定。</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（二）领队、指导教师须知 </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指导教师应该根据专业教学计划和赛项规程合理制定训练方案，认真指导选手训练，培养选手的综合职业能力和良好的职业素养，克服功利化思想，避免为赛而学、以赛代学。</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2.指导老师应及时查看有关赛项的通知，认真研究和掌握本赛项竞赛的规程、技术规范和赛场要求，指导选手做好赛前的一切技术准备和竞赛准备。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3.指导教师应该根据赛项规程要求做好参赛选手保险办理工作，并积极做好选手的安全教育。</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参赛选手严格遵守赛场规章、操作规程，保证人身及设备安全，接受裁判员的监督和警示，文明竞赛。</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选手凭证进入赛场，在赛场内操作期间应当始终佩带参赛凭证以备检查。</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参赛选手进入赛场，不允许携带任何书籍和其他纸质资料（相关技术资料的电子文档由组委会提供），不允许携带通讯工具和存储设备。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4.各参赛队应在竞赛开始前一天规定的时间段进入赛场熟悉环境。</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入场后，赛场工作人员与参赛选手共同确认操作条件及设备状况，设备、材料、工具清点后，由参赛队长签字认可。</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6</w:t>
      </w:r>
      <w:r>
        <w:rPr>
          <w:rFonts w:hint="eastAsia" w:ascii="仿宋_GB2312" w:hAnsi="仿宋" w:eastAsia="仿宋_GB2312"/>
          <w:sz w:val="30"/>
          <w:szCs w:val="30"/>
        </w:rPr>
        <w:t>.竞赛时，在收到开赛信号前不得启动操作，各参赛队自行决定分工、工作程序和时间安排，在指定工位上完成竞赛项目，严禁作弊行为。</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7</w:t>
      </w:r>
      <w:r>
        <w:rPr>
          <w:rFonts w:hint="eastAsia" w:ascii="仿宋_GB2312" w:hAnsi="仿宋" w:eastAsia="仿宋_GB2312"/>
          <w:sz w:val="30"/>
          <w:szCs w:val="30"/>
        </w:rPr>
        <w:t>.竞赛过程中，因严重操作失误或安全事故不能进行竞赛的（例如操作中发生短路导致赛场断电的、造成设备不能正常工作的），现场裁判员有权中止该队竞赛。</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8</w:t>
      </w:r>
      <w:r>
        <w:rPr>
          <w:rFonts w:hint="eastAsia" w:ascii="仿宋_GB2312" w:hAnsi="仿宋" w:eastAsia="仿宋_GB2312"/>
          <w:sz w:val="30"/>
          <w:szCs w:val="30"/>
        </w:rPr>
        <w:t>.在竞赛期间，选手在比赛</w:t>
      </w:r>
      <w:r>
        <w:rPr>
          <w:rFonts w:ascii="仿宋_GB2312" w:hAnsi="仿宋" w:eastAsia="仿宋_GB2312"/>
          <w:sz w:val="30"/>
          <w:szCs w:val="30"/>
        </w:rPr>
        <w:t>时间内</w:t>
      </w:r>
      <w:r>
        <w:rPr>
          <w:rFonts w:hint="eastAsia" w:ascii="仿宋_GB2312" w:hAnsi="仿宋" w:eastAsia="仿宋_GB2312"/>
          <w:sz w:val="30"/>
          <w:szCs w:val="30"/>
        </w:rPr>
        <w:t>连续工作，选手休息、饮食或如厕时间均计算在竞赛时间内。</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9.</w:t>
      </w:r>
      <w:r>
        <w:rPr>
          <w:rFonts w:hint="eastAsia" w:ascii="仿宋_GB2312" w:hAnsi="仿宋" w:eastAsia="仿宋_GB2312"/>
          <w:sz w:val="30"/>
          <w:szCs w:val="30"/>
        </w:rPr>
        <w:t>凡在竞赛期间提前离开的选手，不得返回赛场。</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10</w:t>
      </w:r>
      <w:r>
        <w:rPr>
          <w:rFonts w:hint="eastAsia" w:ascii="仿宋_GB2312" w:hAnsi="仿宋" w:eastAsia="仿宋_GB2312"/>
          <w:sz w:val="30"/>
          <w:szCs w:val="30"/>
        </w:rPr>
        <w:t>.为培养技能型人才的工作风格，在参赛期间，选手应当注意保持工作环境及设备摆放，符合企业生产“5S”（即整理、整顿、清扫、清洁和素养）的原则，如果过于脏乱，裁判员有权酌情扣分。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.在竞赛中如遇非人为因素造成的设备故障，经裁判确认后，可向裁判长申请补足排除故障的时间。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.参赛队欲提前结束竞赛，应向现场裁判员举手示意，由其记录竞赛终止时间，竞赛终止后，不得再进行任何与竞赛有关的操作。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.各竞赛队按照竞赛要求和赛题要求提交递交竞赛成果，禁止在竞赛成果上做任何与竞赛无关的记号。</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.竞赛操作结束后，参赛队要确认成功提交竞赛要求的文件，裁判员在竞赛成果的规定位置做标记，并与参赛队队长一起签字确认。</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1.工作人员必须统一佩戴由大赛组委会签发的相应证件，着装整齐。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2.工作人员不得影响参赛选手比赛，不允许有影响比赛公平的行为。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3.服从领导，听从指挥，以高度负责的精神、严肃认真态度做好各项工作。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4.熟悉比赛规程，认真遵守各项比赛规则和工作要求。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5.坚守岗位，如有急事需要离开岗位时，应经领导同意，并做好工作衔接。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6.严格遵守比赛纪律，如发现其他人员有违反比赛纪律的行为，应予以制止。情节严重的，应向竞赛组委会反映。</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7.发扬无私奉献和团结协作的精神，提供热情、优质服务。</w:t>
      </w:r>
    </w:p>
    <w:p>
      <w:pPr>
        <w:pStyle w:val="77"/>
        <w:widowControl w:val="0"/>
        <w:spacing w:line="560" w:lineRule="exact"/>
        <w:ind w:firstLine="600" w:firstLineChars="200"/>
      </w:pPr>
      <w:r>
        <w:rPr>
          <w:rFonts w:hint="eastAsia"/>
        </w:rPr>
        <w:t>十八、竞赛样卷</w:t>
      </w:r>
    </w:p>
    <w:p>
      <w:pPr>
        <w:spacing w:line="560" w:lineRule="exact"/>
        <w:ind w:firstLine="600" w:firstLineChars="200"/>
        <w:rPr>
          <w:rFonts w:ascii="仿宋_GB2312" w:hAnsi="仿宋" w:eastAsia="仿宋_GB2312"/>
          <w:sz w:val="30"/>
          <w:szCs w:val="30"/>
        </w:rPr>
      </w:pPr>
      <w:r>
        <w:rPr>
          <w:rFonts w:hint="eastAsia" w:ascii="仿宋_GB2312" w:hAnsi="仿宋_GB2312" w:eastAsia="仿宋_GB2312" w:cs="仿宋_GB2312"/>
          <w:sz w:val="30"/>
          <w:szCs w:val="30"/>
        </w:rPr>
        <w:t>赛卷参照2022年全国职业院校技能大赛高职组（信息安全管理与评估）赛项比赛卷设置。</w:t>
      </w:r>
    </w:p>
    <w:sectPr>
      <w:footerReference r:id="rId3" w:type="default"/>
      <w:footerReference r:id="rId4" w:type="even"/>
      <w:pgSz w:w="11906" w:h="16838"/>
      <w:pgMar w:top="2098" w:right="1588" w:bottom="1871" w:left="1588" w:header="851" w:footer="1191"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OEEEEV+FZHTJW--GB1-0">
    <w:altName w:val="仿宋"/>
    <w:panose1 w:val="00000000000000000000"/>
    <w:charset w:val="86"/>
    <w:family w:val="swiss"/>
    <w:pitch w:val="default"/>
    <w:sig w:usb0="00000000" w:usb1="00000000" w:usb2="0000001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PMingLiU">
    <w:altName w:val="文泉驿微米黑"/>
    <w:panose1 w:val="02010601000101010101"/>
    <w:charset w:val="88"/>
    <w:family w:val="auto"/>
    <w:pitch w:val="default"/>
    <w:sig w:usb0="00000000" w:usb1="00000000" w:usb2="00000010" w:usb3="00000000" w:csb0="001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6334"/>
      <w:docPartObj>
        <w:docPartGallery w:val="autotext"/>
      </w:docPartObj>
    </w:sdtPr>
    <w:sdtContent>
      <w:p>
        <w:pPr>
          <w:pStyle w:val="1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3"/>
      <w:jc w:val="center"/>
      <w:rPr>
        <w:rFonts w:asci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eastAsia="宋体"/>
        <w:color w:val="FFFFFF"/>
        <w:sz w:val="28"/>
        <w:szCs w:val="28"/>
      </w:rPr>
    </w:pPr>
    <w:r>
      <w:rPr>
        <w:rFonts w:ascii="宋体" w:hAnsi="宋体"/>
        <w:color w:val="FFFFFF"/>
        <w:sz w:val="28"/>
        <w:szCs w:val="28"/>
      </w:rPr>
      <w:t>—</w:t>
    </w: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ODUyY2RmZTIxMzMwZjA3OTJhYjBjM2QzOGVlNzEifQ=="/>
  </w:docVars>
  <w:rsids>
    <w:rsidRoot w:val="00A320B7"/>
    <w:rsid w:val="000015DA"/>
    <w:rsid w:val="00003B62"/>
    <w:rsid w:val="00010547"/>
    <w:rsid w:val="0001207C"/>
    <w:rsid w:val="00013BD6"/>
    <w:rsid w:val="000226E8"/>
    <w:rsid w:val="00035675"/>
    <w:rsid w:val="00035958"/>
    <w:rsid w:val="00036544"/>
    <w:rsid w:val="00041FBD"/>
    <w:rsid w:val="00042CE6"/>
    <w:rsid w:val="000472DA"/>
    <w:rsid w:val="00047346"/>
    <w:rsid w:val="00050438"/>
    <w:rsid w:val="00051A1C"/>
    <w:rsid w:val="000552A7"/>
    <w:rsid w:val="00056C59"/>
    <w:rsid w:val="00060FA1"/>
    <w:rsid w:val="00064F59"/>
    <w:rsid w:val="00066F7F"/>
    <w:rsid w:val="0006739C"/>
    <w:rsid w:val="00071F18"/>
    <w:rsid w:val="000752B6"/>
    <w:rsid w:val="0007676D"/>
    <w:rsid w:val="00077D78"/>
    <w:rsid w:val="000829FA"/>
    <w:rsid w:val="00085214"/>
    <w:rsid w:val="000902CE"/>
    <w:rsid w:val="00092CC7"/>
    <w:rsid w:val="0009441B"/>
    <w:rsid w:val="00094D6B"/>
    <w:rsid w:val="000B5A4E"/>
    <w:rsid w:val="000E0446"/>
    <w:rsid w:val="000E3DC6"/>
    <w:rsid w:val="000E7062"/>
    <w:rsid w:val="000F4367"/>
    <w:rsid w:val="000F5805"/>
    <w:rsid w:val="000F7F45"/>
    <w:rsid w:val="00104273"/>
    <w:rsid w:val="0011425A"/>
    <w:rsid w:val="00120873"/>
    <w:rsid w:val="00137420"/>
    <w:rsid w:val="00146192"/>
    <w:rsid w:val="0015187B"/>
    <w:rsid w:val="001552DF"/>
    <w:rsid w:val="001646D1"/>
    <w:rsid w:val="0016618C"/>
    <w:rsid w:val="00171C3C"/>
    <w:rsid w:val="001748FE"/>
    <w:rsid w:val="00177DC3"/>
    <w:rsid w:val="00185950"/>
    <w:rsid w:val="001926C7"/>
    <w:rsid w:val="001928B1"/>
    <w:rsid w:val="001A4497"/>
    <w:rsid w:val="001C20E1"/>
    <w:rsid w:val="001C3443"/>
    <w:rsid w:val="001D3BAC"/>
    <w:rsid w:val="001D5D5B"/>
    <w:rsid w:val="001E2312"/>
    <w:rsid w:val="001F38D5"/>
    <w:rsid w:val="002043A7"/>
    <w:rsid w:val="002061B1"/>
    <w:rsid w:val="00207240"/>
    <w:rsid w:val="00213011"/>
    <w:rsid w:val="00215BC9"/>
    <w:rsid w:val="00224CD2"/>
    <w:rsid w:val="00225450"/>
    <w:rsid w:val="00233EA1"/>
    <w:rsid w:val="00234C25"/>
    <w:rsid w:val="00240E0D"/>
    <w:rsid w:val="0024701E"/>
    <w:rsid w:val="00251342"/>
    <w:rsid w:val="002537D3"/>
    <w:rsid w:val="00254078"/>
    <w:rsid w:val="00254CD7"/>
    <w:rsid w:val="002604F9"/>
    <w:rsid w:val="00264528"/>
    <w:rsid w:val="00271F5A"/>
    <w:rsid w:val="00273060"/>
    <w:rsid w:val="00274119"/>
    <w:rsid w:val="00284299"/>
    <w:rsid w:val="00292EF2"/>
    <w:rsid w:val="002A3B91"/>
    <w:rsid w:val="002A44A8"/>
    <w:rsid w:val="002A5374"/>
    <w:rsid w:val="002A5B29"/>
    <w:rsid w:val="002B224B"/>
    <w:rsid w:val="002C2C2D"/>
    <w:rsid w:val="002C3926"/>
    <w:rsid w:val="002C5690"/>
    <w:rsid w:val="002D3B14"/>
    <w:rsid w:val="002D785B"/>
    <w:rsid w:val="002E531B"/>
    <w:rsid w:val="002F6CFA"/>
    <w:rsid w:val="00303641"/>
    <w:rsid w:val="003146C7"/>
    <w:rsid w:val="00316111"/>
    <w:rsid w:val="00316E08"/>
    <w:rsid w:val="003179C0"/>
    <w:rsid w:val="003275D7"/>
    <w:rsid w:val="00382ACC"/>
    <w:rsid w:val="00383060"/>
    <w:rsid w:val="00383C31"/>
    <w:rsid w:val="00384067"/>
    <w:rsid w:val="0038468E"/>
    <w:rsid w:val="003869A1"/>
    <w:rsid w:val="003A4414"/>
    <w:rsid w:val="003A730E"/>
    <w:rsid w:val="003B4098"/>
    <w:rsid w:val="003C189D"/>
    <w:rsid w:val="003C1A37"/>
    <w:rsid w:val="003C2FB0"/>
    <w:rsid w:val="003C7DB1"/>
    <w:rsid w:val="003D1B95"/>
    <w:rsid w:val="003E0F8F"/>
    <w:rsid w:val="003F7203"/>
    <w:rsid w:val="00420044"/>
    <w:rsid w:val="00423CAE"/>
    <w:rsid w:val="00425106"/>
    <w:rsid w:val="004260A6"/>
    <w:rsid w:val="00433D6F"/>
    <w:rsid w:val="00434536"/>
    <w:rsid w:val="00436055"/>
    <w:rsid w:val="004401A5"/>
    <w:rsid w:val="00451A36"/>
    <w:rsid w:val="00473D2C"/>
    <w:rsid w:val="004813B2"/>
    <w:rsid w:val="004A2864"/>
    <w:rsid w:val="004A5161"/>
    <w:rsid w:val="004B21DC"/>
    <w:rsid w:val="004B2345"/>
    <w:rsid w:val="004B40F3"/>
    <w:rsid w:val="004C5122"/>
    <w:rsid w:val="004C5BFF"/>
    <w:rsid w:val="004C72FB"/>
    <w:rsid w:val="004D3BBD"/>
    <w:rsid w:val="004D6725"/>
    <w:rsid w:val="004F0DF0"/>
    <w:rsid w:val="004F40AC"/>
    <w:rsid w:val="004F5BBA"/>
    <w:rsid w:val="004F7FD1"/>
    <w:rsid w:val="00502598"/>
    <w:rsid w:val="00502EED"/>
    <w:rsid w:val="005063F5"/>
    <w:rsid w:val="0050765A"/>
    <w:rsid w:val="00523E9C"/>
    <w:rsid w:val="0053653E"/>
    <w:rsid w:val="00540B0F"/>
    <w:rsid w:val="00545BDA"/>
    <w:rsid w:val="00550C5F"/>
    <w:rsid w:val="00550D14"/>
    <w:rsid w:val="00551D9E"/>
    <w:rsid w:val="00553CEB"/>
    <w:rsid w:val="00557887"/>
    <w:rsid w:val="005601D8"/>
    <w:rsid w:val="005609E6"/>
    <w:rsid w:val="00567207"/>
    <w:rsid w:val="00571B37"/>
    <w:rsid w:val="005735FF"/>
    <w:rsid w:val="005824E7"/>
    <w:rsid w:val="005910EC"/>
    <w:rsid w:val="00593D01"/>
    <w:rsid w:val="005A49B8"/>
    <w:rsid w:val="005B0DC1"/>
    <w:rsid w:val="005B2DC3"/>
    <w:rsid w:val="005B6298"/>
    <w:rsid w:val="005C0D57"/>
    <w:rsid w:val="005C14B5"/>
    <w:rsid w:val="005C1A45"/>
    <w:rsid w:val="005C2DAA"/>
    <w:rsid w:val="005C3034"/>
    <w:rsid w:val="005C76E7"/>
    <w:rsid w:val="005D17F7"/>
    <w:rsid w:val="005D4C24"/>
    <w:rsid w:val="005E2B7B"/>
    <w:rsid w:val="005E423B"/>
    <w:rsid w:val="005F65BB"/>
    <w:rsid w:val="006009B2"/>
    <w:rsid w:val="00600CCE"/>
    <w:rsid w:val="00603939"/>
    <w:rsid w:val="006060F7"/>
    <w:rsid w:val="00611559"/>
    <w:rsid w:val="00614636"/>
    <w:rsid w:val="00622EF1"/>
    <w:rsid w:val="00633E10"/>
    <w:rsid w:val="00634602"/>
    <w:rsid w:val="00637C36"/>
    <w:rsid w:val="00644B55"/>
    <w:rsid w:val="00647408"/>
    <w:rsid w:val="00660FE3"/>
    <w:rsid w:val="006851C9"/>
    <w:rsid w:val="00695628"/>
    <w:rsid w:val="00697D8D"/>
    <w:rsid w:val="006A2F29"/>
    <w:rsid w:val="006A7411"/>
    <w:rsid w:val="006A7B2F"/>
    <w:rsid w:val="006A7B78"/>
    <w:rsid w:val="006B6099"/>
    <w:rsid w:val="006C3C93"/>
    <w:rsid w:val="006C570A"/>
    <w:rsid w:val="006D03DA"/>
    <w:rsid w:val="006D3453"/>
    <w:rsid w:val="006D45A9"/>
    <w:rsid w:val="006E638C"/>
    <w:rsid w:val="006E70F9"/>
    <w:rsid w:val="006F24C4"/>
    <w:rsid w:val="006F275C"/>
    <w:rsid w:val="00702DDB"/>
    <w:rsid w:val="00706A9F"/>
    <w:rsid w:val="0071498A"/>
    <w:rsid w:val="0072020F"/>
    <w:rsid w:val="00720FA4"/>
    <w:rsid w:val="00730D6F"/>
    <w:rsid w:val="00741209"/>
    <w:rsid w:val="00746E04"/>
    <w:rsid w:val="0075181D"/>
    <w:rsid w:val="00757F93"/>
    <w:rsid w:val="00776F86"/>
    <w:rsid w:val="0077741A"/>
    <w:rsid w:val="007826BE"/>
    <w:rsid w:val="0079119F"/>
    <w:rsid w:val="0079633E"/>
    <w:rsid w:val="007B7E53"/>
    <w:rsid w:val="007C4DBB"/>
    <w:rsid w:val="007D3345"/>
    <w:rsid w:val="007D79EC"/>
    <w:rsid w:val="007F00AD"/>
    <w:rsid w:val="00801993"/>
    <w:rsid w:val="00804F10"/>
    <w:rsid w:val="00820407"/>
    <w:rsid w:val="00824BDC"/>
    <w:rsid w:val="008308FC"/>
    <w:rsid w:val="00846178"/>
    <w:rsid w:val="00847D4A"/>
    <w:rsid w:val="008670BF"/>
    <w:rsid w:val="00874E69"/>
    <w:rsid w:val="00874EAA"/>
    <w:rsid w:val="00875CCB"/>
    <w:rsid w:val="00887896"/>
    <w:rsid w:val="00896945"/>
    <w:rsid w:val="008973A4"/>
    <w:rsid w:val="008A143C"/>
    <w:rsid w:val="008A3280"/>
    <w:rsid w:val="008A3AE5"/>
    <w:rsid w:val="008A7D12"/>
    <w:rsid w:val="008A7F8A"/>
    <w:rsid w:val="008D1A57"/>
    <w:rsid w:val="008D5ACA"/>
    <w:rsid w:val="008E0644"/>
    <w:rsid w:val="008E0FF9"/>
    <w:rsid w:val="008F4359"/>
    <w:rsid w:val="00915021"/>
    <w:rsid w:val="00916F7E"/>
    <w:rsid w:val="00920242"/>
    <w:rsid w:val="009305DD"/>
    <w:rsid w:val="00945060"/>
    <w:rsid w:val="009505EC"/>
    <w:rsid w:val="00951DF4"/>
    <w:rsid w:val="009553A2"/>
    <w:rsid w:val="009628EC"/>
    <w:rsid w:val="00965661"/>
    <w:rsid w:val="009663E2"/>
    <w:rsid w:val="00977E48"/>
    <w:rsid w:val="00981AA5"/>
    <w:rsid w:val="00992F5F"/>
    <w:rsid w:val="009A0343"/>
    <w:rsid w:val="009A5201"/>
    <w:rsid w:val="009B01CB"/>
    <w:rsid w:val="009B298A"/>
    <w:rsid w:val="009B7101"/>
    <w:rsid w:val="009C07DC"/>
    <w:rsid w:val="009C6BDF"/>
    <w:rsid w:val="009D04F2"/>
    <w:rsid w:val="009D3C4B"/>
    <w:rsid w:val="009E27B3"/>
    <w:rsid w:val="009E3DF8"/>
    <w:rsid w:val="009E4033"/>
    <w:rsid w:val="009E65E6"/>
    <w:rsid w:val="009F1CB3"/>
    <w:rsid w:val="00A0332B"/>
    <w:rsid w:val="00A03CCE"/>
    <w:rsid w:val="00A076D2"/>
    <w:rsid w:val="00A125DD"/>
    <w:rsid w:val="00A1314A"/>
    <w:rsid w:val="00A17C82"/>
    <w:rsid w:val="00A21595"/>
    <w:rsid w:val="00A26B38"/>
    <w:rsid w:val="00A320B7"/>
    <w:rsid w:val="00A32896"/>
    <w:rsid w:val="00A33761"/>
    <w:rsid w:val="00A4262C"/>
    <w:rsid w:val="00A4401D"/>
    <w:rsid w:val="00A45098"/>
    <w:rsid w:val="00A45580"/>
    <w:rsid w:val="00A55098"/>
    <w:rsid w:val="00A56E18"/>
    <w:rsid w:val="00A60E92"/>
    <w:rsid w:val="00A727A4"/>
    <w:rsid w:val="00A77899"/>
    <w:rsid w:val="00A832AC"/>
    <w:rsid w:val="00A8665A"/>
    <w:rsid w:val="00A902DD"/>
    <w:rsid w:val="00A97D7A"/>
    <w:rsid w:val="00AA34E9"/>
    <w:rsid w:val="00AB186B"/>
    <w:rsid w:val="00AB600D"/>
    <w:rsid w:val="00AC39BB"/>
    <w:rsid w:val="00AD2950"/>
    <w:rsid w:val="00AD64FE"/>
    <w:rsid w:val="00AE116F"/>
    <w:rsid w:val="00AE38A7"/>
    <w:rsid w:val="00AE6B84"/>
    <w:rsid w:val="00AE7804"/>
    <w:rsid w:val="00B0540A"/>
    <w:rsid w:val="00B05E25"/>
    <w:rsid w:val="00B06819"/>
    <w:rsid w:val="00B13AC9"/>
    <w:rsid w:val="00B21F22"/>
    <w:rsid w:val="00B24C3C"/>
    <w:rsid w:val="00B25F70"/>
    <w:rsid w:val="00B268F3"/>
    <w:rsid w:val="00B27FF2"/>
    <w:rsid w:val="00B32EDB"/>
    <w:rsid w:val="00B32F58"/>
    <w:rsid w:val="00B416B7"/>
    <w:rsid w:val="00B52CCC"/>
    <w:rsid w:val="00B540A7"/>
    <w:rsid w:val="00B72DA0"/>
    <w:rsid w:val="00B75064"/>
    <w:rsid w:val="00B81605"/>
    <w:rsid w:val="00B827D2"/>
    <w:rsid w:val="00B854CF"/>
    <w:rsid w:val="00B9641E"/>
    <w:rsid w:val="00BA3975"/>
    <w:rsid w:val="00BA783B"/>
    <w:rsid w:val="00BC0C9B"/>
    <w:rsid w:val="00BC4217"/>
    <w:rsid w:val="00BC5CC8"/>
    <w:rsid w:val="00BE1715"/>
    <w:rsid w:val="00BF0AEF"/>
    <w:rsid w:val="00BF5752"/>
    <w:rsid w:val="00C001E5"/>
    <w:rsid w:val="00C00670"/>
    <w:rsid w:val="00C0306D"/>
    <w:rsid w:val="00C10A08"/>
    <w:rsid w:val="00C21938"/>
    <w:rsid w:val="00C26193"/>
    <w:rsid w:val="00C4319F"/>
    <w:rsid w:val="00C5017D"/>
    <w:rsid w:val="00C51E6B"/>
    <w:rsid w:val="00C5709B"/>
    <w:rsid w:val="00C70805"/>
    <w:rsid w:val="00C709C5"/>
    <w:rsid w:val="00C76820"/>
    <w:rsid w:val="00C91688"/>
    <w:rsid w:val="00C9519F"/>
    <w:rsid w:val="00CA10E6"/>
    <w:rsid w:val="00CA1B99"/>
    <w:rsid w:val="00CA38F3"/>
    <w:rsid w:val="00CB1462"/>
    <w:rsid w:val="00CB6632"/>
    <w:rsid w:val="00CB6C8A"/>
    <w:rsid w:val="00CC0403"/>
    <w:rsid w:val="00CC1187"/>
    <w:rsid w:val="00CD6327"/>
    <w:rsid w:val="00CE43EA"/>
    <w:rsid w:val="00CE5A38"/>
    <w:rsid w:val="00CE7E3D"/>
    <w:rsid w:val="00CF6D8E"/>
    <w:rsid w:val="00D05994"/>
    <w:rsid w:val="00D07BED"/>
    <w:rsid w:val="00D14539"/>
    <w:rsid w:val="00D15FB9"/>
    <w:rsid w:val="00D22546"/>
    <w:rsid w:val="00D32242"/>
    <w:rsid w:val="00D36689"/>
    <w:rsid w:val="00D573A8"/>
    <w:rsid w:val="00D65CA3"/>
    <w:rsid w:val="00D67999"/>
    <w:rsid w:val="00D71ED2"/>
    <w:rsid w:val="00D729A3"/>
    <w:rsid w:val="00D80F37"/>
    <w:rsid w:val="00D83E7A"/>
    <w:rsid w:val="00D83EC2"/>
    <w:rsid w:val="00D85C73"/>
    <w:rsid w:val="00D87FFA"/>
    <w:rsid w:val="00D93BDE"/>
    <w:rsid w:val="00D953EE"/>
    <w:rsid w:val="00DA1DBC"/>
    <w:rsid w:val="00DA37A2"/>
    <w:rsid w:val="00DA4D99"/>
    <w:rsid w:val="00DB3FC6"/>
    <w:rsid w:val="00DC7E2B"/>
    <w:rsid w:val="00DD10EE"/>
    <w:rsid w:val="00DD3205"/>
    <w:rsid w:val="00DE2D35"/>
    <w:rsid w:val="00DF179D"/>
    <w:rsid w:val="00DF5285"/>
    <w:rsid w:val="00DF5EAC"/>
    <w:rsid w:val="00E0439C"/>
    <w:rsid w:val="00E1607B"/>
    <w:rsid w:val="00E20994"/>
    <w:rsid w:val="00E26A24"/>
    <w:rsid w:val="00E361C1"/>
    <w:rsid w:val="00E51E2B"/>
    <w:rsid w:val="00E53494"/>
    <w:rsid w:val="00E631E5"/>
    <w:rsid w:val="00E64782"/>
    <w:rsid w:val="00E77486"/>
    <w:rsid w:val="00E77890"/>
    <w:rsid w:val="00E801E6"/>
    <w:rsid w:val="00E81C48"/>
    <w:rsid w:val="00E91773"/>
    <w:rsid w:val="00E91BC4"/>
    <w:rsid w:val="00E975DE"/>
    <w:rsid w:val="00EA3EDC"/>
    <w:rsid w:val="00EA4044"/>
    <w:rsid w:val="00EB1C26"/>
    <w:rsid w:val="00EC1A2C"/>
    <w:rsid w:val="00EC4173"/>
    <w:rsid w:val="00ED0661"/>
    <w:rsid w:val="00ED1CA2"/>
    <w:rsid w:val="00ED286F"/>
    <w:rsid w:val="00ED6E01"/>
    <w:rsid w:val="00EF2D14"/>
    <w:rsid w:val="00F001FB"/>
    <w:rsid w:val="00F037BD"/>
    <w:rsid w:val="00F14CFB"/>
    <w:rsid w:val="00F16DF6"/>
    <w:rsid w:val="00F17A2F"/>
    <w:rsid w:val="00F2258F"/>
    <w:rsid w:val="00F24506"/>
    <w:rsid w:val="00F33E6F"/>
    <w:rsid w:val="00F364D0"/>
    <w:rsid w:val="00F37219"/>
    <w:rsid w:val="00F4164E"/>
    <w:rsid w:val="00F44809"/>
    <w:rsid w:val="00F52D6A"/>
    <w:rsid w:val="00F56239"/>
    <w:rsid w:val="00F56ABD"/>
    <w:rsid w:val="00F60410"/>
    <w:rsid w:val="00F62E30"/>
    <w:rsid w:val="00F63447"/>
    <w:rsid w:val="00F66983"/>
    <w:rsid w:val="00F72FEC"/>
    <w:rsid w:val="00F73471"/>
    <w:rsid w:val="00F758E5"/>
    <w:rsid w:val="00F75CFA"/>
    <w:rsid w:val="00F76B07"/>
    <w:rsid w:val="00F80D77"/>
    <w:rsid w:val="00F9005D"/>
    <w:rsid w:val="00F9447A"/>
    <w:rsid w:val="00F955B1"/>
    <w:rsid w:val="00FD2964"/>
    <w:rsid w:val="00FD568B"/>
    <w:rsid w:val="00FE11F8"/>
    <w:rsid w:val="00FF2902"/>
    <w:rsid w:val="00FF2C3C"/>
    <w:rsid w:val="00FF2C47"/>
    <w:rsid w:val="00FF67EA"/>
    <w:rsid w:val="01910F25"/>
    <w:rsid w:val="02353BDE"/>
    <w:rsid w:val="047457CF"/>
    <w:rsid w:val="10085B7A"/>
    <w:rsid w:val="10DC00DE"/>
    <w:rsid w:val="14E3552C"/>
    <w:rsid w:val="1626228F"/>
    <w:rsid w:val="16603CBC"/>
    <w:rsid w:val="1ED12B99"/>
    <w:rsid w:val="1FF1E108"/>
    <w:rsid w:val="20741B27"/>
    <w:rsid w:val="23B645C8"/>
    <w:rsid w:val="25577D66"/>
    <w:rsid w:val="284B5238"/>
    <w:rsid w:val="2CD67B1E"/>
    <w:rsid w:val="2FF7B83A"/>
    <w:rsid w:val="30FD370A"/>
    <w:rsid w:val="326574E1"/>
    <w:rsid w:val="39B01A68"/>
    <w:rsid w:val="39DE76E2"/>
    <w:rsid w:val="3A722F25"/>
    <w:rsid w:val="3B8C26E9"/>
    <w:rsid w:val="402727F1"/>
    <w:rsid w:val="449000D0"/>
    <w:rsid w:val="47AB6FCE"/>
    <w:rsid w:val="493A2564"/>
    <w:rsid w:val="49D0295D"/>
    <w:rsid w:val="57D9196E"/>
    <w:rsid w:val="5CFD2451"/>
    <w:rsid w:val="5D6E07DA"/>
    <w:rsid w:val="5E317989"/>
    <w:rsid w:val="5FCE30C6"/>
    <w:rsid w:val="5FDC48B5"/>
    <w:rsid w:val="72D271DB"/>
    <w:rsid w:val="7B2D5885"/>
    <w:rsid w:val="7C0478E4"/>
    <w:rsid w:val="7FE93E1C"/>
    <w:rsid w:val="9FED77D5"/>
    <w:rsid w:val="DF8FD47F"/>
    <w:rsid w:val="DFB7F448"/>
    <w:rsid w:val="DFFBD1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1"/>
    <w:qFormat/>
    <w:uiPriority w:val="99"/>
    <w:pPr>
      <w:keepNext/>
      <w:keepLines/>
      <w:widowControl w:val="0"/>
      <w:snapToGrid w:val="0"/>
      <w:spacing w:before="100" w:after="120" w:line="560" w:lineRule="exact"/>
      <w:jc w:val="both"/>
      <w:outlineLvl w:val="0"/>
    </w:pPr>
    <w:rPr>
      <w:rFonts w:eastAsia="仿宋"/>
      <w:b/>
      <w:kern w:val="44"/>
      <w:sz w:val="30"/>
      <w:szCs w:val="20"/>
    </w:rPr>
  </w:style>
  <w:style w:type="paragraph" w:styleId="3">
    <w:name w:val="heading 2"/>
    <w:basedOn w:val="1"/>
    <w:next w:val="1"/>
    <w:link w:val="32"/>
    <w:qFormat/>
    <w:uiPriority w:val="99"/>
    <w:pPr>
      <w:keepNext/>
      <w:keepLines/>
      <w:spacing w:before="260" w:after="260" w:line="416" w:lineRule="auto"/>
      <w:outlineLvl w:val="1"/>
    </w:pPr>
    <w:rPr>
      <w:rFonts w:ascii="Calibri Light" w:hAnsi="Calibri Light"/>
      <w:b/>
      <w:bCs/>
      <w:sz w:val="32"/>
      <w:szCs w:val="32"/>
      <w:lang w:eastAsia="en-US"/>
    </w:rPr>
  </w:style>
  <w:style w:type="paragraph" w:styleId="4">
    <w:name w:val="heading 3"/>
    <w:basedOn w:val="1"/>
    <w:next w:val="1"/>
    <w:link w:val="33"/>
    <w:qFormat/>
    <w:uiPriority w:val="99"/>
    <w:pPr>
      <w:keepNext/>
      <w:keepLines/>
      <w:widowControl w:val="0"/>
      <w:spacing w:before="260" w:after="260" w:line="416" w:lineRule="auto"/>
      <w:jc w:val="both"/>
      <w:outlineLvl w:val="2"/>
    </w:pPr>
    <w:rPr>
      <w:rFonts w:ascii="Calibri" w:hAnsi="Calibri"/>
      <w:b/>
      <w:bCs/>
      <w:kern w:val="2"/>
      <w:sz w:val="32"/>
      <w:szCs w:val="32"/>
    </w:rPr>
  </w:style>
  <w:style w:type="paragraph" w:styleId="5">
    <w:name w:val="heading 4"/>
    <w:basedOn w:val="1"/>
    <w:next w:val="1"/>
    <w:link w:val="34"/>
    <w:qFormat/>
    <w:uiPriority w:val="99"/>
    <w:pPr>
      <w:keepNext/>
      <w:keepLines/>
      <w:widowControl w:val="0"/>
      <w:spacing w:before="280" w:after="290" w:line="376" w:lineRule="auto"/>
      <w:jc w:val="both"/>
      <w:outlineLvl w:val="3"/>
    </w:pPr>
    <w:rPr>
      <w:rFonts w:ascii="Cambria" w:hAnsi="Cambria"/>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kern w:val="2"/>
      <w:sz w:val="21"/>
      <w:szCs w:val="20"/>
    </w:rPr>
  </w:style>
  <w:style w:type="paragraph" w:styleId="7">
    <w:name w:val="Document Map"/>
    <w:basedOn w:val="1"/>
    <w:link w:val="58"/>
    <w:qFormat/>
    <w:uiPriority w:val="99"/>
    <w:pPr>
      <w:widowControl w:val="0"/>
      <w:jc w:val="both"/>
    </w:pPr>
    <w:rPr>
      <w:rFonts w:ascii="宋体" w:hAnsi="Calibri" w:cs="黑体"/>
      <w:kern w:val="2"/>
      <w:sz w:val="18"/>
      <w:szCs w:val="18"/>
    </w:rPr>
  </w:style>
  <w:style w:type="paragraph" w:styleId="8">
    <w:name w:val="annotation text"/>
    <w:basedOn w:val="1"/>
    <w:link w:val="47"/>
    <w:qFormat/>
    <w:uiPriority w:val="99"/>
  </w:style>
  <w:style w:type="paragraph" w:styleId="9">
    <w:name w:val="Body Text"/>
    <w:basedOn w:val="1"/>
    <w:link w:val="74"/>
    <w:qFormat/>
    <w:uiPriority w:val="1"/>
    <w:pPr>
      <w:widowControl w:val="0"/>
      <w:autoSpaceDE w:val="0"/>
      <w:autoSpaceDN w:val="0"/>
      <w:ind w:left="260" w:firstLine="559"/>
    </w:pPr>
    <w:rPr>
      <w:rFonts w:ascii="宋体" w:hAnsi="宋体" w:cs="宋体"/>
      <w:sz w:val="28"/>
      <w:szCs w:val="28"/>
      <w:lang w:val="zh-CN" w:bidi="zh-CN"/>
    </w:rPr>
  </w:style>
  <w:style w:type="paragraph" w:styleId="10">
    <w:name w:val="toc 3"/>
    <w:basedOn w:val="1"/>
    <w:next w:val="1"/>
    <w:qFormat/>
    <w:uiPriority w:val="99"/>
    <w:pPr>
      <w:widowControl w:val="0"/>
      <w:ind w:left="840" w:leftChars="400"/>
      <w:jc w:val="both"/>
    </w:pPr>
    <w:rPr>
      <w:kern w:val="2"/>
      <w:sz w:val="21"/>
      <w:szCs w:val="20"/>
    </w:rPr>
  </w:style>
  <w:style w:type="paragraph" w:styleId="11">
    <w:name w:val="Date"/>
    <w:basedOn w:val="1"/>
    <w:next w:val="1"/>
    <w:link w:val="59"/>
    <w:qFormat/>
    <w:uiPriority w:val="99"/>
    <w:pPr>
      <w:widowControl w:val="0"/>
      <w:ind w:left="100" w:leftChars="2500"/>
      <w:jc w:val="both"/>
    </w:pPr>
    <w:rPr>
      <w:rFonts w:ascii="等线" w:hAnsi="等线" w:eastAsia="等线"/>
      <w:kern w:val="2"/>
      <w:sz w:val="21"/>
      <w:szCs w:val="22"/>
    </w:rPr>
  </w:style>
  <w:style w:type="paragraph" w:styleId="12">
    <w:name w:val="Balloon Text"/>
    <w:basedOn w:val="1"/>
    <w:link w:val="42"/>
    <w:qFormat/>
    <w:uiPriority w:val="99"/>
    <w:pPr>
      <w:widowControl w:val="0"/>
      <w:jc w:val="both"/>
    </w:pPr>
    <w:rPr>
      <w:rFonts w:ascii="等线" w:hAnsi="等线" w:eastAsia="等线"/>
      <w:sz w:val="18"/>
      <w:szCs w:val="18"/>
    </w:rPr>
  </w:style>
  <w:style w:type="paragraph" w:styleId="13">
    <w:name w:val="footer"/>
    <w:basedOn w:val="1"/>
    <w:link w:val="36"/>
    <w:qFormat/>
    <w:uiPriority w:val="99"/>
    <w:pPr>
      <w:widowControl w:val="0"/>
      <w:tabs>
        <w:tab w:val="center" w:pos="4153"/>
        <w:tab w:val="right" w:pos="8306"/>
      </w:tabs>
      <w:snapToGrid w:val="0"/>
    </w:pPr>
    <w:rPr>
      <w:rFonts w:ascii="等线" w:hAnsi="等线" w:eastAsia="等线"/>
      <w:kern w:val="2"/>
      <w:sz w:val="18"/>
      <w:szCs w:val="18"/>
    </w:rPr>
  </w:style>
  <w:style w:type="paragraph" w:styleId="14">
    <w:name w:val="header"/>
    <w:basedOn w:val="1"/>
    <w:link w:val="35"/>
    <w:qFormat/>
    <w:uiPriority w:val="99"/>
    <w:pPr>
      <w:widowControl w:val="0"/>
      <w:pBdr>
        <w:bottom w:val="single" w:color="auto" w:sz="6" w:space="1"/>
      </w:pBdr>
      <w:tabs>
        <w:tab w:val="center" w:pos="4153"/>
        <w:tab w:val="right" w:pos="8306"/>
      </w:tabs>
      <w:snapToGrid w:val="0"/>
      <w:jc w:val="center"/>
    </w:pPr>
    <w:rPr>
      <w:rFonts w:ascii="等线" w:hAnsi="等线" w:eastAsia="等线"/>
      <w:kern w:val="2"/>
      <w:sz w:val="18"/>
      <w:szCs w:val="18"/>
    </w:rPr>
  </w:style>
  <w:style w:type="paragraph" w:styleId="15">
    <w:name w:val="toc 1"/>
    <w:basedOn w:val="1"/>
    <w:next w:val="1"/>
    <w:qFormat/>
    <w:uiPriority w:val="99"/>
    <w:pPr>
      <w:widowControl w:val="0"/>
      <w:jc w:val="both"/>
    </w:pPr>
    <w:rPr>
      <w:kern w:val="2"/>
      <w:sz w:val="21"/>
      <w:szCs w:val="20"/>
    </w:rPr>
  </w:style>
  <w:style w:type="paragraph" w:styleId="16">
    <w:name w:val="Subtitle"/>
    <w:basedOn w:val="1"/>
    <w:next w:val="1"/>
    <w:link w:val="60"/>
    <w:qFormat/>
    <w:uiPriority w:val="0"/>
    <w:pPr>
      <w:widowControl w:val="0"/>
      <w:spacing w:before="240" w:after="60" w:line="312" w:lineRule="auto"/>
      <w:jc w:val="center"/>
      <w:outlineLvl w:val="1"/>
    </w:pPr>
    <w:rPr>
      <w:rFonts w:ascii="Cambria" w:hAnsi="Cambria"/>
      <w:b/>
      <w:bCs/>
      <w:kern w:val="28"/>
      <w:sz w:val="32"/>
      <w:szCs w:val="32"/>
    </w:rPr>
  </w:style>
  <w:style w:type="paragraph" w:styleId="17">
    <w:name w:val="footnote text"/>
    <w:basedOn w:val="1"/>
    <w:link w:val="61"/>
    <w:qFormat/>
    <w:uiPriority w:val="99"/>
    <w:pPr>
      <w:widowControl w:val="0"/>
      <w:snapToGrid w:val="0"/>
    </w:pPr>
    <w:rPr>
      <w:sz w:val="18"/>
      <w:szCs w:val="18"/>
    </w:rPr>
  </w:style>
  <w:style w:type="paragraph" w:styleId="18">
    <w:name w:val="index 9"/>
    <w:basedOn w:val="1"/>
    <w:next w:val="1"/>
    <w:qFormat/>
    <w:uiPriority w:val="0"/>
    <w:pPr>
      <w:widowControl w:val="0"/>
      <w:ind w:left="3360"/>
      <w:jc w:val="both"/>
    </w:pPr>
    <w:rPr>
      <w:rFonts w:ascii="Calibri" w:hAnsi="Calibri" w:cs="Arial"/>
      <w:kern w:val="2"/>
      <w:sz w:val="21"/>
    </w:rPr>
  </w:style>
  <w:style w:type="paragraph" w:styleId="19">
    <w:name w:val="toc 2"/>
    <w:basedOn w:val="1"/>
    <w:next w:val="1"/>
    <w:qFormat/>
    <w:uiPriority w:val="99"/>
    <w:pPr>
      <w:widowControl w:val="0"/>
      <w:ind w:left="420" w:leftChars="200"/>
      <w:jc w:val="both"/>
    </w:pPr>
    <w:rPr>
      <w:kern w:val="2"/>
      <w:sz w:val="21"/>
      <w:szCs w:val="20"/>
    </w:rPr>
  </w:style>
  <w:style w:type="paragraph" w:styleId="20">
    <w:name w:val="HTML Preformatted"/>
    <w:basedOn w:val="1"/>
    <w:link w:val="6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1">
    <w:name w:val="Normal (Web)"/>
    <w:basedOn w:val="1"/>
    <w:qFormat/>
    <w:uiPriority w:val="99"/>
    <w:pPr>
      <w:widowControl w:val="0"/>
      <w:spacing w:before="100" w:beforeAutospacing="1" w:after="100" w:afterAutospacing="1"/>
      <w:jc w:val="both"/>
    </w:pPr>
    <w:rPr>
      <w:rFonts w:ascii="宋体" w:hAnsi="宋体" w:cs="宋体"/>
    </w:rPr>
  </w:style>
  <w:style w:type="paragraph" w:styleId="22">
    <w:name w:val="annotation subject"/>
    <w:basedOn w:val="8"/>
    <w:next w:val="8"/>
    <w:link w:val="48"/>
    <w:qFormat/>
    <w:uiPriority w:val="99"/>
    <w:pPr>
      <w:widowControl w:val="0"/>
    </w:pPr>
    <w:rPr>
      <w:rFonts w:ascii="等线" w:hAnsi="等线" w:eastAsia="等线"/>
      <w:b/>
      <w:bCs/>
      <w:sz w:val="20"/>
      <w:szCs w:val="20"/>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cs="Times New Roman"/>
      <w:b/>
    </w:rPr>
  </w:style>
  <w:style w:type="character" w:styleId="27">
    <w:name w:val="page number"/>
    <w:basedOn w:val="25"/>
    <w:qFormat/>
    <w:uiPriority w:val="99"/>
    <w:rPr>
      <w:rFonts w:cs="Times New Roman"/>
    </w:rPr>
  </w:style>
  <w:style w:type="character" w:styleId="28">
    <w:name w:val="Hyperlink"/>
    <w:basedOn w:val="25"/>
    <w:qFormat/>
    <w:uiPriority w:val="99"/>
    <w:rPr>
      <w:rFonts w:cs="Times New Roman"/>
      <w:color w:val="0000FF"/>
      <w:u w:val="single"/>
    </w:rPr>
  </w:style>
  <w:style w:type="character" w:styleId="29">
    <w:name w:val="annotation reference"/>
    <w:basedOn w:val="25"/>
    <w:qFormat/>
    <w:uiPriority w:val="99"/>
    <w:rPr>
      <w:rFonts w:cs="Times New Roman"/>
      <w:sz w:val="21"/>
    </w:rPr>
  </w:style>
  <w:style w:type="character" w:styleId="30">
    <w:name w:val="footnote reference"/>
    <w:basedOn w:val="25"/>
    <w:qFormat/>
    <w:uiPriority w:val="99"/>
    <w:rPr>
      <w:rFonts w:cs="Times New Roman"/>
      <w:vertAlign w:val="superscript"/>
    </w:rPr>
  </w:style>
  <w:style w:type="character" w:customStyle="1" w:styleId="31">
    <w:name w:val="标题 1 字符"/>
    <w:basedOn w:val="25"/>
    <w:link w:val="2"/>
    <w:qFormat/>
    <w:locked/>
    <w:uiPriority w:val="99"/>
    <w:rPr>
      <w:rFonts w:ascii="Times New Roman" w:hAnsi="Times New Roman" w:eastAsia="仿宋" w:cs="Times New Roman"/>
      <w:b/>
      <w:kern w:val="44"/>
      <w:sz w:val="20"/>
      <w:szCs w:val="20"/>
    </w:rPr>
  </w:style>
  <w:style w:type="character" w:customStyle="1" w:styleId="32">
    <w:name w:val="标题 2 字符"/>
    <w:basedOn w:val="25"/>
    <w:link w:val="3"/>
    <w:qFormat/>
    <w:locked/>
    <w:uiPriority w:val="99"/>
    <w:rPr>
      <w:rFonts w:ascii="Calibri Light" w:hAnsi="Calibri Light" w:eastAsia="宋体" w:cs="Times New Roman"/>
      <w:b/>
      <w:bCs/>
      <w:kern w:val="0"/>
      <w:sz w:val="32"/>
      <w:szCs w:val="32"/>
      <w:lang w:eastAsia="en-US"/>
    </w:rPr>
  </w:style>
  <w:style w:type="character" w:customStyle="1" w:styleId="33">
    <w:name w:val="标题 3 字符"/>
    <w:basedOn w:val="25"/>
    <w:link w:val="4"/>
    <w:qFormat/>
    <w:locked/>
    <w:uiPriority w:val="99"/>
    <w:rPr>
      <w:rFonts w:ascii="Calibri" w:hAnsi="Calibri" w:eastAsia="宋体" w:cs="Times New Roman"/>
      <w:b/>
      <w:bCs/>
      <w:sz w:val="32"/>
      <w:szCs w:val="32"/>
    </w:rPr>
  </w:style>
  <w:style w:type="character" w:customStyle="1" w:styleId="34">
    <w:name w:val="标题 4 字符"/>
    <w:basedOn w:val="25"/>
    <w:link w:val="5"/>
    <w:qFormat/>
    <w:locked/>
    <w:uiPriority w:val="99"/>
    <w:rPr>
      <w:rFonts w:ascii="Cambria" w:hAnsi="Cambria" w:eastAsia="宋体" w:cs="Times New Roman"/>
      <w:b/>
      <w:bCs/>
      <w:sz w:val="28"/>
      <w:szCs w:val="28"/>
    </w:rPr>
  </w:style>
  <w:style w:type="character" w:customStyle="1" w:styleId="35">
    <w:name w:val="页眉 字符"/>
    <w:basedOn w:val="25"/>
    <w:link w:val="14"/>
    <w:qFormat/>
    <w:locked/>
    <w:uiPriority w:val="99"/>
    <w:rPr>
      <w:rFonts w:cs="Times New Roman"/>
      <w:sz w:val="18"/>
      <w:szCs w:val="18"/>
    </w:rPr>
  </w:style>
  <w:style w:type="character" w:customStyle="1" w:styleId="36">
    <w:name w:val="页脚 字符"/>
    <w:basedOn w:val="25"/>
    <w:link w:val="13"/>
    <w:qFormat/>
    <w:locked/>
    <w:uiPriority w:val="99"/>
    <w:rPr>
      <w:rFonts w:cs="Times New Roman"/>
      <w:sz w:val="18"/>
      <w:szCs w:val="18"/>
    </w:rPr>
  </w:style>
  <w:style w:type="paragraph" w:customStyle="1" w:styleId="37">
    <w:name w:val="Normal_16"/>
    <w:qFormat/>
    <w:uiPriority w:val="99"/>
    <w:pPr>
      <w:spacing w:before="120" w:after="240"/>
      <w:jc w:val="both"/>
    </w:pPr>
    <w:rPr>
      <w:rFonts w:ascii="Calibri" w:hAnsi="Calibri" w:eastAsia="宋体" w:cs="Calibri"/>
      <w:sz w:val="22"/>
      <w:szCs w:val="22"/>
      <w:lang w:val="ru-RU" w:eastAsia="en-US" w:bidi="ar-SA"/>
    </w:rPr>
  </w:style>
  <w:style w:type="paragraph" w:customStyle="1" w:styleId="38">
    <w:name w:val="列出段落1"/>
    <w:basedOn w:val="1"/>
    <w:link w:val="73"/>
    <w:qFormat/>
    <w:uiPriority w:val="34"/>
    <w:pPr>
      <w:widowControl w:val="0"/>
      <w:ind w:firstLine="420" w:firstLineChars="200"/>
      <w:jc w:val="both"/>
    </w:pPr>
    <w:rPr>
      <w:rFonts w:ascii="Calibri" w:hAnsi="Calibri" w:cs="Calibri"/>
      <w:kern w:val="2"/>
      <w:sz w:val="21"/>
      <w:szCs w:val="21"/>
    </w:rPr>
  </w:style>
  <w:style w:type="paragraph" w:customStyle="1" w:styleId="39">
    <w:name w:val="Normal_17"/>
    <w:qFormat/>
    <w:uiPriority w:val="0"/>
    <w:pPr>
      <w:spacing w:before="120" w:after="240"/>
      <w:jc w:val="both"/>
    </w:pPr>
    <w:rPr>
      <w:rFonts w:ascii="Calibri" w:hAnsi="Calibri" w:eastAsia="宋体" w:cs="Calibri"/>
      <w:sz w:val="22"/>
      <w:szCs w:val="22"/>
      <w:lang w:val="ru-RU" w:eastAsia="en-US" w:bidi="ar-SA"/>
    </w:rPr>
  </w:style>
  <w:style w:type="paragraph" w:styleId="40">
    <w:name w:val="List Paragraph"/>
    <w:basedOn w:val="1"/>
    <w:qFormat/>
    <w:uiPriority w:val="34"/>
    <w:pPr>
      <w:ind w:firstLine="420" w:firstLineChars="200"/>
    </w:pPr>
  </w:style>
  <w:style w:type="character" w:customStyle="1" w:styleId="41">
    <w:name w:val="Balloon Text Char"/>
    <w:qFormat/>
    <w:locked/>
    <w:uiPriority w:val="99"/>
    <w:rPr>
      <w:sz w:val="18"/>
    </w:rPr>
  </w:style>
  <w:style w:type="character" w:customStyle="1" w:styleId="42">
    <w:name w:val="批注框文本 字符1"/>
    <w:basedOn w:val="25"/>
    <w:link w:val="12"/>
    <w:semiHidden/>
    <w:qFormat/>
    <w:uiPriority w:val="99"/>
    <w:rPr>
      <w:rFonts w:ascii="Times New Roman" w:hAnsi="Times New Roman" w:eastAsia="宋体"/>
      <w:kern w:val="0"/>
      <w:sz w:val="0"/>
      <w:szCs w:val="0"/>
    </w:rPr>
  </w:style>
  <w:style w:type="character" w:customStyle="1" w:styleId="43">
    <w:name w:val="批注框文本 字符"/>
    <w:basedOn w:val="25"/>
    <w:semiHidden/>
    <w:qFormat/>
    <w:uiPriority w:val="99"/>
    <w:rPr>
      <w:rFonts w:ascii="Times New Roman" w:hAnsi="Times New Roman" w:eastAsia="宋体" w:cs="Times New Roman"/>
      <w:kern w:val="0"/>
      <w:sz w:val="18"/>
      <w:szCs w:val="18"/>
    </w:rPr>
  </w:style>
  <w:style w:type="character" w:customStyle="1" w:styleId="44">
    <w:name w:val="font261"/>
    <w:basedOn w:val="25"/>
    <w:qFormat/>
    <w:uiPriority w:val="99"/>
    <w:rPr>
      <w:rFonts w:ascii="宋体" w:hAnsi="宋体" w:eastAsia="宋体" w:cs="Times New Roman"/>
      <w:color w:val="000000"/>
      <w:sz w:val="24"/>
      <w:szCs w:val="24"/>
      <w:u w:val="none"/>
    </w:rPr>
  </w:style>
  <w:style w:type="character" w:customStyle="1" w:styleId="45">
    <w:name w:val="font241"/>
    <w:basedOn w:val="25"/>
    <w:qFormat/>
    <w:uiPriority w:val="99"/>
    <w:rPr>
      <w:rFonts w:ascii="仿宋_GB2312" w:eastAsia="仿宋_GB2312" w:cs="Times New Roman"/>
      <w:color w:val="000000"/>
      <w:sz w:val="24"/>
      <w:szCs w:val="24"/>
      <w:u w:val="none"/>
    </w:rPr>
  </w:style>
  <w:style w:type="character" w:customStyle="1" w:styleId="46">
    <w:name w:val="Comment Subject Char"/>
    <w:qFormat/>
    <w:locked/>
    <w:uiPriority w:val="99"/>
    <w:rPr>
      <w:b/>
    </w:rPr>
  </w:style>
  <w:style w:type="character" w:customStyle="1" w:styleId="47">
    <w:name w:val="批注文字 字符"/>
    <w:basedOn w:val="25"/>
    <w:link w:val="8"/>
    <w:qFormat/>
    <w:locked/>
    <w:uiPriority w:val="99"/>
    <w:rPr>
      <w:rFonts w:ascii="Times New Roman" w:hAnsi="Times New Roman" w:eastAsia="宋体" w:cs="Times New Roman"/>
      <w:kern w:val="0"/>
      <w:sz w:val="24"/>
      <w:szCs w:val="24"/>
    </w:rPr>
  </w:style>
  <w:style w:type="character" w:customStyle="1" w:styleId="48">
    <w:name w:val="批注主题 字符1"/>
    <w:basedOn w:val="47"/>
    <w:link w:val="22"/>
    <w:semiHidden/>
    <w:qFormat/>
    <w:uiPriority w:val="99"/>
    <w:rPr>
      <w:rFonts w:ascii="Times New Roman" w:hAnsi="Times New Roman" w:eastAsia="宋体" w:cs="Times New Roman"/>
      <w:b/>
      <w:bCs/>
      <w:kern w:val="0"/>
      <w:sz w:val="24"/>
      <w:szCs w:val="24"/>
    </w:rPr>
  </w:style>
  <w:style w:type="character" w:customStyle="1" w:styleId="49">
    <w:name w:val="font21"/>
    <w:qFormat/>
    <w:uiPriority w:val="99"/>
    <w:rPr>
      <w:rFonts w:ascii="宋体" w:hAnsi="宋体" w:eastAsia="宋体"/>
      <w:color w:val="000000"/>
      <w:sz w:val="24"/>
    </w:rPr>
  </w:style>
  <w:style w:type="character" w:customStyle="1" w:styleId="50">
    <w:name w:val="页眉 Char"/>
    <w:qFormat/>
    <w:uiPriority w:val="99"/>
    <w:rPr>
      <w:kern w:val="2"/>
      <w:sz w:val="18"/>
    </w:rPr>
  </w:style>
  <w:style w:type="character" w:customStyle="1" w:styleId="51">
    <w:name w:val="批注主题 字符"/>
    <w:basedOn w:val="47"/>
    <w:semiHidden/>
    <w:qFormat/>
    <w:uiPriority w:val="99"/>
    <w:rPr>
      <w:rFonts w:ascii="Times New Roman" w:hAnsi="Times New Roman" w:eastAsia="宋体" w:cs="Times New Roman"/>
      <w:b/>
      <w:bCs/>
      <w:kern w:val="0"/>
      <w:sz w:val="24"/>
      <w:szCs w:val="24"/>
    </w:rPr>
  </w:style>
  <w:style w:type="paragraph" w:styleId="52">
    <w:name w:val="No Spacing"/>
    <w:basedOn w:val="1"/>
    <w:link w:val="53"/>
    <w:qFormat/>
    <w:uiPriority w:val="1"/>
    <w:rPr>
      <w:rFonts w:ascii="黑体" w:hAnsi="黑体" w:eastAsia="黑体"/>
      <w:color w:val="000000"/>
      <w:sz w:val="20"/>
      <w:szCs w:val="20"/>
    </w:rPr>
  </w:style>
  <w:style w:type="character" w:customStyle="1" w:styleId="53">
    <w:name w:val="无间隔 字符"/>
    <w:link w:val="52"/>
    <w:qFormat/>
    <w:locked/>
    <w:uiPriority w:val="99"/>
    <w:rPr>
      <w:rFonts w:ascii="黑体" w:hAnsi="黑体" w:eastAsia="黑体"/>
      <w:color w:val="000000"/>
      <w:kern w:val="0"/>
      <w:sz w:val="20"/>
    </w:rPr>
  </w:style>
  <w:style w:type="paragraph" w:customStyle="1" w:styleId="54">
    <w:name w:val="n_p_lineheight"/>
    <w:basedOn w:val="1"/>
    <w:qFormat/>
    <w:uiPriority w:val="99"/>
    <w:rPr>
      <w:rFonts w:ascii="宋体" w:hAnsi="宋体" w:cs="宋体"/>
      <w:szCs w:val="20"/>
    </w:rPr>
  </w:style>
  <w:style w:type="character" w:customStyle="1" w:styleId="55">
    <w:name w:val="页脚 Char"/>
    <w:qFormat/>
    <w:uiPriority w:val="99"/>
    <w:rPr>
      <w:kern w:val="2"/>
      <w:sz w:val="18"/>
    </w:rPr>
  </w:style>
  <w:style w:type="paragraph" w:customStyle="1" w:styleId="56">
    <w:name w:val="_Style 1"/>
    <w:basedOn w:val="1"/>
    <w:qFormat/>
    <w:uiPriority w:val="99"/>
    <w:pPr>
      <w:widowControl w:val="0"/>
      <w:ind w:firstLine="420" w:firstLineChars="200"/>
      <w:jc w:val="both"/>
    </w:pPr>
    <w:rPr>
      <w:kern w:val="2"/>
      <w:sz w:val="21"/>
    </w:rPr>
  </w:style>
  <w:style w:type="character" w:customStyle="1" w:styleId="57">
    <w:name w:val="批注主题 Char"/>
    <w:semiHidden/>
    <w:qFormat/>
    <w:uiPriority w:val="99"/>
    <w:rPr>
      <w:b/>
      <w:kern w:val="2"/>
      <w:sz w:val="21"/>
    </w:rPr>
  </w:style>
  <w:style w:type="character" w:customStyle="1" w:styleId="58">
    <w:name w:val="文档结构图 字符"/>
    <w:basedOn w:val="25"/>
    <w:link w:val="7"/>
    <w:qFormat/>
    <w:locked/>
    <w:uiPriority w:val="99"/>
    <w:rPr>
      <w:rFonts w:ascii="宋体" w:hAnsi="Calibri" w:eastAsia="宋体" w:cs="黑体"/>
      <w:sz w:val="18"/>
      <w:szCs w:val="18"/>
    </w:rPr>
  </w:style>
  <w:style w:type="character" w:customStyle="1" w:styleId="59">
    <w:name w:val="日期 字符"/>
    <w:basedOn w:val="25"/>
    <w:link w:val="11"/>
    <w:qFormat/>
    <w:locked/>
    <w:uiPriority w:val="99"/>
    <w:rPr>
      <w:rFonts w:cs="Times New Roman"/>
    </w:rPr>
  </w:style>
  <w:style w:type="character" w:customStyle="1" w:styleId="60">
    <w:name w:val="副标题 字符"/>
    <w:basedOn w:val="25"/>
    <w:link w:val="16"/>
    <w:qFormat/>
    <w:locked/>
    <w:uiPriority w:val="0"/>
    <w:rPr>
      <w:rFonts w:ascii="Cambria" w:hAnsi="Cambria" w:eastAsia="宋体" w:cs="Times New Roman"/>
      <w:b/>
      <w:bCs/>
      <w:kern w:val="28"/>
      <w:sz w:val="32"/>
      <w:szCs w:val="32"/>
    </w:rPr>
  </w:style>
  <w:style w:type="character" w:customStyle="1" w:styleId="61">
    <w:name w:val="脚注文本 字符"/>
    <w:basedOn w:val="25"/>
    <w:link w:val="17"/>
    <w:qFormat/>
    <w:locked/>
    <w:uiPriority w:val="99"/>
    <w:rPr>
      <w:rFonts w:ascii="Times New Roman" w:hAnsi="Times New Roman" w:eastAsia="宋体" w:cs="Times New Roman"/>
      <w:kern w:val="0"/>
      <w:sz w:val="18"/>
      <w:szCs w:val="18"/>
    </w:rPr>
  </w:style>
  <w:style w:type="character" w:customStyle="1" w:styleId="62">
    <w:name w:val="HTML 预设格式 字符"/>
    <w:basedOn w:val="25"/>
    <w:link w:val="20"/>
    <w:qFormat/>
    <w:locked/>
    <w:uiPriority w:val="99"/>
    <w:rPr>
      <w:rFonts w:ascii="宋体" w:hAnsi="宋体" w:eastAsia="宋体" w:cs="宋体"/>
      <w:kern w:val="0"/>
      <w:sz w:val="24"/>
      <w:szCs w:val="24"/>
    </w:rPr>
  </w:style>
  <w:style w:type="paragraph" w:customStyle="1" w:styleId="63">
    <w:name w:val="修订1"/>
    <w:hidden/>
    <w:semiHidden/>
    <w:qFormat/>
    <w:uiPriority w:val="99"/>
    <w:rPr>
      <w:rFonts w:ascii="Calibri" w:hAnsi="Calibri" w:eastAsia="宋体" w:cs="黑体"/>
      <w:kern w:val="2"/>
      <w:sz w:val="21"/>
      <w:szCs w:val="22"/>
      <w:lang w:val="en-US" w:eastAsia="zh-CN" w:bidi="ar-SA"/>
    </w:rPr>
  </w:style>
  <w:style w:type="paragraph" w:customStyle="1" w:styleId="6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5">
    <w:name w:val="列出段落2"/>
    <w:basedOn w:val="1"/>
    <w:qFormat/>
    <w:uiPriority w:val="99"/>
    <w:pPr>
      <w:widowControl w:val="0"/>
      <w:ind w:firstLine="420" w:firstLineChars="200"/>
      <w:jc w:val="both"/>
    </w:pPr>
    <w:rPr>
      <w:rFonts w:ascii="Calibri" w:hAnsi="Calibri" w:cs="黑体"/>
      <w:kern w:val="2"/>
      <w:sz w:val="21"/>
      <w:szCs w:val="22"/>
    </w:rPr>
  </w:style>
  <w:style w:type="paragraph" w:customStyle="1" w:styleId="66">
    <w:name w:val="5-内文"/>
    <w:basedOn w:val="1"/>
    <w:link w:val="67"/>
    <w:qFormat/>
    <w:uiPriority w:val="0"/>
    <w:pPr>
      <w:widowControl w:val="0"/>
      <w:spacing w:beforeLines="25" w:afterLines="25" w:line="300" w:lineRule="auto"/>
      <w:ind w:firstLine="200" w:firstLineChars="200"/>
      <w:jc w:val="both"/>
    </w:pPr>
    <w:rPr>
      <w:rFonts w:ascii="Calibri" w:hAnsi="Calibri" w:eastAsia="仿宋_GB2312"/>
      <w:sz w:val="28"/>
      <w:szCs w:val="20"/>
    </w:rPr>
  </w:style>
  <w:style w:type="character" w:customStyle="1" w:styleId="67">
    <w:name w:val="5-内文 Char"/>
    <w:link w:val="66"/>
    <w:qFormat/>
    <w:locked/>
    <w:uiPriority w:val="0"/>
    <w:rPr>
      <w:rFonts w:ascii="Calibri" w:hAnsi="Calibri" w:eastAsia="仿宋_GB2312"/>
      <w:kern w:val="0"/>
      <w:sz w:val="20"/>
    </w:rPr>
  </w:style>
  <w:style w:type="paragraph" w:customStyle="1" w:styleId="68">
    <w:name w:val="修订2"/>
    <w:hidden/>
    <w:semiHidden/>
    <w:qFormat/>
    <w:uiPriority w:val="99"/>
    <w:rPr>
      <w:rFonts w:ascii="Calibri" w:hAnsi="Calibri" w:eastAsia="宋体" w:cs="黑体"/>
      <w:kern w:val="2"/>
      <w:sz w:val="21"/>
      <w:szCs w:val="22"/>
      <w:lang w:val="en-US" w:eastAsia="zh-CN" w:bidi="ar-SA"/>
    </w:rPr>
  </w:style>
  <w:style w:type="paragraph" w:customStyle="1" w:styleId="69">
    <w:name w:val="Pa4"/>
    <w:basedOn w:val="1"/>
    <w:next w:val="1"/>
    <w:qFormat/>
    <w:uiPriority w:val="99"/>
    <w:pPr>
      <w:widowControl w:val="0"/>
      <w:autoSpaceDE w:val="0"/>
      <w:autoSpaceDN w:val="0"/>
      <w:adjustRightInd w:val="0"/>
      <w:spacing w:line="301" w:lineRule="atLeast"/>
    </w:pPr>
    <w:rPr>
      <w:rFonts w:ascii="OEEEEV+FZHTJW--GB1-0" w:eastAsia="OEEEEV+FZHTJW--GB1-0"/>
    </w:rPr>
  </w:style>
  <w:style w:type="paragraph" w:customStyle="1" w:styleId="70">
    <w:name w:val="列出段落3"/>
    <w:basedOn w:val="1"/>
    <w:qFormat/>
    <w:uiPriority w:val="99"/>
    <w:pPr>
      <w:widowControl w:val="0"/>
      <w:ind w:firstLine="420" w:firstLineChars="200"/>
      <w:jc w:val="both"/>
    </w:pPr>
    <w:rPr>
      <w:rFonts w:ascii="Calibri" w:hAnsi="Calibri"/>
      <w:kern w:val="2"/>
      <w:sz w:val="21"/>
      <w:szCs w:val="22"/>
    </w:rPr>
  </w:style>
  <w:style w:type="character" w:customStyle="1" w:styleId="71">
    <w:name w:val="description"/>
    <w:basedOn w:val="25"/>
    <w:qFormat/>
    <w:uiPriority w:val="99"/>
    <w:rPr>
      <w:rFonts w:cs="Times New Roman"/>
    </w:rPr>
  </w:style>
  <w:style w:type="character" w:customStyle="1" w:styleId="72">
    <w:name w:val="批注文字 Char1"/>
    <w:qFormat/>
    <w:locked/>
    <w:uiPriority w:val="99"/>
    <w:rPr>
      <w:kern w:val="2"/>
    </w:rPr>
  </w:style>
  <w:style w:type="character" w:customStyle="1" w:styleId="73">
    <w:name w:val="列出段落 字符"/>
    <w:link w:val="38"/>
    <w:qFormat/>
    <w:uiPriority w:val="34"/>
    <w:rPr>
      <w:rFonts w:ascii="Calibri" w:hAnsi="Calibri" w:cs="Calibri"/>
      <w:kern w:val="2"/>
      <w:sz w:val="21"/>
      <w:szCs w:val="21"/>
    </w:rPr>
  </w:style>
  <w:style w:type="character" w:customStyle="1" w:styleId="74">
    <w:name w:val="正文文本 字符"/>
    <w:basedOn w:val="25"/>
    <w:link w:val="9"/>
    <w:qFormat/>
    <w:uiPriority w:val="1"/>
    <w:rPr>
      <w:rFonts w:ascii="宋体" w:hAnsi="宋体" w:cs="宋体"/>
      <w:sz w:val="28"/>
      <w:szCs w:val="28"/>
      <w:lang w:val="zh-CN" w:bidi="zh-CN"/>
    </w:rPr>
  </w:style>
  <w:style w:type="character" w:customStyle="1" w:styleId="75">
    <w:name w:val="NormalCharacter"/>
    <w:qFormat/>
    <w:uiPriority w:val="0"/>
    <w:rPr>
      <w:rFonts w:ascii="Calibri" w:hAnsi="Calibri" w:eastAsia="宋体"/>
    </w:rPr>
  </w:style>
  <w:style w:type="paragraph" w:customStyle="1" w:styleId="76">
    <w:name w:val="无间隔1"/>
    <w:qFormat/>
    <w:uiPriority w:val="1"/>
    <w:pPr>
      <w:widowControl w:val="0"/>
      <w:jc w:val="both"/>
    </w:pPr>
    <w:rPr>
      <w:rFonts w:ascii="Times New Roman" w:hAnsi="Times New Roman" w:eastAsia="仿宋_GB2312" w:cs="Times New Roman"/>
      <w:kern w:val="2"/>
      <w:sz w:val="24"/>
      <w:szCs w:val="24"/>
      <w:lang w:val="en-US" w:eastAsia="zh-CN" w:bidi="ar-SA"/>
    </w:rPr>
  </w:style>
  <w:style w:type="paragraph" w:customStyle="1" w:styleId="77">
    <w:name w:val="小标题"/>
    <w:basedOn w:val="1"/>
    <w:qFormat/>
    <w:uiPriority w:val="0"/>
    <w:rPr>
      <w:rFonts w:ascii="Arial Narrow" w:hAnsi="Arial Narrow"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9655</Words>
  <Characters>11147</Characters>
  <Lines>86</Lines>
  <Paragraphs>24</Paragraphs>
  <TotalTime>1</TotalTime>
  <ScaleCrop>false</ScaleCrop>
  <LinksUpToDate>false</LinksUpToDate>
  <CharactersWithSpaces>11250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2021-10-09T01:01:00Z</dcterms:created>
  <dc:creator>lihao</dc:creator>
  <cp:lastModifiedBy>uos</cp:lastModifiedBy>
  <dcterms:modified xsi:type="dcterms:W3CDTF">2023-02-27T16:10:29Z</dcterms:modified>
  <dc:title>2017年江西省职业院校技能大赛高职组</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0AC084C0A346453BBD06F37F6BDF6819</vt:lpwstr>
  </property>
</Properties>
</file>