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2020年河南省高等职业教育技能大赛</w:t>
      </w:r>
    </w:p>
    <w:p>
      <w:pPr>
        <w:widowControl/>
        <w:spacing w:line="60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（云计算）赛项</w:t>
      </w:r>
      <w:r>
        <w:rPr>
          <w:rFonts w:hint="eastAsia" w:ascii="方正小标宋简体" w:hAnsi="宋体" w:eastAsia="方正小标宋简体" w:cs="宋体"/>
          <w:bCs/>
          <w:kern w:val="0"/>
          <w:sz w:val="44"/>
          <w:szCs w:val="44"/>
          <w:lang w:eastAsia="zh-CN"/>
        </w:rPr>
        <w:t>竞赛</w:t>
      </w:r>
      <w:r>
        <w:rPr>
          <w:rFonts w:hint="eastAsia" w:ascii="方正小标宋简体" w:hAnsi="宋体" w:eastAsia="方正小标宋简体" w:cs="宋体"/>
          <w:bCs/>
          <w:kern w:val="0"/>
          <w:sz w:val="44"/>
          <w:szCs w:val="44"/>
        </w:rPr>
        <w:t>方案</w:t>
      </w:r>
      <w:bookmarkStart w:id="30" w:name="_GoBack"/>
      <w:bookmarkEnd w:id="30"/>
    </w:p>
    <w:p>
      <w:pPr>
        <w:jc w:val="center"/>
        <w:rPr>
          <w:rFonts w:ascii="仿宋_GB2312" w:hAnsi="仿宋_GB2312" w:eastAsia="仿宋_GB2312" w:cs="仿宋_GB2312"/>
          <w:color w:val="FF0000"/>
          <w:sz w:val="30"/>
          <w:szCs w:val="30"/>
        </w:rPr>
      </w:pPr>
    </w:p>
    <w:p>
      <w:pPr>
        <w:ind w:firstLine="600" w:firstLineChars="200"/>
        <w:rPr>
          <w:rFonts w:ascii="黑体" w:hAnsi="黑体" w:eastAsia="黑体"/>
          <w:bCs/>
          <w:color w:val="0D0D0D"/>
          <w:sz w:val="30"/>
          <w:szCs w:val="30"/>
        </w:rPr>
      </w:pPr>
      <w:r>
        <w:rPr>
          <w:rFonts w:hint="eastAsia" w:ascii="黑体" w:hAnsi="黑体" w:eastAsia="黑体"/>
          <w:bCs/>
          <w:color w:val="0D0D0D"/>
          <w:sz w:val="30"/>
          <w:szCs w:val="30"/>
        </w:rPr>
        <w:t>一、赛项名称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赛项编号：GZ-2020005</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赛项名称：云计算</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英文名称：Cloud Computing</w:t>
      </w:r>
      <w:r>
        <w:rPr>
          <w:rFonts w:hint="eastAsia" w:ascii="仿宋_GB2312" w:hAnsi="仿宋_GB2312" w:eastAsia="仿宋_GB2312" w:cs="仿宋_GB2312"/>
          <w:sz w:val="30"/>
          <w:szCs w:val="30"/>
        </w:rPr>
        <w:tab/>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赛项组别：高职组</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赛项归属产业：电子信息</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协办院校：河南经贸职业学院</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报到及住宿地点：另行通知。</w:t>
      </w:r>
    </w:p>
    <w:p>
      <w:pPr>
        <w:ind w:firstLine="600" w:firstLineChars="200"/>
        <w:rPr>
          <w:rFonts w:ascii="黑体" w:hAnsi="黑体" w:eastAsia="黑体"/>
          <w:bCs/>
          <w:color w:val="0D0D0D"/>
          <w:sz w:val="30"/>
          <w:szCs w:val="30"/>
        </w:rPr>
      </w:pPr>
      <w:r>
        <w:rPr>
          <w:rFonts w:hint="eastAsia" w:ascii="黑体" w:hAnsi="黑体" w:eastAsia="黑体"/>
          <w:bCs/>
          <w:color w:val="0D0D0D"/>
          <w:sz w:val="30"/>
          <w:szCs w:val="30"/>
        </w:rPr>
        <w:t>二、竞赛目的</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云计算”赛项为推进“云计算技术与应用”专业建设，引领相关专业课程改革创新，促进职业院校信息类相关专业建设，培养云计算相关技术技能型人才；产教融合、校企合作，通过赛项展示和提高教师的云计算教学科研能力，提升学生从事云计算相关岗位的适岗性，为“互联网+”国家战略和国家“智慧城市”规划提供云计算领域的高素质技能型人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云计算”赛项紧密结合我国云计算产业发展战略规划和云计算技术发展方向，贯彻国务院《关于促进云计算创新发展培育信息产业新业态的意见》和《关于促进大数据发展的行动纲要》中人才措施要求，针对高职“云计算技术与应用”专业建设和发展的需求，通过引入云平台、云服务、大数据和云应用开发等实际应用场景，全面考察高职学生云计算技术基础，云平台规划设计，云存储、云网络、云安全、云容器等云服务部署运维，云应用和大数据分析开发等前沿知识、技术技能和职业素养。</w:t>
      </w:r>
    </w:p>
    <w:p>
      <w:pPr>
        <w:ind w:firstLine="600" w:firstLineChars="200"/>
        <w:rPr>
          <w:rFonts w:ascii="黑体" w:hAnsi="黑体" w:eastAsia="黑体"/>
          <w:bCs/>
          <w:color w:val="0D0D0D"/>
          <w:sz w:val="30"/>
          <w:szCs w:val="30"/>
        </w:rPr>
      </w:pPr>
      <w:r>
        <w:rPr>
          <w:rFonts w:hint="eastAsia" w:ascii="黑体" w:hAnsi="黑体" w:eastAsia="黑体"/>
          <w:bCs/>
          <w:color w:val="0D0D0D"/>
          <w:sz w:val="30"/>
          <w:szCs w:val="30"/>
        </w:rPr>
        <w:t>三、竞赛内容</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竞赛内容：</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内容根据业务需求和实际的工程应用环境，实现云计算平台架构的规划设计，完成云计算平台网络基础设备、服务器、存储服务器的互联和配置，完成云计算基础架构平台、云计算开发服务平台等平台软件的部署、配置和管理，通过云平台实现大数据分析、云存储、软件定义网络等各类云应用部署、运维和开发，满足应用场景需求并提交标准化的工程工作总结报告。</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考核内容包括：</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业务需求和实际的工程应用环境，要求考生实现私有云平台架构的规划设计、完成私有云、容器云平台搭建与运维、公有云服务申请与使用、企业项目应用迁移上云规划设计与实施、调优等。竞赛涵盖如下内容：</w:t>
      </w:r>
    </w:p>
    <w:p>
      <w:pPr>
        <w:ind w:firstLine="600" w:firstLineChars="200"/>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（一）OpenStack平台搭建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根据要求，进行物理主机操作系统设置与管理，包括网络、存储、虚拟化和安全等，确保操作系统正常；检查交换机、服务器之间的连线，测试网络的连通性。</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准备工作，包括安装和配置 yum 源、ftp、ntp、http、RabbitMQ、</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MariaDB 数据库、MemCached、etcd 等服务。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编写（或提供的）安装脚本完成私有云平台的搭建，搭建完成后，检查各个组件的运行状态，能正确地使用私有云平台。</w:t>
      </w:r>
    </w:p>
    <w:p>
      <w:pPr>
        <w:ind w:firstLine="600" w:firstLineChars="200"/>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（二）OpenStack平台运维</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1.能够对云主机、云存储、云网络、云数据库、负载均衡和高可用等的运维管理。</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2.完成私有云组件的运维，包括Keystone、Glance、Nova、Neutron、Cinder、Swift、Ceph等组件。</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3.完成私有云上的应用项目部署，如搭建私有博客系统、搭建应用商城网站等。</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4.掌握私有云上各个服务的依赖关系与对应关系，能排除在使用过程中遇到的问题，确保私有云环境稳定、顺畅运行。</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5.掌握私有云上各个服务的依赖关系与对应关系，能排除在使用过程中遇到的问题，确保私有云环境稳定、顺畅运行。</w:t>
      </w:r>
    </w:p>
    <w:p>
      <w:pPr>
        <w:ind w:firstLine="600" w:firstLineChars="200"/>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（三）容器云平台搭建</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1.安装 Docker 服务，部署私有容器仓库，能熟练使用 Docker的各项命令。</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2.K8S平台的架构设计，容器环境准备，编写正确的模板文件，搭建K8S容器云平台。</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3.容器云平台的各项命令，能够检查容器云平台的运行状态，监控容器云平台的运行情况。</w:t>
      </w:r>
    </w:p>
    <w:p>
      <w:pPr>
        <w:ind w:firstLine="600" w:firstLineChars="200"/>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（四）容器云平台运维</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1.容器基础的运维操作，包括镜像、容器、仓库、网络等。</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2.编写Dockerfile和使用Commit等方式制作容器私有镜像。</w:t>
      </w:r>
    </w:p>
    <w:p>
      <w:pPr>
        <w:ind w:firstLine="600" w:firstLineChars="200"/>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（五）公有云应用部署</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1.公有云基础服务的申请操作与使用，包括云主机服务、云数据库服务、对象存储服务等。</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2.企业网站迁移上云，包括云主机、云数据库、对象存储与块存储服务、缓存服务、负载均衡等资源的申请，企业应用系统迁移到公有云。</w:t>
      </w:r>
    </w:p>
    <w:p>
      <w:pPr>
        <w:ind w:firstLine="600" w:firstLineChars="200"/>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（六）公有云应用运维</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1.利用负载均衡、弹性伸缩服务等对应用系统的架构进行升级，提升应用系统的性能。</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2.对基于混合云模式下企业级架构的应用系统，排查问题、提供高可用服务，并根据并发请求数扩展服务，提升应用系统的安全性、可靠性、可维护性等。</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竞赛在1天内完成，竞赛开始与结束时间为8:00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16:00，共计8小时，赛项总分100分。</w:t>
      </w:r>
    </w:p>
    <w:p>
      <w:pPr>
        <w:ind w:firstLine="600" w:firstLineChars="200"/>
        <w:rPr>
          <w:rFonts w:ascii="黑体" w:hAnsi="黑体" w:eastAsia="黑体"/>
          <w:bCs/>
          <w:color w:val="0D0D0D"/>
          <w:sz w:val="30"/>
          <w:szCs w:val="30"/>
        </w:rPr>
      </w:pPr>
      <w:bookmarkStart w:id="0" w:name="_Toc52618247"/>
      <w:bookmarkStart w:id="1" w:name="_Toc52618699"/>
      <w:bookmarkStart w:id="2" w:name="_Toc52618562"/>
      <w:bookmarkStart w:id="3" w:name="_Toc52626491"/>
      <w:r>
        <w:rPr>
          <w:rFonts w:hint="eastAsia" w:ascii="黑体" w:hAnsi="黑体" w:eastAsia="黑体"/>
          <w:bCs/>
          <w:color w:val="0D0D0D"/>
          <w:sz w:val="30"/>
          <w:szCs w:val="30"/>
        </w:rPr>
        <w:t>四、竞赛方式</w:t>
      </w:r>
      <w:bookmarkEnd w:id="0"/>
      <w:bookmarkEnd w:id="1"/>
      <w:bookmarkEnd w:id="2"/>
      <w:bookmarkEnd w:id="3"/>
    </w:p>
    <w:p>
      <w:pPr>
        <w:ind w:firstLine="600" w:firstLineChars="200"/>
        <w:jc w:val="left"/>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eastAsia="zh-TW"/>
        </w:rPr>
        <w:t>本赛项为个人赛，以院校为单位参赛，每个院校可派遣1支队伍参赛，每支参赛队由1名选手和1名指导教师组成。</w:t>
      </w:r>
    </w:p>
    <w:p>
      <w:pPr>
        <w:ind w:firstLine="600" w:firstLineChars="200"/>
        <w:jc w:val="left"/>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eastAsia="zh-TW"/>
        </w:rPr>
        <w:t>竞赛分为三个模块，其中私有云与Docker容器云搭建与运维模块竞赛时全程不开启互联网，只有当这两个部分全部提交成功后，由参赛人员申请裁判提供上网账号，公有云操作时将开启互联网，互联网开启以后其余非公有云部分不许答题。</w:t>
      </w:r>
    </w:p>
    <w:p>
      <w:pPr>
        <w:ind w:firstLine="600" w:firstLineChars="200"/>
        <w:jc w:val="left"/>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eastAsia="zh-TW"/>
        </w:rPr>
        <w:t>比赛形式以实践操作为主，采用个人的形式完成赛项任务，比赛成绩由竞赛系统自动评分和结果评分。</w:t>
      </w:r>
    </w:p>
    <w:p>
      <w:pPr>
        <w:ind w:firstLine="600" w:firstLineChars="200"/>
        <w:jc w:val="left"/>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eastAsia="zh-TW"/>
        </w:rPr>
        <w:t>抽签时间：竞赛的当天上午7:15。</w:t>
      </w:r>
    </w:p>
    <w:p>
      <w:pPr>
        <w:ind w:firstLine="600" w:firstLineChars="200"/>
        <w:jc w:val="left"/>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eastAsia="zh-TW"/>
        </w:rPr>
        <w:t>抽签原则：抽签按照相关要求进行，赛项当天进行两次加密，加密后参赛选手中途不得擅自离开赛场。分别由两组加密裁判组织实施加密工作，管理加密结果。监督员全程监督加密过程。</w:t>
      </w:r>
    </w:p>
    <w:p>
      <w:pPr>
        <w:ind w:firstLine="600" w:firstLineChars="200"/>
        <w:jc w:val="left"/>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eastAsia="zh-TW"/>
        </w:rPr>
        <w:t>1</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TW" w:eastAsia="zh-TW"/>
        </w:rPr>
        <w:t>第一组加密裁判，组织参赛队进行第一次抽签，抽签产生的参赛编号替换参赛队个人身份信息，填写一次加密记录表后，连同选手参赛证等个人身份信息证件，当即装入一次加密结果密封袋中单独保管。</w:t>
      </w:r>
    </w:p>
    <w:p>
      <w:pPr>
        <w:ind w:firstLine="600" w:firstLineChars="200"/>
        <w:jc w:val="left"/>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eastAsia="zh-TW"/>
        </w:rPr>
        <w:t>2</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TW" w:eastAsia="zh-TW"/>
        </w:rPr>
        <w:t>第二组加密裁判，组织参赛队进行第二次抽签，抽签产生的确定赛位号替换参赛队参赛编号，填写二次加密记录表后，连同选手参赛编号，当即装入二次加密结果密封袋中单独保管。</w:t>
      </w:r>
    </w:p>
    <w:p>
      <w:pPr>
        <w:ind w:firstLine="600" w:firstLineChars="200"/>
        <w:jc w:val="left"/>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eastAsia="zh-TW"/>
        </w:rPr>
        <w:t>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TW" w:eastAsia="zh-TW"/>
        </w:rPr>
        <w:t>所有加密结果密封袋的封条均需相应的加密裁判和监督人员签字。密封袋在监督人员监督下由加密裁判放置于保密室的保险柜中保存。</w:t>
      </w:r>
    </w:p>
    <w:p>
      <w:pPr>
        <w:ind w:firstLine="600" w:firstLineChars="200"/>
        <w:jc w:val="left"/>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eastAsia="zh-TW"/>
        </w:rPr>
        <w:t>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TW" w:eastAsia="zh-TW"/>
        </w:rPr>
        <w:t>参赛队选手凭赛位号进入赛场，不得携带其他显示个人身份信息和违规的物品。现场裁判负责引导参赛队至赛位前等待竞赛指令。比赛开始前，在没有裁判允许的情况下，严禁随意触碰竞赛设施和阅读试题内容。比赛中途不得离开赛场。</w:t>
      </w:r>
    </w:p>
    <w:p>
      <w:pPr>
        <w:ind w:firstLine="600" w:firstLineChars="200"/>
        <w:rPr>
          <w:rFonts w:ascii="黑体" w:hAnsi="黑体" w:eastAsia="黑体"/>
          <w:bCs/>
          <w:color w:val="0D0D0D"/>
          <w:sz w:val="30"/>
          <w:szCs w:val="30"/>
          <w:lang w:val="zh-TW" w:eastAsia="zh-TW"/>
        </w:rPr>
      </w:pPr>
      <w:r>
        <w:rPr>
          <w:rFonts w:hint="eastAsia" w:ascii="黑体" w:hAnsi="黑体" w:eastAsia="黑体"/>
          <w:bCs/>
          <w:color w:val="0D0D0D"/>
          <w:sz w:val="30"/>
          <w:szCs w:val="30"/>
          <w:lang w:val="zh-TW"/>
        </w:rPr>
        <w:t>五、</w:t>
      </w:r>
      <w:r>
        <w:rPr>
          <w:rFonts w:hint="eastAsia" w:ascii="黑体" w:hAnsi="黑体" w:eastAsia="黑体"/>
          <w:bCs/>
          <w:color w:val="0D0D0D"/>
          <w:sz w:val="30"/>
          <w:szCs w:val="30"/>
          <w:lang w:val="zh-TW" w:eastAsia="zh-CN"/>
        </w:rPr>
        <w:t>参赛报名</w:t>
      </w:r>
      <w:r>
        <w:rPr>
          <w:rFonts w:hint="eastAsia" w:ascii="黑体" w:hAnsi="黑体" w:eastAsia="黑体"/>
          <w:bCs/>
          <w:color w:val="0D0D0D"/>
          <w:sz w:val="30"/>
          <w:szCs w:val="30"/>
          <w:lang w:val="zh-TW"/>
        </w:rPr>
        <w:t>及时间安排</w:t>
      </w:r>
    </w:p>
    <w:p>
      <w:pPr>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lang w:val="zh-TW" w:eastAsia="zh-TW"/>
        </w:rPr>
        <w:t>（一）参赛报名</w:t>
      </w:r>
    </w:p>
    <w:p>
      <w:pPr>
        <w:ind w:firstLine="600" w:firstLineChars="200"/>
        <w:jc w:val="left"/>
        <w:rPr>
          <w:rFonts w:ascii="仿宋_GB2312" w:hAnsi="仿宋_GB2312" w:eastAsia="仿宋_GB2312" w:cs="仿宋_GB2312"/>
          <w:sz w:val="30"/>
          <w:szCs w:val="30"/>
          <w:lang w:val="zh-TW" w:eastAsia="zh-TW"/>
        </w:rPr>
      </w:pPr>
      <w:r>
        <w:rPr>
          <w:rFonts w:hint="eastAsia" w:ascii="仿宋_GB2312" w:hAnsi="仿宋_GB2312" w:eastAsia="仿宋_GB2312" w:cs="仿宋_GB2312"/>
          <w:sz w:val="30"/>
          <w:szCs w:val="30"/>
          <w:lang w:val="zh-TW" w:eastAsia="zh-TW"/>
        </w:rPr>
        <w:t>1.参赛院校须于11月</w:t>
      </w:r>
      <w:r>
        <w:rPr>
          <w:rFonts w:hint="eastAsia" w:ascii="仿宋_GB2312" w:hAnsi="仿宋_GB2312" w:eastAsia="仿宋_GB2312" w:cs="仿宋_GB2312"/>
          <w:sz w:val="30"/>
          <w:szCs w:val="30"/>
          <w:lang w:val="en-US" w:eastAsia="zh-CN"/>
        </w:rPr>
        <w:t>16</w:t>
      </w:r>
      <w:r>
        <w:rPr>
          <w:rFonts w:hint="eastAsia" w:ascii="仿宋_GB2312" w:hAnsi="仿宋_GB2312" w:eastAsia="仿宋_GB2312" w:cs="仿宋_GB2312"/>
          <w:sz w:val="30"/>
          <w:szCs w:val="30"/>
          <w:lang w:val="zh-TW" w:eastAsia="zh-TW"/>
        </w:rPr>
        <w:t>日前登录河南省高职院校技能大赛报名系统（http://39.105.49.188/</w:t>
      </w:r>
      <w:r>
        <w:fldChar w:fldCharType="begin"/>
      </w:r>
      <w:r>
        <w:instrText xml:space="preserve"> HYPERLINK "http://39.105.49.188/" </w:instrText>
      </w:r>
      <w:r>
        <w:fldChar w:fldCharType="separate"/>
      </w:r>
      <w:r>
        <w:fldChar w:fldCharType="end"/>
      </w:r>
      <w:r>
        <w:rPr>
          <w:rFonts w:hint="eastAsia" w:ascii="仿宋_GB2312" w:hAnsi="仿宋_GB2312" w:eastAsia="仿宋_GB2312" w:cs="仿宋_GB2312"/>
          <w:sz w:val="30"/>
          <w:szCs w:val="30"/>
          <w:lang w:val="zh-TW" w:eastAsia="zh-TW"/>
        </w:rPr>
        <w:t>），按要求填报并提交参赛信息。</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2.各参赛校以学校为单位注册报名平台，专人负责报名工作。（技术支持：郭威，电话：13643997008）。</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3.提交报名信息后，参赛院校从系统导出报名表、赛项汇总表，连同参赛选手身份证复印件、学信网“教育部学籍在线验证报告”</w:t>
      </w:r>
      <w:r>
        <w:rPr>
          <w:rFonts w:hint="eastAsia" w:ascii="仿宋_GB2312" w:hAnsi="仿宋_GB2312" w:eastAsia="仿宋_GB2312" w:cs="仿宋_GB2312"/>
          <w:sz w:val="30"/>
          <w:szCs w:val="30"/>
          <w:lang w:eastAsia="zh-CN"/>
        </w:rPr>
        <w:t>或</w:t>
      </w:r>
      <w:r>
        <w:rPr>
          <w:rFonts w:hint="eastAsia" w:ascii="仿宋_GB2312" w:hAnsi="仿宋_GB2312" w:eastAsia="仿宋_GB2312" w:cs="仿宋_GB2312"/>
          <w:sz w:val="30"/>
          <w:szCs w:val="30"/>
        </w:rPr>
        <w:t>省招办录取名册复印件各1份并加盖公章报送或邮寄至协办学校（河南经贸职业学院）。纸质报名材料接收截止时间为</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日，以邮戳时间为准。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邮寄地址：河南省郑州市金水区龙子湖高校园区龙子湖北路58号河南经贸职业学院；邮编：450046；联系人：余勇；联系电话：18638128335。</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4.协办学校收到纸质报名材料，按国赛的要求认真审核参赛选手和指导教师资格，审核通过报名成功。</w:t>
      </w:r>
    </w:p>
    <w:p>
      <w:pPr>
        <w:ind w:firstLine="600" w:firstLineChars="200"/>
        <w:jc w:val="left"/>
        <w:rPr>
          <w:rFonts w:hint="eastAsia" w:ascii="楷体_GB2312" w:hAnsi="楷体_GB2312" w:eastAsia="楷体_GB2312" w:cs="楷体_GB2312"/>
          <w:sz w:val="30"/>
          <w:szCs w:val="30"/>
          <w:lang w:val="zh-TW" w:eastAsia="zh-CN"/>
        </w:rPr>
      </w:pP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zh-TW"/>
        </w:rPr>
        <w:t>二</w:t>
      </w: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zh-TW" w:eastAsia="zh-CN"/>
        </w:rPr>
        <w:t>时间安排</w:t>
      </w:r>
    </w:p>
    <w:p>
      <w:pPr>
        <w:ind w:firstLine="600" w:firstLineChars="200"/>
        <w:jc w:val="left"/>
        <w:rPr>
          <w:rFonts w:hint="eastAsia" w:ascii="仿宋_GB2312" w:hAnsi="仿宋_GB2312" w:eastAsia="仿宋_GB2312" w:cs="仿宋_GB2312"/>
          <w:b/>
          <w:bCs/>
          <w:sz w:val="30"/>
          <w:szCs w:val="30"/>
          <w:lang w:val="zh-TW" w:eastAsia="zh-TW"/>
        </w:rPr>
      </w:pPr>
      <w:r>
        <w:rPr>
          <w:rFonts w:hint="eastAsia" w:ascii="仿宋_GB2312" w:hAnsi="仿宋_GB2312" w:eastAsia="仿宋_GB2312" w:cs="仿宋_GB2312"/>
          <w:sz w:val="30"/>
          <w:szCs w:val="30"/>
          <w:lang w:eastAsia="zh-CN"/>
        </w:rPr>
        <w:t>比赛时间：</w:t>
      </w:r>
      <w:r>
        <w:rPr>
          <w:rFonts w:hint="eastAsia" w:ascii="仿宋_GB2312" w:hAnsi="仿宋_GB2312" w:eastAsia="仿宋_GB2312" w:cs="仿宋_GB2312"/>
          <w:sz w:val="30"/>
          <w:szCs w:val="30"/>
        </w:rPr>
        <w:t>2020年12月11日报到，2020年12月12日—12月13日。</w:t>
      </w:r>
      <w:r>
        <w:rPr>
          <w:rFonts w:hint="eastAsia" w:ascii="仿宋_GB2312" w:hAnsi="仿宋_GB2312" w:eastAsia="仿宋_GB2312" w:cs="仿宋_GB2312"/>
          <w:sz w:val="30"/>
          <w:szCs w:val="30"/>
          <w:lang w:val="zh-TW"/>
        </w:rPr>
        <w:t>竞赛日程</w:t>
      </w:r>
      <w:r>
        <w:rPr>
          <w:rFonts w:hint="eastAsia" w:ascii="仿宋_GB2312" w:hAnsi="仿宋_GB2312" w:eastAsia="仿宋_GB2312" w:cs="仿宋_GB2312"/>
          <w:sz w:val="30"/>
          <w:szCs w:val="30"/>
          <w:lang w:val="zh-TW" w:eastAsia="zh-TW"/>
        </w:rPr>
        <w:t>见下表</w:t>
      </w:r>
      <w:r>
        <w:rPr>
          <w:rFonts w:hint="eastAsia" w:ascii="仿宋_GB2312" w:hAnsi="仿宋_GB2312" w:eastAsia="仿宋_GB2312" w:cs="仿宋_GB2312"/>
          <w:sz w:val="30"/>
          <w:szCs w:val="30"/>
          <w:lang w:val="zh-TW" w:eastAsia="zh-CN"/>
        </w:rPr>
        <w:t>。</w:t>
      </w:r>
    </w:p>
    <w:p>
      <w:pPr>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zh-TW" w:eastAsia="zh-CN"/>
        </w:rPr>
        <w:t>比赛</w:t>
      </w:r>
      <w:r>
        <w:rPr>
          <w:rFonts w:hint="eastAsia" w:ascii="仿宋_GB2312" w:hAnsi="仿宋_GB2312" w:eastAsia="仿宋_GB2312" w:cs="仿宋_GB2312"/>
          <w:b/>
          <w:bCs/>
          <w:sz w:val="30"/>
          <w:szCs w:val="30"/>
          <w:lang w:val="zh-TW" w:eastAsia="zh-TW"/>
        </w:rPr>
        <w:t>日程</w:t>
      </w:r>
    </w:p>
    <w:tbl>
      <w:tblPr>
        <w:tblStyle w:val="10"/>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2177"/>
        <w:gridCol w:w="5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36" w:type="dxa"/>
            <w:tcBorders>
              <w:bottom w:val="single" w:color="auto" w:sz="4" w:space="0"/>
            </w:tcBorders>
            <w:vAlign w:val="center"/>
          </w:tcPr>
          <w:p>
            <w:pPr>
              <w:autoSpaceDE w:val="0"/>
              <w:autoSpaceDN w:val="0"/>
              <w:jc w:val="center"/>
              <w:rPr>
                <w:rFonts w:ascii="黑体" w:hAnsi="黑体" w:eastAsia="黑体" w:cs="黑体"/>
                <w:kern w:val="0"/>
                <w:sz w:val="24"/>
                <w:szCs w:val="24"/>
              </w:rPr>
            </w:pPr>
            <w:r>
              <w:rPr>
                <w:rFonts w:hint="eastAsia" w:ascii="黑体" w:hAnsi="黑体" w:eastAsia="黑体" w:cs="黑体"/>
                <w:kern w:val="0"/>
                <w:sz w:val="24"/>
                <w:szCs w:val="24"/>
              </w:rPr>
              <w:t>日期</w:t>
            </w:r>
          </w:p>
        </w:tc>
        <w:tc>
          <w:tcPr>
            <w:tcW w:w="2177" w:type="dxa"/>
            <w:vAlign w:val="center"/>
          </w:tcPr>
          <w:p>
            <w:pPr>
              <w:autoSpaceDE w:val="0"/>
              <w:autoSpaceDN w:val="0"/>
              <w:jc w:val="center"/>
              <w:rPr>
                <w:rFonts w:ascii="黑体" w:hAnsi="黑体" w:eastAsia="黑体" w:cs="黑体"/>
                <w:kern w:val="0"/>
                <w:sz w:val="24"/>
                <w:szCs w:val="24"/>
              </w:rPr>
            </w:pPr>
            <w:r>
              <w:rPr>
                <w:rFonts w:hint="eastAsia" w:ascii="黑体" w:hAnsi="黑体" w:eastAsia="黑体" w:cs="黑体"/>
                <w:kern w:val="0"/>
                <w:sz w:val="24"/>
                <w:szCs w:val="24"/>
              </w:rPr>
              <w:t>时间</w:t>
            </w:r>
          </w:p>
        </w:tc>
        <w:tc>
          <w:tcPr>
            <w:tcW w:w="5343" w:type="dxa"/>
            <w:vAlign w:val="center"/>
          </w:tcPr>
          <w:p>
            <w:pPr>
              <w:autoSpaceDE w:val="0"/>
              <w:autoSpaceDN w:val="0"/>
              <w:jc w:val="center"/>
              <w:rPr>
                <w:rFonts w:ascii="黑体" w:hAnsi="黑体" w:eastAsia="黑体" w:cs="黑体"/>
                <w:kern w:val="0"/>
                <w:sz w:val="24"/>
                <w:szCs w:val="24"/>
              </w:rPr>
            </w:pPr>
            <w:r>
              <w:rPr>
                <w:rFonts w:hint="eastAsia" w:ascii="黑体" w:hAnsi="黑体" w:eastAsia="黑体" w:cs="黑体"/>
                <w:kern w:val="0"/>
                <w:sz w:val="24"/>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36"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12月11日</w:t>
            </w:r>
          </w:p>
        </w:tc>
        <w:tc>
          <w:tcPr>
            <w:tcW w:w="217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12：00前</w:t>
            </w:r>
          </w:p>
        </w:tc>
        <w:tc>
          <w:tcPr>
            <w:tcW w:w="534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报到登记,领取物品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36" w:type="dxa"/>
            <w:vMerge w:val="continue"/>
            <w:tcBorders>
              <w:top w:val="nil"/>
              <w:left w:val="single" w:color="auto" w:sz="4" w:space="0"/>
              <w:right w:val="single" w:color="auto" w:sz="4" w:space="0"/>
            </w:tcBorders>
            <w:shd w:val="clear" w:color="auto" w:fill="auto"/>
          </w:tcPr>
          <w:p>
            <w:pPr>
              <w:autoSpaceDE w:val="0"/>
              <w:autoSpaceDN w:val="0"/>
              <w:jc w:val="center"/>
              <w:rPr>
                <w:rFonts w:ascii="仿宋_GB2312" w:hAnsi="仿宋_GB2312" w:eastAsia="仿宋_GB2312" w:cs="仿宋_GB2312"/>
                <w:color w:val="000000"/>
                <w:kern w:val="0"/>
                <w:sz w:val="24"/>
                <w:szCs w:val="24"/>
              </w:rPr>
            </w:pPr>
          </w:p>
        </w:tc>
        <w:tc>
          <w:tcPr>
            <w:tcW w:w="217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14：30-15：00</w:t>
            </w:r>
          </w:p>
        </w:tc>
        <w:tc>
          <w:tcPr>
            <w:tcW w:w="534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到比赛场地参加比赛说明会及熟悉场地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36" w:type="dxa"/>
            <w:vMerge w:val="continue"/>
            <w:tcBorders>
              <w:top w:val="nil"/>
              <w:left w:val="single" w:color="auto" w:sz="4" w:space="0"/>
              <w:right w:val="single" w:color="auto" w:sz="4" w:space="0"/>
            </w:tcBorders>
            <w:shd w:val="clear" w:color="auto" w:fill="auto"/>
          </w:tcPr>
          <w:p>
            <w:pPr>
              <w:autoSpaceDE w:val="0"/>
              <w:autoSpaceDN w:val="0"/>
              <w:jc w:val="center"/>
              <w:rPr>
                <w:rFonts w:ascii="仿宋_GB2312" w:hAnsi="仿宋_GB2312" w:eastAsia="仿宋_GB2312" w:cs="仿宋_GB2312"/>
                <w:color w:val="000000"/>
                <w:kern w:val="0"/>
                <w:sz w:val="24"/>
                <w:szCs w:val="24"/>
              </w:rPr>
            </w:pPr>
          </w:p>
        </w:tc>
        <w:tc>
          <w:tcPr>
            <w:tcW w:w="217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15：00-15：30</w:t>
            </w:r>
          </w:p>
        </w:tc>
        <w:tc>
          <w:tcPr>
            <w:tcW w:w="534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比赛说明会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36" w:type="dxa"/>
            <w:vMerge w:val="continue"/>
            <w:tcBorders>
              <w:top w:val="nil"/>
              <w:left w:val="single" w:color="auto" w:sz="4" w:space="0"/>
              <w:right w:val="single" w:color="auto" w:sz="4" w:space="0"/>
            </w:tcBorders>
            <w:shd w:val="clear" w:color="auto" w:fill="auto"/>
          </w:tcPr>
          <w:p>
            <w:pPr>
              <w:autoSpaceDE w:val="0"/>
              <w:autoSpaceDN w:val="0"/>
              <w:jc w:val="center"/>
              <w:rPr>
                <w:rFonts w:ascii="仿宋_GB2312" w:hAnsi="仿宋_GB2312" w:eastAsia="仿宋_GB2312" w:cs="仿宋_GB2312"/>
                <w:color w:val="000000"/>
                <w:kern w:val="0"/>
                <w:sz w:val="24"/>
                <w:szCs w:val="24"/>
              </w:rPr>
            </w:pPr>
          </w:p>
        </w:tc>
        <w:tc>
          <w:tcPr>
            <w:tcW w:w="217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15：30-16：30</w:t>
            </w:r>
          </w:p>
        </w:tc>
        <w:tc>
          <w:tcPr>
            <w:tcW w:w="534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熟悉赛场环境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36" w:type="dxa"/>
            <w:vMerge w:val="continue"/>
            <w:tcBorders>
              <w:top w:val="nil"/>
              <w:left w:val="single" w:color="auto" w:sz="4" w:space="0"/>
              <w:bottom w:val="single" w:color="auto" w:sz="4" w:space="0"/>
              <w:right w:val="single" w:color="auto" w:sz="4" w:space="0"/>
            </w:tcBorders>
            <w:shd w:val="clear" w:color="auto" w:fill="auto"/>
          </w:tcPr>
          <w:p>
            <w:pPr>
              <w:autoSpaceDE w:val="0"/>
              <w:autoSpaceDN w:val="0"/>
              <w:jc w:val="center"/>
              <w:rPr>
                <w:rFonts w:ascii="仿宋_GB2312" w:hAnsi="仿宋_GB2312" w:eastAsia="仿宋_GB2312" w:cs="仿宋_GB2312"/>
                <w:color w:val="000000"/>
                <w:kern w:val="0"/>
                <w:sz w:val="24"/>
                <w:szCs w:val="24"/>
              </w:rPr>
            </w:pPr>
          </w:p>
        </w:tc>
        <w:tc>
          <w:tcPr>
            <w:tcW w:w="217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16：40</w:t>
            </w:r>
          </w:p>
        </w:tc>
        <w:tc>
          <w:tcPr>
            <w:tcW w:w="534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返回酒店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36" w:type="dxa"/>
            <w:vMerge w:val="restart"/>
            <w:tcBorders>
              <w:top w:val="nil"/>
              <w:left w:val="single" w:color="auto" w:sz="4" w:space="0"/>
              <w:right w:val="single" w:color="auto" w:sz="4" w:space="0"/>
            </w:tcBorders>
            <w:shd w:val="clear" w:color="auto" w:fill="auto"/>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12月12日</w:t>
            </w:r>
          </w:p>
        </w:tc>
        <w:tc>
          <w:tcPr>
            <w:tcW w:w="217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6:50</w:t>
            </w:r>
          </w:p>
        </w:tc>
        <w:tc>
          <w:tcPr>
            <w:tcW w:w="534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到达比赛场地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36" w:type="dxa"/>
            <w:vMerge w:val="continue"/>
            <w:tcBorders>
              <w:top w:val="nil"/>
              <w:left w:val="single" w:color="auto" w:sz="4" w:space="0"/>
              <w:right w:val="single" w:color="auto" w:sz="4" w:space="0"/>
            </w:tcBorders>
            <w:shd w:val="clear" w:color="auto" w:fill="auto"/>
          </w:tcPr>
          <w:p>
            <w:pPr>
              <w:autoSpaceDE w:val="0"/>
              <w:autoSpaceDN w:val="0"/>
              <w:jc w:val="center"/>
              <w:rPr>
                <w:rFonts w:ascii="仿宋_GB2312" w:hAnsi="仿宋_GB2312" w:eastAsia="仿宋_GB2312" w:cs="仿宋_GB2312"/>
                <w:color w:val="000000"/>
                <w:kern w:val="0"/>
                <w:sz w:val="24"/>
                <w:szCs w:val="24"/>
              </w:rPr>
            </w:pPr>
          </w:p>
        </w:tc>
        <w:tc>
          <w:tcPr>
            <w:tcW w:w="217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7：00-7：15</w:t>
            </w:r>
          </w:p>
        </w:tc>
        <w:tc>
          <w:tcPr>
            <w:tcW w:w="534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参赛队员检录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36" w:type="dxa"/>
            <w:vMerge w:val="continue"/>
            <w:tcBorders>
              <w:top w:val="nil"/>
              <w:left w:val="single" w:color="auto" w:sz="4" w:space="0"/>
              <w:right w:val="single" w:color="auto" w:sz="4" w:space="0"/>
            </w:tcBorders>
            <w:shd w:val="clear" w:color="auto" w:fill="auto"/>
          </w:tcPr>
          <w:p>
            <w:pPr>
              <w:autoSpaceDE w:val="0"/>
              <w:autoSpaceDN w:val="0"/>
              <w:jc w:val="center"/>
              <w:rPr>
                <w:rFonts w:ascii="仿宋_GB2312" w:hAnsi="仿宋_GB2312" w:eastAsia="仿宋_GB2312" w:cs="仿宋_GB2312"/>
                <w:color w:val="000000"/>
                <w:kern w:val="0"/>
                <w:sz w:val="24"/>
                <w:szCs w:val="24"/>
              </w:rPr>
            </w:pPr>
          </w:p>
        </w:tc>
        <w:tc>
          <w:tcPr>
            <w:tcW w:w="217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7：15-7：30</w:t>
            </w:r>
          </w:p>
        </w:tc>
        <w:tc>
          <w:tcPr>
            <w:tcW w:w="534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抽取参赛队号</w:t>
            </w:r>
          </w:p>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（一次抽签加密）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36" w:type="dxa"/>
            <w:vMerge w:val="continue"/>
            <w:tcBorders>
              <w:top w:val="nil"/>
              <w:left w:val="single" w:color="auto" w:sz="4" w:space="0"/>
              <w:right w:val="single" w:color="auto" w:sz="4" w:space="0"/>
            </w:tcBorders>
            <w:shd w:val="clear" w:color="auto" w:fill="auto"/>
          </w:tcPr>
          <w:p>
            <w:pPr>
              <w:autoSpaceDE w:val="0"/>
              <w:autoSpaceDN w:val="0"/>
              <w:jc w:val="center"/>
              <w:rPr>
                <w:rFonts w:ascii="仿宋_GB2312" w:hAnsi="仿宋_GB2312" w:eastAsia="仿宋_GB2312" w:cs="仿宋_GB2312"/>
                <w:color w:val="000000"/>
                <w:kern w:val="0"/>
                <w:sz w:val="24"/>
                <w:szCs w:val="24"/>
              </w:rPr>
            </w:pPr>
          </w:p>
        </w:tc>
        <w:tc>
          <w:tcPr>
            <w:tcW w:w="217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7：30-7：40</w:t>
            </w:r>
          </w:p>
        </w:tc>
        <w:tc>
          <w:tcPr>
            <w:tcW w:w="534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抽取工位号</w:t>
            </w:r>
          </w:p>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（二次抽签加密）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36" w:type="dxa"/>
            <w:vMerge w:val="continue"/>
            <w:tcBorders>
              <w:top w:val="nil"/>
              <w:left w:val="single" w:color="auto" w:sz="4" w:space="0"/>
              <w:right w:val="single" w:color="auto" w:sz="4" w:space="0"/>
            </w:tcBorders>
            <w:shd w:val="clear" w:color="auto" w:fill="auto"/>
          </w:tcPr>
          <w:p>
            <w:pPr>
              <w:autoSpaceDE w:val="0"/>
              <w:autoSpaceDN w:val="0"/>
              <w:jc w:val="center"/>
              <w:rPr>
                <w:rFonts w:ascii="仿宋_GB2312" w:hAnsi="仿宋_GB2312" w:eastAsia="仿宋_GB2312" w:cs="仿宋_GB2312"/>
                <w:color w:val="000000"/>
                <w:kern w:val="0"/>
                <w:sz w:val="24"/>
                <w:szCs w:val="24"/>
              </w:rPr>
            </w:pPr>
          </w:p>
        </w:tc>
        <w:tc>
          <w:tcPr>
            <w:tcW w:w="217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7：40-7：50</w:t>
            </w:r>
          </w:p>
        </w:tc>
        <w:tc>
          <w:tcPr>
            <w:tcW w:w="534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各参赛队检查仪器设备并确认签字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36" w:type="dxa"/>
            <w:vMerge w:val="continue"/>
            <w:tcBorders>
              <w:top w:val="nil"/>
              <w:left w:val="single" w:color="auto" w:sz="4" w:space="0"/>
              <w:right w:val="single" w:color="auto" w:sz="4" w:space="0"/>
            </w:tcBorders>
            <w:shd w:val="clear" w:color="auto" w:fill="auto"/>
          </w:tcPr>
          <w:p>
            <w:pPr>
              <w:autoSpaceDE w:val="0"/>
              <w:autoSpaceDN w:val="0"/>
              <w:jc w:val="center"/>
              <w:rPr>
                <w:rFonts w:ascii="仿宋_GB2312" w:hAnsi="仿宋_GB2312" w:eastAsia="仿宋_GB2312" w:cs="仿宋_GB2312"/>
                <w:color w:val="000000"/>
                <w:kern w:val="0"/>
                <w:sz w:val="24"/>
                <w:szCs w:val="24"/>
              </w:rPr>
            </w:pPr>
          </w:p>
        </w:tc>
        <w:tc>
          <w:tcPr>
            <w:tcW w:w="217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7：50-7：55</w:t>
            </w:r>
          </w:p>
        </w:tc>
        <w:tc>
          <w:tcPr>
            <w:tcW w:w="534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裁判检查赛场纪律并讲解注意事项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36" w:type="dxa"/>
            <w:vMerge w:val="continue"/>
            <w:tcBorders>
              <w:top w:val="nil"/>
              <w:left w:val="single" w:color="auto" w:sz="4" w:space="0"/>
              <w:right w:val="single" w:color="auto" w:sz="4" w:space="0"/>
            </w:tcBorders>
            <w:shd w:val="clear" w:color="auto" w:fill="auto"/>
          </w:tcPr>
          <w:p>
            <w:pPr>
              <w:autoSpaceDE w:val="0"/>
              <w:autoSpaceDN w:val="0"/>
              <w:jc w:val="center"/>
              <w:rPr>
                <w:rFonts w:ascii="仿宋_GB2312" w:hAnsi="仿宋_GB2312" w:eastAsia="仿宋_GB2312" w:cs="仿宋_GB2312"/>
                <w:color w:val="000000"/>
                <w:kern w:val="0"/>
                <w:sz w:val="24"/>
                <w:szCs w:val="24"/>
              </w:rPr>
            </w:pPr>
          </w:p>
        </w:tc>
        <w:tc>
          <w:tcPr>
            <w:tcW w:w="217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7：55-8：00</w:t>
            </w:r>
          </w:p>
        </w:tc>
        <w:tc>
          <w:tcPr>
            <w:tcW w:w="534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发放赛题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36" w:type="dxa"/>
            <w:vMerge w:val="continue"/>
            <w:tcBorders>
              <w:top w:val="nil"/>
              <w:left w:val="single" w:color="auto" w:sz="4" w:space="0"/>
              <w:right w:val="single" w:color="auto" w:sz="4" w:space="0"/>
            </w:tcBorders>
            <w:shd w:val="clear" w:color="auto" w:fill="auto"/>
          </w:tcPr>
          <w:p>
            <w:pPr>
              <w:autoSpaceDE w:val="0"/>
              <w:autoSpaceDN w:val="0"/>
              <w:jc w:val="center"/>
              <w:rPr>
                <w:rFonts w:ascii="仿宋_GB2312" w:hAnsi="仿宋_GB2312" w:eastAsia="仿宋_GB2312" w:cs="仿宋_GB2312"/>
                <w:color w:val="000000"/>
                <w:kern w:val="0"/>
                <w:sz w:val="24"/>
                <w:szCs w:val="24"/>
              </w:rPr>
            </w:pPr>
          </w:p>
        </w:tc>
        <w:tc>
          <w:tcPr>
            <w:tcW w:w="217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8：00-16:00</w:t>
            </w:r>
          </w:p>
        </w:tc>
        <w:tc>
          <w:tcPr>
            <w:tcW w:w="534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36" w:type="dxa"/>
            <w:vMerge w:val="continue"/>
            <w:tcBorders>
              <w:top w:val="nil"/>
              <w:left w:val="single" w:color="auto" w:sz="4" w:space="0"/>
              <w:right w:val="single" w:color="auto" w:sz="4" w:space="0"/>
            </w:tcBorders>
            <w:shd w:val="clear" w:color="auto" w:fill="auto"/>
          </w:tcPr>
          <w:p>
            <w:pPr>
              <w:autoSpaceDE w:val="0"/>
              <w:autoSpaceDN w:val="0"/>
              <w:jc w:val="center"/>
              <w:rPr>
                <w:rFonts w:ascii="仿宋_GB2312" w:hAnsi="仿宋_GB2312" w:eastAsia="仿宋_GB2312" w:cs="仿宋_GB2312"/>
                <w:color w:val="000000"/>
                <w:kern w:val="0"/>
                <w:sz w:val="24"/>
                <w:szCs w:val="24"/>
              </w:rPr>
            </w:pPr>
          </w:p>
        </w:tc>
        <w:tc>
          <w:tcPr>
            <w:tcW w:w="217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16：00-17：00</w:t>
            </w:r>
          </w:p>
        </w:tc>
        <w:tc>
          <w:tcPr>
            <w:tcW w:w="534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申诉受理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36" w:type="dxa"/>
            <w:vMerge w:val="continue"/>
            <w:tcBorders>
              <w:top w:val="nil"/>
              <w:left w:val="single" w:color="auto" w:sz="4" w:space="0"/>
              <w:bottom w:val="nil"/>
              <w:right w:val="single" w:color="auto" w:sz="4" w:space="0"/>
            </w:tcBorders>
            <w:shd w:val="clear" w:color="auto" w:fill="auto"/>
          </w:tcPr>
          <w:p>
            <w:pPr>
              <w:autoSpaceDE w:val="0"/>
              <w:autoSpaceDN w:val="0"/>
              <w:jc w:val="center"/>
              <w:rPr>
                <w:rFonts w:ascii="仿宋_GB2312" w:hAnsi="仿宋_GB2312" w:eastAsia="仿宋_GB2312" w:cs="仿宋_GB2312"/>
                <w:color w:val="000000"/>
                <w:kern w:val="0"/>
                <w:sz w:val="24"/>
                <w:szCs w:val="24"/>
              </w:rPr>
            </w:pPr>
          </w:p>
        </w:tc>
        <w:tc>
          <w:tcPr>
            <w:tcW w:w="217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17：00-21：00</w:t>
            </w:r>
          </w:p>
        </w:tc>
        <w:tc>
          <w:tcPr>
            <w:tcW w:w="534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36" w:type="dxa"/>
            <w:vMerge w:val="restart"/>
            <w:tcBorders>
              <w:top w:val="single" w:color="000000" w:sz="4" w:space="0"/>
              <w:left w:val="single" w:color="000000" w:sz="4" w:space="0"/>
              <w:right w:val="single" w:color="auto" w:sz="4" w:space="0"/>
            </w:tcBorders>
            <w:shd w:val="clear" w:color="auto" w:fill="auto"/>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12月13日</w:t>
            </w:r>
          </w:p>
        </w:tc>
        <w:tc>
          <w:tcPr>
            <w:tcW w:w="2177" w:type="dxa"/>
            <w:tcBorders>
              <w:top w:val="single" w:color="000000" w:sz="4" w:space="0"/>
              <w:left w:val="single" w:color="auto" w:sz="4" w:space="0"/>
              <w:bottom w:val="single" w:color="000000"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8：00-9:00</w:t>
            </w:r>
          </w:p>
        </w:tc>
        <w:tc>
          <w:tcPr>
            <w:tcW w:w="534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发布成绩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536" w:type="dxa"/>
            <w:vMerge w:val="continue"/>
            <w:tcBorders>
              <w:left w:val="single" w:color="000000" w:sz="4" w:space="0"/>
              <w:right w:val="single" w:color="auto" w:sz="4" w:space="0"/>
            </w:tcBorders>
            <w:shd w:val="clear" w:color="auto" w:fill="auto"/>
          </w:tcPr>
          <w:p>
            <w:pPr>
              <w:autoSpaceDE w:val="0"/>
              <w:autoSpaceDN w:val="0"/>
              <w:jc w:val="center"/>
              <w:rPr>
                <w:rFonts w:ascii="仿宋_GB2312" w:hAnsi="仿宋_GB2312" w:eastAsia="仿宋_GB2312" w:cs="仿宋_GB2312"/>
                <w:color w:val="000000"/>
                <w:kern w:val="0"/>
                <w:sz w:val="24"/>
                <w:szCs w:val="24"/>
              </w:rPr>
            </w:pPr>
          </w:p>
        </w:tc>
        <w:tc>
          <w:tcPr>
            <w:tcW w:w="2177" w:type="dxa"/>
            <w:tcBorders>
              <w:top w:val="single" w:color="000000" w:sz="4" w:space="0"/>
              <w:left w:val="single" w:color="auto" w:sz="4" w:space="0"/>
              <w:bottom w:val="single" w:color="000000" w:sz="4" w:space="0"/>
              <w:right w:val="single" w:color="auto"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9：30-11:00</w:t>
            </w:r>
          </w:p>
        </w:tc>
        <w:tc>
          <w:tcPr>
            <w:tcW w:w="5343" w:type="dxa"/>
            <w:tcBorders>
              <w:top w:val="single" w:color="000000" w:sz="4" w:space="0"/>
              <w:left w:val="single" w:color="auto" w:sz="4" w:space="0"/>
              <w:bottom w:val="single" w:color="000000" w:sz="4" w:space="0"/>
              <w:right w:val="single" w:color="000000" w:sz="4" w:space="0"/>
            </w:tcBorders>
            <w:vAlign w:val="center"/>
          </w:tcPr>
          <w:p>
            <w:pPr>
              <w:autoSpaceDE w:val="0"/>
              <w:autoSpaceDN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闭幕式</w:t>
            </w:r>
          </w:p>
        </w:tc>
      </w:tr>
    </w:tbl>
    <w:p>
      <w:pPr>
        <w:ind w:firstLine="600" w:firstLineChars="200"/>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（三）竞赛流程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竞赛流程如下图：</w:t>
      </w:r>
    </w:p>
    <w:p>
      <w:pPr>
        <w:ind w:firstLine="600" w:firstLineChars="200"/>
        <w:rPr>
          <w:rFonts w:ascii="黑体" w:hAnsi="黑体" w:eastAsia="黑体"/>
          <w:bCs/>
          <w:color w:val="0D0D0D"/>
          <w:sz w:val="30"/>
          <w:szCs w:val="30"/>
        </w:rPr>
      </w:pPr>
      <w:r>
        <w:rPr>
          <w:rFonts w:ascii="宋体" w:hAnsi="宋体"/>
          <w:sz w:val="30"/>
          <w:szCs w:val="30"/>
        </w:rPr>
        <w:drawing>
          <wp:inline distT="0" distB="0" distL="0" distR="0">
            <wp:extent cx="3727450" cy="4692650"/>
            <wp:effectExtent l="0" t="0" r="6350" b="12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preferRelativeResize="0">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725959" cy="4690396"/>
                    </a:xfrm>
                    <a:prstGeom prst="rect">
                      <a:avLst/>
                    </a:prstGeom>
                    <a:noFill/>
                    <a:ln>
                      <a:noFill/>
                    </a:ln>
                  </pic:spPr>
                </pic:pic>
              </a:graphicData>
            </a:graphic>
          </wp:inline>
        </w:drawing>
      </w:r>
    </w:p>
    <w:p>
      <w:pPr>
        <w:ind w:firstLine="600" w:firstLineChars="200"/>
        <w:rPr>
          <w:rFonts w:ascii="黑体" w:hAnsi="黑体" w:eastAsia="黑体"/>
          <w:bCs/>
          <w:color w:val="0D0D0D"/>
          <w:sz w:val="30"/>
          <w:szCs w:val="30"/>
        </w:rPr>
      </w:pPr>
      <w:r>
        <w:rPr>
          <w:rFonts w:hint="eastAsia" w:ascii="黑体" w:hAnsi="黑体" w:eastAsia="黑体"/>
          <w:bCs/>
          <w:color w:val="0D0D0D"/>
          <w:sz w:val="30"/>
          <w:szCs w:val="30"/>
        </w:rPr>
        <w:t>六、竞赛命题</w:t>
      </w:r>
    </w:p>
    <w:p>
      <w:pPr>
        <w:ind w:firstLine="600" w:firstLineChars="200"/>
        <w:rPr>
          <w:rFonts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参照《2020年全国职业院校技能大赛改革试点赛实施方案》要求，本赛项建立竞赛赛卷库，竞赛赛卷库可组成5套以上正式竞赛赛卷，且每套竞赛赛卷内容重复率不高于50%。在比赛的前三天内，将竞赛赛卷库中的竞赛赛卷随机排序后，在监督组的监督下，由裁判长指定相关人员抽取正式竞赛赛卷与备用竞赛赛卷。</w:t>
      </w:r>
    </w:p>
    <w:p>
      <w:pPr>
        <w:spacing w:line="600" w:lineRule="atLeast"/>
        <w:ind w:firstLine="600" w:firstLineChars="200"/>
        <w:rPr>
          <w:rFonts w:ascii="黑体" w:hAnsi="黑体" w:eastAsia="黑体"/>
          <w:bCs/>
          <w:color w:val="0D0D0D"/>
          <w:sz w:val="30"/>
          <w:szCs w:val="30"/>
        </w:rPr>
      </w:pPr>
      <w:r>
        <w:rPr>
          <w:rFonts w:hint="eastAsia" w:ascii="黑体" w:hAnsi="黑体" w:eastAsia="黑体"/>
          <w:bCs/>
          <w:color w:val="0D0D0D"/>
          <w:sz w:val="30"/>
          <w:szCs w:val="30"/>
        </w:rPr>
        <w:t>七、竞赛规则</w:t>
      </w:r>
    </w:p>
    <w:p>
      <w:pPr>
        <w:ind w:firstLine="600" w:firstLineChars="200"/>
        <w:rPr>
          <w:rFonts w:ascii="仿宋_GB2312" w:hAnsi="仿宋_GB2312" w:eastAsia="仿宋_GB2312" w:cs="仿宋_GB2312"/>
          <w:sz w:val="30"/>
          <w:szCs w:val="30"/>
          <w:lang w:val="zh-TW"/>
        </w:rPr>
      </w:pPr>
      <w:bookmarkStart w:id="4" w:name="_Toc52626502"/>
      <w:bookmarkStart w:id="5" w:name="_Toc52618569"/>
      <w:bookmarkStart w:id="6" w:name="_Toc52618706"/>
      <w:bookmarkStart w:id="7" w:name="_Toc52618254"/>
      <w:r>
        <w:rPr>
          <w:rFonts w:hint="eastAsia" w:ascii="仿宋_GB2312" w:hAnsi="仿宋_GB2312" w:eastAsia="仿宋_GB2312" w:cs="仿宋_GB2312"/>
          <w:sz w:val="30"/>
          <w:szCs w:val="30"/>
          <w:lang w:val="zh-TW"/>
        </w:rPr>
        <w:t>1</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TW"/>
        </w:rPr>
        <w:t>参赛选手须为2020年在籍全日制高职学生，参赛选手年龄不得超过25周岁（即1995年10月1日及以后出生）。</w:t>
      </w:r>
    </w:p>
    <w:p>
      <w:pPr>
        <w:ind w:firstLine="600" w:firstLineChars="200"/>
        <w:rPr>
          <w:rFonts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2</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TW"/>
        </w:rPr>
        <w:t>每校参赛队伍不超过1支。</w:t>
      </w:r>
    </w:p>
    <w:p>
      <w:pPr>
        <w:ind w:firstLine="600" w:firstLineChars="200"/>
        <w:rPr>
          <w:rFonts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TW"/>
        </w:rPr>
        <w:t>竞赛前1日15:30—16:30安排各参赛队领队、参数选手熟悉赛场。</w:t>
      </w:r>
    </w:p>
    <w:p>
      <w:pPr>
        <w:ind w:firstLine="600" w:firstLineChars="200"/>
        <w:rPr>
          <w:rFonts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TW"/>
        </w:rPr>
        <w:t>严禁参赛选手、赛项裁判、工作人员私自携带通讯、摄录设备进入比赛场地。</w:t>
      </w:r>
    </w:p>
    <w:p>
      <w:pPr>
        <w:ind w:firstLine="600" w:firstLineChars="200"/>
        <w:rPr>
          <w:rFonts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TW"/>
        </w:rPr>
        <w:t>参赛选手所需的硬件、软件和辅助工具统一提供，参赛队不得使用自带的任何有存储功能的设备，如硬盘、光盘、U盘、手机、随身听等。</w:t>
      </w:r>
    </w:p>
    <w:p>
      <w:pPr>
        <w:ind w:firstLine="600" w:firstLineChars="200"/>
        <w:rPr>
          <w:rFonts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6</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TW"/>
        </w:rPr>
        <w:t>所有参赛选手都必须携带参赛证件进行检录。</w:t>
      </w:r>
    </w:p>
    <w:p>
      <w:pPr>
        <w:ind w:firstLine="600" w:firstLineChars="200"/>
        <w:rPr>
          <w:rFonts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7</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TW"/>
        </w:rPr>
        <w:t>参赛队在赛前10分钟领取比赛任务并进入比赛工位，比赛正式开始后方可进行相关操作。</w:t>
      </w:r>
    </w:p>
    <w:p>
      <w:pPr>
        <w:ind w:firstLine="600" w:firstLineChars="200"/>
        <w:rPr>
          <w:rFonts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8</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TW"/>
        </w:rPr>
        <w:t>比赛过程中，选手须严格遵守操作规程，确保人身及设备安全，并接受裁判员的监督和指示。因选手原因造成设备故障或损坏而无法继续比赛的，裁判长有权决定中止该队比赛；非因选手个人原因造成设备故障的，由裁判长视具体情况作出裁决。</w:t>
      </w:r>
    </w:p>
    <w:p>
      <w:pPr>
        <w:ind w:firstLine="600" w:firstLineChars="200"/>
        <w:rPr>
          <w:rFonts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9</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TW"/>
        </w:rPr>
        <w:t>比赛结束（或提前完成）后，参赛队要确认已成功提交竞赛要求的配置文件和文档，裁判员与参赛队队长一起签字确认，参赛队在确认后不得再进行任何操作。</w:t>
      </w:r>
    </w:p>
    <w:p>
      <w:pPr>
        <w:ind w:firstLine="600" w:firstLineChars="200"/>
        <w:rPr>
          <w:rFonts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10</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TW"/>
        </w:rPr>
        <w:t>成绩评定评分方法分为机考评分、现场评分和结果评分。“私有云模块”和“Docker容器云模块”机考评分由由答题系统自动评分完成，“公有云模块”结果评分是评分裁判对参赛选手提交的竞赛作品进行结果评分。</w:t>
      </w:r>
    </w:p>
    <w:p>
      <w:pPr>
        <w:ind w:firstLine="600" w:firstLineChars="200"/>
        <w:rPr>
          <w:rFonts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11</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TW"/>
        </w:rPr>
        <w:t>大赛最终成绩由大赛组委会秘书处公示后公布，任何组织和个人，不得擅自对大赛成绩进行涂改、伪造或用于欺诈等违法犯罪活动。</w:t>
      </w:r>
    </w:p>
    <w:p>
      <w:pPr>
        <w:ind w:firstLine="600" w:firstLineChars="200"/>
        <w:rPr>
          <w:rFonts w:ascii="黑体" w:hAnsi="黑体" w:eastAsia="黑体"/>
          <w:bCs/>
          <w:color w:val="0D0D0D"/>
          <w:sz w:val="30"/>
          <w:szCs w:val="30"/>
        </w:rPr>
      </w:pPr>
      <w:r>
        <w:rPr>
          <w:rFonts w:hint="eastAsia" w:ascii="黑体" w:hAnsi="黑体" w:eastAsia="黑体"/>
          <w:bCs/>
          <w:color w:val="0D0D0D"/>
          <w:sz w:val="30"/>
          <w:szCs w:val="30"/>
        </w:rPr>
        <w:t>八、竞赛环境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场每个工位内设有操作平台并配备220伏电源，工位内的电缆线应符合安全要求。每间竞赛工位面积9～10㎡，以确保参赛队之间互不干扰。竞赛工位标明工位号，并配备竞赛平台和技术工作要求的软、硬件。环境标准要求保证赛场采光(大于500lux)、照明和通风良好，每支参赛队提供一个垃圾箱。</w:t>
      </w:r>
    </w:p>
    <w:bookmarkEnd w:id="4"/>
    <w:bookmarkEnd w:id="5"/>
    <w:bookmarkEnd w:id="6"/>
    <w:bookmarkEnd w:id="7"/>
    <w:p>
      <w:pPr>
        <w:ind w:firstLine="600" w:firstLineChars="200"/>
        <w:rPr>
          <w:rFonts w:ascii="黑体" w:hAnsi="黑体" w:eastAsia="黑体"/>
          <w:bCs/>
          <w:color w:val="0D0D0D"/>
          <w:sz w:val="30"/>
          <w:szCs w:val="30"/>
        </w:rPr>
      </w:pPr>
      <w:r>
        <w:rPr>
          <w:rFonts w:hint="eastAsia" w:ascii="黑体" w:hAnsi="黑体" w:eastAsia="黑体"/>
          <w:bCs/>
          <w:color w:val="0D0D0D"/>
          <w:sz w:val="30"/>
          <w:szCs w:val="30"/>
        </w:rPr>
        <w:t>九、技术规范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参赛代表队在实施竞赛项目时要求遵循如下规范：</w:t>
      </w:r>
    </w:p>
    <w:tbl>
      <w:tblPr>
        <w:tblStyle w:val="10"/>
        <w:tblW w:w="931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9"/>
        <w:gridCol w:w="3505"/>
        <w:gridCol w:w="5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trPr>
        <w:tc>
          <w:tcPr>
            <w:tcW w:w="779" w:type="dxa"/>
          </w:tcPr>
          <w:p>
            <w:pPr>
              <w:pStyle w:val="18"/>
              <w:spacing w:before="22"/>
              <w:ind w:left="225"/>
              <w:jc w:val="center"/>
              <w:rPr>
                <w:rFonts w:ascii="黑体" w:hAnsi="黑体" w:eastAsia="黑体" w:cs="黑体"/>
                <w:sz w:val="24"/>
                <w:lang w:val="en-US" w:bidi="ar-SA"/>
              </w:rPr>
            </w:pPr>
            <w:bookmarkStart w:id="8" w:name="_Toc52626504"/>
            <w:bookmarkStart w:id="9" w:name="_Toc52618571"/>
            <w:bookmarkStart w:id="10" w:name="_Toc52618708"/>
            <w:bookmarkStart w:id="11" w:name="_Toc52618256"/>
            <w:r>
              <w:rPr>
                <w:rFonts w:hint="eastAsia" w:ascii="黑体" w:hAnsi="黑体" w:eastAsia="黑体" w:cs="黑体"/>
                <w:sz w:val="24"/>
                <w:lang w:val="en-US" w:bidi="ar-SA"/>
              </w:rPr>
              <w:t>序号</w:t>
            </w:r>
          </w:p>
        </w:tc>
        <w:tc>
          <w:tcPr>
            <w:tcW w:w="3505" w:type="dxa"/>
          </w:tcPr>
          <w:p>
            <w:pPr>
              <w:pStyle w:val="18"/>
              <w:spacing w:before="22"/>
              <w:ind w:left="604"/>
              <w:jc w:val="center"/>
              <w:rPr>
                <w:rFonts w:ascii="黑体" w:hAnsi="黑体" w:eastAsia="黑体" w:cs="黑体"/>
                <w:sz w:val="24"/>
                <w:lang w:val="en-US" w:bidi="ar-SA"/>
              </w:rPr>
            </w:pPr>
            <w:r>
              <w:rPr>
                <w:rFonts w:hint="eastAsia" w:ascii="黑体" w:hAnsi="黑体" w:eastAsia="黑体" w:cs="黑体"/>
                <w:sz w:val="24"/>
                <w:lang w:val="en-US" w:bidi="ar-SA"/>
              </w:rPr>
              <w:t>标准号/规范简称</w:t>
            </w:r>
          </w:p>
        </w:tc>
        <w:tc>
          <w:tcPr>
            <w:tcW w:w="5032" w:type="dxa"/>
          </w:tcPr>
          <w:p>
            <w:pPr>
              <w:pStyle w:val="18"/>
              <w:ind w:firstLine="1680" w:firstLineChars="700"/>
              <w:rPr>
                <w:rFonts w:ascii="黑体" w:hAnsi="黑体" w:eastAsia="黑体" w:cs="黑体"/>
                <w:sz w:val="24"/>
                <w:lang w:val="en-US" w:bidi="ar-SA"/>
              </w:rPr>
            </w:pPr>
            <w:r>
              <w:rPr>
                <w:rFonts w:hint="eastAsia" w:ascii="黑体" w:hAnsi="黑体" w:eastAsia="黑体" w:cs="黑体"/>
                <w:sz w:val="24"/>
                <w:lang w:val="en-US" w:bidi="ar-SA"/>
              </w:rPr>
              <w:t>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trPr>
        <w:tc>
          <w:tcPr>
            <w:tcW w:w="779"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1</w:t>
            </w:r>
          </w:p>
        </w:tc>
        <w:tc>
          <w:tcPr>
            <w:tcW w:w="3505" w:type="dxa"/>
            <w:vAlign w:val="center"/>
          </w:tcPr>
          <w:p>
            <w:pPr>
              <w:pStyle w:val="18"/>
              <w:ind w:left="0"/>
              <w:jc w:val="center"/>
              <w:rPr>
                <w:rFonts w:ascii="仿宋_GB2312" w:hAnsi="仿宋_GB2312" w:eastAsia="仿宋_GB2312" w:cs="仿宋_GB2312"/>
                <w:sz w:val="24"/>
                <w:lang w:val="en-US" w:bidi="ar-SA"/>
              </w:rPr>
            </w:pPr>
            <w:r>
              <w:fldChar w:fldCharType="begin"/>
            </w:r>
            <w:r>
              <w:instrText xml:space="preserve"> HYPERLINK "http://www.chinabyte.com/keyword/ISO/" </w:instrText>
            </w:r>
            <w:r>
              <w:fldChar w:fldCharType="separate"/>
            </w:r>
            <w:r>
              <w:rPr>
                <w:rFonts w:hint="eastAsia" w:ascii="仿宋_GB2312" w:hAnsi="仿宋_GB2312" w:eastAsia="仿宋_GB2312" w:cs="仿宋_GB2312"/>
                <w:sz w:val="24"/>
                <w:lang w:val="en-US" w:bidi="ar-SA"/>
              </w:rPr>
              <w:t>ISO</w:t>
            </w:r>
            <w:r>
              <w:rPr>
                <w:rFonts w:hint="eastAsia" w:ascii="仿宋_GB2312" w:hAnsi="仿宋_GB2312" w:eastAsia="仿宋_GB2312" w:cs="仿宋_GB2312"/>
                <w:sz w:val="24"/>
                <w:lang w:val="en-US" w:bidi="ar-SA"/>
              </w:rPr>
              <w:fldChar w:fldCharType="end"/>
            </w:r>
            <w:r>
              <w:rPr>
                <w:rFonts w:hint="eastAsia" w:ascii="仿宋_GB2312" w:hAnsi="仿宋_GB2312" w:eastAsia="仿宋_GB2312" w:cs="仿宋_GB2312"/>
                <w:sz w:val="24"/>
                <w:lang w:val="en-US" w:bidi="ar-SA"/>
              </w:rPr>
              <w:t>/IEC 17788:2014</w:t>
            </w:r>
          </w:p>
        </w:tc>
        <w:tc>
          <w:tcPr>
            <w:tcW w:w="5032" w:type="dxa"/>
          </w:tcPr>
          <w:p>
            <w:pPr>
              <w:pStyle w:val="18"/>
              <w:ind w:left="0"/>
              <w:jc w:val="left"/>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信息技术 云计算 概述和词汇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trPr>
        <w:tc>
          <w:tcPr>
            <w:tcW w:w="779"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2</w:t>
            </w:r>
          </w:p>
        </w:tc>
        <w:tc>
          <w:tcPr>
            <w:tcW w:w="3505"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ISO/IEC 17789:2014</w:t>
            </w:r>
          </w:p>
        </w:tc>
        <w:tc>
          <w:tcPr>
            <w:tcW w:w="5032" w:type="dxa"/>
          </w:tcPr>
          <w:p>
            <w:pPr>
              <w:pStyle w:val="18"/>
              <w:ind w:left="0"/>
              <w:jc w:val="left"/>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信息技术 云计算 参考架构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trPr>
        <w:tc>
          <w:tcPr>
            <w:tcW w:w="779"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3</w:t>
            </w:r>
          </w:p>
        </w:tc>
        <w:tc>
          <w:tcPr>
            <w:tcW w:w="3505"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GB/T 31167-2014</w:t>
            </w:r>
          </w:p>
        </w:tc>
        <w:tc>
          <w:tcPr>
            <w:tcW w:w="5032" w:type="dxa"/>
          </w:tcPr>
          <w:p>
            <w:pPr>
              <w:pStyle w:val="18"/>
              <w:ind w:left="0"/>
              <w:jc w:val="left"/>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云计算服务安全指南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trPr>
        <w:tc>
          <w:tcPr>
            <w:tcW w:w="779"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4</w:t>
            </w:r>
          </w:p>
        </w:tc>
        <w:tc>
          <w:tcPr>
            <w:tcW w:w="3505"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GB/T 31168-2014</w:t>
            </w:r>
          </w:p>
        </w:tc>
        <w:tc>
          <w:tcPr>
            <w:tcW w:w="5032" w:type="dxa"/>
          </w:tcPr>
          <w:p>
            <w:pPr>
              <w:pStyle w:val="18"/>
              <w:ind w:left="0"/>
              <w:jc w:val="left"/>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信息安全技术 云计算服务安全能力要求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trPr>
        <w:tc>
          <w:tcPr>
            <w:tcW w:w="779"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5</w:t>
            </w:r>
          </w:p>
        </w:tc>
        <w:tc>
          <w:tcPr>
            <w:tcW w:w="3505"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GB/T 32400-2015</w:t>
            </w:r>
          </w:p>
        </w:tc>
        <w:tc>
          <w:tcPr>
            <w:tcW w:w="5032" w:type="dxa"/>
          </w:tcPr>
          <w:p>
            <w:pPr>
              <w:pStyle w:val="18"/>
              <w:ind w:left="0"/>
              <w:jc w:val="left"/>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信息技术 云计算 概览和词汇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trPr>
        <w:tc>
          <w:tcPr>
            <w:tcW w:w="779"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6</w:t>
            </w:r>
          </w:p>
        </w:tc>
        <w:tc>
          <w:tcPr>
            <w:tcW w:w="3505"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YD/T 2542-2013</w:t>
            </w:r>
          </w:p>
        </w:tc>
        <w:tc>
          <w:tcPr>
            <w:tcW w:w="5032" w:type="dxa"/>
          </w:tcPr>
          <w:p>
            <w:pPr>
              <w:pStyle w:val="18"/>
              <w:ind w:left="0"/>
              <w:jc w:val="left"/>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电信互联网数据中心（IDC）总体技术要求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trPr>
        <w:tc>
          <w:tcPr>
            <w:tcW w:w="779"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7</w:t>
            </w:r>
          </w:p>
        </w:tc>
        <w:tc>
          <w:tcPr>
            <w:tcW w:w="3505"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YD/T 2441-2013</w:t>
            </w:r>
          </w:p>
        </w:tc>
        <w:tc>
          <w:tcPr>
            <w:tcW w:w="5032" w:type="dxa"/>
          </w:tcPr>
          <w:p>
            <w:pPr>
              <w:pStyle w:val="18"/>
              <w:ind w:left="0"/>
              <w:jc w:val="left"/>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互联网数据中心技术及分级分类标准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779"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8</w:t>
            </w:r>
          </w:p>
        </w:tc>
        <w:tc>
          <w:tcPr>
            <w:tcW w:w="3505"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YD/T 2442-2013</w:t>
            </w:r>
          </w:p>
        </w:tc>
        <w:tc>
          <w:tcPr>
            <w:tcW w:w="5032" w:type="dxa"/>
          </w:tcPr>
          <w:p>
            <w:pPr>
              <w:pStyle w:val="18"/>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互联网数据中心资源占用、能效及排放技术要求和评测方法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779"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9</w:t>
            </w:r>
          </w:p>
        </w:tc>
        <w:tc>
          <w:tcPr>
            <w:tcW w:w="3505"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YD/T 2543-2013</w:t>
            </w:r>
          </w:p>
        </w:tc>
        <w:tc>
          <w:tcPr>
            <w:tcW w:w="5032" w:type="dxa"/>
          </w:tcPr>
          <w:p>
            <w:pPr>
              <w:pStyle w:val="18"/>
              <w:ind w:left="0"/>
              <w:jc w:val="left"/>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电信互联网数据中心（IDC）的能耗测评方法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1" w:hRule="exact"/>
        </w:trPr>
        <w:tc>
          <w:tcPr>
            <w:tcW w:w="779"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10</w:t>
            </w:r>
          </w:p>
        </w:tc>
        <w:tc>
          <w:tcPr>
            <w:tcW w:w="3505"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ISO/IEC JTC 1/SC 32 N 2388b</w:t>
            </w:r>
          </w:p>
        </w:tc>
        <w:tc>
          <w:tcPr>
            <w:tcW w:w="5032" w:type="dxa"/>
          </w:tcPr>
          <w:p>
            <w:pPr>
              <w:pStyle w:val="18"/>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数据管理和交互（Data Management and</w:t>
            </w:r>
          </w:p>
          <w:p>
            <w:pPr>
              <w:pStyle w:val="18"/>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Interchange）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trPr>
        <w:tc>
          <w:tcPr>
            <w:tcW w:w="779"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11</w:t>
            </w:r>
          </w:p>
        </w:tc>
        <w:tc>
          <w:tcPr>
            <w:tcW w:w="3505"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GB/T 28821-1012</w:t>
            </w:r>
          </w:p>
        </w:tc>
        <w:tc>
          <w:tcPr>
            <w:tcW w:w="5032" w:type="dxa"/>
          </w:tcPr>
          <w:p>
            <w:pPr>
              <w:pStyle w:val="18"/>
              <w:ind w:left="0"/>
              <w:jc w:val="left"/>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关系数据管理系统技术要求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exact"/>
        </w:trPr>
        <w:tc>
          <w:tcPr>
            <w:tcW w:w="779"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12</w:t>
            </w:r>
          </w:p>
        </w:tc>
        <w:tc>
          <w:tcPr>
            <w:tcW w:w="3505" w:type="dxa"/>
            <w:vAlign w:val="center"/>
          </w:tcPr>
          <w:p>
            <w:pPr>
              <w:pStyle w:val="18"/>
              <w:ind w:left="0"/>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LD/T81.1-2006</w:t>
            </w:r>
          </w:p>
        </w:tc>
        <w:tc>
          <w:tcPr>
            <w:tcW w:w="5032" w:type="dxa"/>
          </w:tcPr>
          <w:p>
            <w:pPr>
              <w:pStyle w:val="18"/>
              <w:ind w:left="0"/>
              <w:jc w:val="left"/>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职业技能实训和鉴定设备技术规范</w:t>
            </w:r>
          </w:p>
        </w:tc>
      </w:tr>
    </w:tbl>
    <w:p>
      <w:pPr>
        <w:ind w:firstLine="600" w:firstLineChars="200"/>
        <w:rPr>
          <w:rFonts w:ascii="黑体" w:hAnsi="黑体" w:eastAsia="黑体" w:cs="黑体"/>
          <w:sz w:val="30"/>
          <w:szCs w:val="30"/>
        </w:rPr>
      </w:pPr>
      <w:r>
        <w:rPr>
          <w:rFonts w:hint="eastAsia" w:ascii="黑体" w:hAnsi="黑体" w:eastAsia="黑体" w:cs="黑体"/>
          <w:sz w:val="30"/>
          <w:szCs w:val="30"/>
        </w:rPr>
        <w:t>十、</w:t>
      </w:r>
      <w:bookmarkEnd w:id="8"/>
      <w:bookmarkEnd w:id="9"/>
      <w:bookmarkEnd w:id="10"/>
      <w:bookmarkEnd w:id="11"/>
      <w:bookmarkStart w:id="12" w:name="_Toc52618257"/>
      <w:bookmarkStart w:id="13" w:name="_Toc52626505"/>
      <w:bookmarkStart w:id="14" w:name="_Toc52618709"/>
      <w:bookmarkStart w:id="15" w:name="_Toc52618572"/>
      <w:r>
        <w:rPr>
          <w:rFonts w:hint="eastAsia" w:ascii="黑体" w:hAnsi="黑体" w:eastAsia="黑体" w:cs="黑体"/>
          <w:sz w:val="30"/>
          <w:szCs w:val="30"/>
        </w:rPr>
        <w:t>技术平台</w:t>
      </w:r>
    </w:p>
    <w:bookmarkEnd w:id="12"/>
    <w:bookmarkEnd w:id="13"/>
    <w:bookmarkEnd w:id="14"/>
    <w:bookmarkEnd w:id="15"/>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单个赛位软、硬件配置如下（按照参赛队报名数量备2配置）：</w:t>
      </w:r>
    </w:p>
    <w:tbl>
      <w:tblPr>
        <w:tblStyle w:val="10"/>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7"/>
        <w:gridCol w:w="3252"/>
        <w:gridCol w:w="46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427" w:type="dxa"/>
          </w:tcPr>
          <w:p>
            <w:pPr>
              <w:pStyle w:val="18"/>
              <w:ind w:left="0"/>
              <w:jc w:val="center"/>
              <w:rPr>
                <w:rFonts w:ascii="黑体" w:hAnsi="黑体" w:eastAsia="黑体" w:cs="黑体"/>
                <w:sz w:val="24"/>
                <w:lang w:val="en-US" w:bidi="ar-SA"/>
              </w:rPr>
            </w:pPr>
            <w:r>
              <w:rPr>
                <w:rFonts w:hint="eastAsia" w:ascii="黑体" w:hAnsi="黑体" w:eastAsia="黑体" w:cs="黑体"/>
                <w:sz w:val="24"/>
                <w:lang w:val="en-US" w:bidi="ar-SA"/>
              </w:rPr>
              <w:t>类别</w:t>
            </w:r>
          </w:p>
        </w:tc>
        <w:tc>
          <w:tcPr>
            <w:tcW w:w="3252" w:type="dxa"/>
          </w:tcPr>
          <w:p>
            <w:pPr>
              <w:pStyle w:val="18"/>
              <w:ind w:left="0"/>
              <w:jc w:val="center"/>
              <w:rPr>
                <w:rFonts w:ascii="黑体" w:hAnsi="黑体" w:eastAsia="黑体" w:cs="黑体"/>
                <w:sz w:val="24"/>
                <w:lang w:val="en-US" w:bidi="ar-SA"/>
              </w:rPr>
            </w:pPr>
            <w:r>
              <w:rPr>
                <w:rFonts w:hint="eastAsia" w:ascii="黑体" w:hAnsi="黑体" w:eastAsia="黑体" w:cs="黑体"/>
                <w:sz w:val="24"/>
                <w:lang w:val="en-US" w:bidi="ar-SA"/>
              </w:rPr>
              <w:t>名称</w:t>
            </w:r>
          </w:p>
        </w:tc>
        <w:tc>
          <w:tcPr>
            <w:tcW w:w="4609" w:type="dxa"/>
          </w:tcPr>
          <w:p>
            <w:pPr>
              <w:pStyle w:val="18"/>
              <w:ind w:left="0"/>
              <w:jc w:val="center"/>
              <w:rPr>
                <w:rFonts w:ascii="黑体" w:hAnsi="黑体" w:eastAsia="黑体" w:cs="黑体"/>
                <w:sz w:val="24"/>
                <w:lang w:val="en-US" w:bidi="ar-SA"/>
              </w:rPr>
            </w:pPr>
            <w:r>
              <w:rPr>
                <w:rFonts w:hint="eastAsia" w:ascii="黑体" w:hAnsi="黑体" w:eastAsia="黑体" w:cs="黑体"/>
                <w:sz w:val="24"/>
                <w:lang w:val="en-US"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427" w:type="dxa"/>
            <w:vMerge w:val="restart"/>
            <w:vAlign w:val="center"/>
          </w:tcPr>
          <w:p>
            <w:pPr>
              <w:pStyle w:val="18"/>
              <w:ind w:left="0"/>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硬件设备</w:t>
            </w:r>
          </w:p>
        </w:tc>
        <w:tc>
          <w:tcPr>
            <w:tcW w:w="3252" w:type="dxa"/>
            <w:vAlign w:val="center"/>
          </w:tcPr>
          <w:p>
            <w:pPr>
              <w:pStyle w:val="18"/>
              <w:ind w:left="0"/>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计算节点服务器（私有云平台）</w:t>
            </w:r>
          </w:p>
        </w:tc>
        <w:tc>
          <w:tcPr>
            <w:tcW w:w="4609" w:type="dxa"/>
            <w:vAlign w:val="center"/>
          </w:tcPr>
          <w:p>
            <w:pPr>
              <w:pStyle w:val="18"/>
              <w:ind w:left="0"/>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内存 16G 以上，硬盘300G 以上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427" w:type="dxa"/>
            <w:vMerge w:val="continue"/>
            <w:tcBorders>
              <w:top w:val="nil"/>
            </w:tcBorders>
            <w:vAlign w:val="center"/>
          </w:tcPr>
          <w:p>
            <w:pPr>
              <w:jc w:val="center"/>
              <w:rPr>
                <w:rFonts w:ascii="仿宋_GB2312" w:hAnsi="仿宋_GB2312" w:eastAsia="仿宋_GB2312" w:cs="仿宋_GB2312"/>
                <w:sz w:val="24"/>
              </w:rPr>
            </w:pPr>
          </w:p>
        </w:tc>
        <w:tc>
          <w:tcPr>
            <w:tcW w:w="3252" w:type="dxa"/>
            <w:vAlign w:val="center"/>
          </w:tcPr>
          <w:p>
            <w:pPr>
              <w:pStyle w:val="18"/>
              <w:ind w:left="0"/>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存储节点服务器（私有云平台）</w:t>
            </w:r>
          </w:p>
        </w:tc>
        <w:tc>
          <w:tcPr>
            <w:tcW w:w="4609" w:type="dxa"/>
            <w:vAlign w:val="center"/>
          </w:tcPr>
          <w:p>
            <w:pPr>
              <w:pStyle w:val="18"/>
              <w:ind w:left="1418" w:right="3" w:hanging="1405"/>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内存16G 以上，硬盘1T 以上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 w:hRule="atLeast"/>
        </w:trPr>
        <w:tc>
          <w:tcPr>
            <w:tcW w:w="1427" w:type="dxa"/>
            <w:vMerge w:val="continue"/>
            <w:tcBorders>
              <w:top w:val="nil"/>
            </w:tcBorders>
            <w:vAlign w:val="center"/>
          </w:tcPr>
          <w:p>
            <w:pPr>
              <w:jc w:val="center"/>
              <w:rPr>
                <w:rFonts w:ascii="仿宋_GB2312" w:hAnsi="仿宋_GB2312" w:eastAsia="仿宋_GB2312" w:cs="仿宋_GB2312"/>
                <w:sz w:val="24"/>
              </w:rPr>
            </w:pPr>
          </w:p>
        </w:tc>
        <w:tc>
          <w:tcPr>
            <w:tcW w:w="3252" w:type="dxa"/>
            <w:vAlign w:val="center"/>
          </w:tcPr>
          <w:p>
            <w:pPr>
              <w:pStyle w:val="18"/>
              <w:ind w:left="0"/>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PC机</w:t>
            </w:r>
          </w:p>
        </w:tc>
        <w:tc>
          <w:tcPr>
            <w:tcW w:w="46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11" w:right="6" w:firstLine="11"/>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通用设备，建议i5以上CPU或同性能其他 CPU，内存16G以上，SSD硬盘128G以上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 w:hRule="atLeast"/>
        </w:trPr>
        <w:tc>
          <w:tcPr>
            <w:tcW w:w="1427" w:type="dxa"/>
            <w:vMerge w:val="restart"/>
            <w:vAlign w:val="center"/>
          </w:tcPr>
          <w:p>
            <w:pPr>
              <w:pStyle w:val="18"/>
              <w:ind w:left="0"/>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云平台软件</w:t>
            </w:r>
          </w:p>
        </w:tc>
        <w:tc>
          <w:tcPr>
            <w:tcW w:w="3252"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华为云、阿里云、腾讯云任一公有云 </w:t>
            </w:r>
          </w:p>
        </w:tc>
        <w:tc>
          <w:tcPr>
            <w:tcW w:w="4609" w:type="dxa"/>
            <w:vAlign w:val="center"/>
          </w:tcPr>
          <w:p>
            <w:pPr>
              <w:pStyle w:val="18"/>
              <w:ind w:left="0"/>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提供账号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27" w:type="dxa"/>
            <w:vMerge w:val="continue"/>
            <w:tcBorders>
              <w:top w:val="nil"/>
            </w:tcBorders>
          </w:tcPr>
          <w:p>
            <w:pPr>
              <w:rPr>
                <w:rFonts w:ascii="仿宋_GB2312" w:hAnsi="仿宋_GB2312" w:eastAsia="仿宋_GB2312" w:cs="仿宋_GB2312"/>
                <w:sz w:val="24"/>
              </w:rPr>
            </w:pPr>
          </w:p>
        </w:tc>
        <w:tc>
          <w:tcPr>
            <w:tcW w:w="3252" w:type="dxa"/>
            <w:vAlign w:val="center"/>
          </w:tcPr>
          <w:p>
            <w:pPr>
              <w:pStyle w:val="18"/>
              <w:ind w:left="0"/>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OpenStack 云平台软件包 </w:t>
            </w:r>
          </w:p>
        </w:tc>
        <w:tc>
          <w:tcPr>
            <w:tcW w:w="46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包含 OpenStack Queens 离线安装</w:t>
            </w:r>
          </w:p>
          <w:p>
            <w:pPr>
              <w:pStyle w:val="18"/>
              <w:keepNext w:val="0"/>
              <w:keepLines w:val="0"/>
              <w:pageBreakBefore w:val="0"/>
              <w:widowControl w:val="0"/>
              <w:kinsoku/>
              <w:wordWrap/>
              <w:overflowPunct/>
              <w:topLinePunct w:val="0"/>
              <w:autoSpaceDE/>
              <w:autoSpaceDN/>
              <w:bidi w:val="0"/>
              <w:adjustRightInd/>
              <w:snapToGrid/>
              <w:spacing w:line="320" w:lineRule="exact"/>
              <w:ind w:left="0"/>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包、安装脚本、qcow2镜像文件等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 w:hRule="atLeast"/>
        </w:trPr>
        <w:tc>
          <w:tcPr>
            <w:tcW w:w="1427" w:type="dxa"/>
            <w:vMerge w:val="continue"/>
            <w:tcBorders>
              <w:top w:val="nil"/>
            </w:tcBorders>
          </w:tcPr>
          <w:p>
            <w:pPr>
              <w:rPr>
                <w:rFonts w:ascii="仿宋_GB2312" w:hAnsi="仿宋_GB2312" w:eastAsia="仿宋_GB2312" w:cs="仿宋_GB2312"/>
                <w:sz w:val="24"/>
              </w:rPr>
            </w:pPr>
          </w:p>
        </w:tc>
        <w:tc>
          <w:tcPr>
            <w:tcW w:w="3252" w:type="dxa"/>
            <w:vAlign w:val="center"/>
          </w:tcPr>
          <w:p>
            <w:pPr>
              <w:pStyle w:val="18"/>
              <w:ind w:left="135" w:right="23"/>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容器云平台软件包</w:t>
            </w:r>
          </w:p>
        </w:tc>
        <w:tc>
          <w:tcPr>
            <w:tcW w:w="46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right="0"/>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包含DockerCE、Docker compose、Kubernates等离线安装包，nginx mysql、centos7.5、apache、lnmp wordpress 等容器镜像，竞赛所需应用软件包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427" w:type="dxa"/>
            <w:vMerge w:val="continue"/>
            <w:tcBorders>
              <w:top w:val="nil"/>
            </w:tcBorders>
          </w:tcPr>
          <w:p>
            <w:pPr>
              <w:rPr>
                <w:rFonts w:ascii="仿宋_GB2312" w:hAnsi="仿宋_GB2312" w:eastAsia="仿宋_GB2312" w:cs="仿宋_GB2312"/>
                <w:sz w:val="24"/>
              </w:rPr>
            </w:pPr>
          </w:p>
        </w:tc>
        <w:tc>
          <w:tcPr>
            <w:tcW w:w="3252" w:type="dxa"/>
            <w:vAlign w:val="center"/>
          </w:tcPr>
          <w:p>
            <w:pPr>
              <w:pStyle w:val="18"/>
              <w:ind w:left="0"/>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公有云竞赛软件包 </w:t>
            </w:r>
          </w:p>
        </w:tc>
        <w:tc>
          <w:tcPr>
            <w:tcW w:w="4609" w:type="dxa"/>
            <w:vAlign w:val="center"/>
          </w:tcPr>
          <w:p>
            <w:pPr>
              <w:pStyle w:val="18"/>
              <w:ind w:left="0"/>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包含公有云平台部署的应用软件包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427" w:type="dxa"/>
          </w:tcPr>
          <w:p>
            <w:pPr>
              <w:pStyle w:val="18"/>
              <w:ind w:left="0"/>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竞赛平台</w:t>
            </w:r>
          </w:p>
        </w:tc>
        <w:tc>
          <w:tcPr>
            <w:tcW w:w="3252" w:type="dxa"/>
            <w:vAlign w:val="center"/>
          </w:tcPr>
          <w:p>
            <w:pPr>
              <w:pStyle w:val="18"/>
              <w:ind w:left="0"/>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云计算竞赛管理平台 </w:t>
            </w:r>
          </w:p>
        </w:tc>
        <w:tc>
          <w:tcPr>
            <w:tcW w:w="4609" w:type="dxa"/>
            <w:vAlign w:val="center"/>
          </w:tcPr>
          <w:p>
            <w:pPr>
              <w:pStyle w:val="18"/>
              <w:ind w:left="0"/>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支持自动评分 </w:t>
            </w:r>
          </w:p>
        </w:tc>
      </w:tr>
    </w:tbl>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通用软件和工具清单：</w:t>
      </w:r>
    </w:p>
    <w:tbl>
      <w:tblPr>
        <w:tblStyle w:val="10"/>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2"/>
        <w:gridCol w:w="3109"/>
        <w:gridCol w:w="5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052" w:type="dxa"/>
          </w:tcPr>
          <w:p>
            <w:pPr>
              <w:pStyle w:val="18"/>
              <w:ind w:left="0"/>
              <w:jc w:val="center"/>
              <w:rPr>
                <w:rFonts w:ascii="黑体" w:hAnsi="黑体" w:eastAsia="黑体" w:cs="黑体"/>
                <w:sz w:val="24"/>
                <w:lang w:val="en-US" w:bidi="ar-SA"/>
              </w:rPr>
            </w:pPr>
            <w:r>
              <w:rPr>
                <w:rFonts w:hint="eastAsia" w:ascii="黑体" w:hAnsi="黑体" w:eastAsia="黑体" w:cs="黑体"/>
                <w:sz w:val="24"/>
                <w:lang w:val="en-US" w:bidi="ar-SA"/>
              </w:rPr>
              <w:t>序号</w:t>
            </w:r>
          </w:p>
        </w:tc>
        <w:tc>
          <w:tcPr>
            <w:tcW w:w="3109" w:type="dxa"/>
          </w:tcPr>
          <w:p>
            <w:pPr>
              <w:pStyle w:val="18"/>
              <w:ind w:left="0"/>
              <w:jc w:val="center"/>
              <w:rPr>
                <w:rFonts w:ascii="黑体" w:hAnsi="黑体" w:eastAsia="黑体" w:cs="黑体"/>
                <w:sz w:val="24"/>
                <w:lang w:val="en-US" w:bidi="ar-SA"/>
              </w:rPr>
            </w:pPr>
            <w:r>
              <w:rPr>
                <w:rFonts w:hint="eastAsia" w:ascii="黑体" w:hAnsi="黑体" w:eastAsia="黑体" w:cs="黑体"/>
                <w:sz w:val="24"/>
                <w:lang w:val="en-US" w:bidi="ar-SA"/>
              </w:rPr>
              <w:t>软件</w:t>
            </w:r>
          </w:p>
        </w:tc>
        <w:tc>
          <w:tcPr>
            <w:tcW w:w="5127" w:type="dxa"/>
          </w:tcPr>
          <w:p>
            <w:pPr>
              <w:pStyle w:val="18"/>
              <w:ind w:left="0"/>
              <w:jc w:val="center"/>
              <w:rPr>
                <w:rFonts w:ascii="黑体" w:hAnsi="黑体" w:eastAsia="黑体" w:cs="黑体"/>
                <w:sz w:val="24"/>
                <w:lang w:val="en-US" w:bidi="ar-SA"/>
              </w:rPr>
            </w:pPr>
            <w:r>
              <w:rPr>
                <w:rFonts w:hint="eastAsia" w:ascii="黑体" w:hAnsi="黑体" w:eastAsia="黑体" w:cs="黑体"/>
                <w:sz w:val="24"/>
                <w:lang w:val="en-US" w:bidi="ar-SA"/>
              </w:rPr>
              <w:t>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052" w:type="dxa"/>
            <w:vAlign w:val="top"/>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1</w:t>
            </w:r>
          </w:p>
        </w:tc>
        <w:tc>
          <w:tcPr>
            <w:tcW w:w="3109" w:type="dxa"/>
            <w:vAlign w:val="top"/>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Windows</w:t>
            </w:r>
          </w:p>
        </w:tc>
        <w:tc>
          <w:tcPr>
            <w:tcW w:w="5127" w:type="dxa"/>
            <w:vAlign w:val="top"/>
          </w:tcPr>
          <w:p>
            <w:pPr>
              <w:pStyle w:val="18"/>
              <w:keepNext w:val="0"/>
              <w:keepLines w:val="0"/>
              <w:pageBreakBefore w:val="0"/>
              <w:widowControl w:val="0"/>
              <w:kinsoku/>
              <w:wordWrap/>
              <w:overflowPunct/>
              <w:topLinePunct w:val="0"/>
              <w:autoSpaceDE/>
              <w:autoSpaceDN/>
              <w:bidi w:val="0"/>
              <w:adjustRightInd/>
              <w:snapToGrid/>
              <w:ind w:left="0" w:right="0"/>
              <w:jc w:val="left"/>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操作系统 windows7 或 windows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052" w:type="dxa"/>
            <w:vAlign w:val="top"/>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2</w:t>
            </w:r>
          </w:p>
        </w:tc>
        <w:tc>
          <w:tcPr>
            <w:tcW w:w="3109" w:type="dxa"/>
            <w:vAlign w:val="top"/>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Microsoft Office 软件</w:t>
            </w:r>
          </w:p>
        </w:tc>
        <w:tc>
          <w:tcPr>
            <w:tcW w:w="5127" w:type="dxa"/>
            <w:vAlign w:val="top"/>
          </w:tcPr>
          <w:p>
            <w:pPr>
              <w:pStyle w:val="18"/>
              <w:keepNext w:val="0"/>
              <w:keepLines w:val="0"/>
              <w:pageBreakBefore w:val="0"/>
              <w:widowControl w:val="0"/>
              <w:kinsoku/>
              <w:wordWrap/>
              <w:overflowPunct/>
              <w:topLinePunct w:val="0"/>
              <w:autoSpaceDE/>
              <w:autoSpaceDN/>
              <w:bidi w:val="0"/>
              <w:adjustRightInd/>
              <w:snapToGrid/>
              <w:ind w:left="0" w:right="0"/>
              <w:jc w:val="left"/>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试用版包括：Word、PowerPoint、Excel、Visio。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052" w:type="dxa"/>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3</w:t>
            </w:r>
          </w:p>
        </w:tc>
        <w:tc>
          <w:tcPr>
            <w:tcW w:w="3109" w:type="dxa"/>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SecureCRT v7.0 试用版</w:t>
            </w:r>
          </w:p>
        </w:tc>
        <w:tc>
          <w:tcPr>
            <w:tcW w:w="5127" w:type="dxa"/>
          </w:tcPr>
          <w:p>
            <w:pPr>
              <w:pStyle w:val="18"/>
              <w:keepNext w:val="0"/>
              <w:keepLines w:val="0"/>
              <w:pageBreakBefore w:val="0"/>
              <w:widowControl w:val="0"/>
              <w:kinsoku/>
              <w:wordWrap/>
              <w:overflowPunct/>
              <w:topLinePunct w:val="0"/>
              <w:autoSpaceDE/>
              <w:autoSpaceDN/>
              <w:bidi w:val="0"/>
              <w:adjustRightInd/>
              <w:snapToGrid/>
              <w:ind w:left="0" w:right="0"/>
              <w:jc w:val="left"/>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SSH（SSH1 和 SSH2）的终端仿真程序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052" w:type="dxa"/>
            <w:vAlign w:val="top"/>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4</w:t>
            </w:r>
          </w:p>
        </w:tc>
        <w:tc>
          <w:tcPr>
            <w:tcW w:w="3109" w:type="dxa"/>
            <w:vAlign w:val="top"/>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Python 3.6</w:t>
            </w:r>
          </w:p>
        </w:tc>
        <w:tc>
          <w:tcPr>
            <w:tcW w:w="5127" w:type="dxa"/>
            <w:vAlign w:val="top"/>
          </w:tcPr>
          <w:p>
            <w:pPr>
              <w:pStyle w:val="18"/>
              <w:keepNext w:val="0"/>
              <w:keepLines w:val="0"/>
              <w:pageBreakBefore w:val="0"/>
              <w:widowControl w:val="0"/>
              <w:kinsoku/>
              <w:wordWrap/>
              <w:overflowPunct/>
              <w:topLinePunct w:val="0"/>
              <w:autoSpaceDE/>
              <w:autoSpaceDN/>
              <w:bidi w:val="0"/>
              <w:adjustRightInd/>
              <w:snapToGrid/>
              <w:ind w:left="0" w:right="0"/>
              <w:jc w:val="left"/>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云平台开发编程环境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052" w:type="dxa"/>
            <w:vAlign w:val="top"/>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5</w:t>
            </w:r>
          </w:p>
        </w:tc>
        <w:tc>
          <w:tcPr>
            <w:tcW w:w="3109" w:type="dxa"/>
            <w:vAlign w:val="top"/>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Anaconda3</w:t>
            </w:r>
          </w:p>
        </w:tc>
        <w:tc>
          <w:tcPr>
            <w:tcW w:w="5127" w:type="dxa"/>
            <w:vAlign w:val="top"/>
          </w:tcPr>
          <w:p>
            <w:pPr>
              <w:pStyle w:val="18"/>
              <w:keepNext w:val="0"/>
              <w:keepLines w:val="0"/>
              <w:pageBreakBefore w:val="0"/>
              <w:widowControl w:val="0"/>
              <w:kinsoku/>
              <w:wordWrap/>
              <w:overflowPunct/>
              <w:topLinePunct w:val="0"/>
              <w:autoSpaceDE/>
              <w:autoSpaceDN/>
              <w:bidi w:val="0"/>
              <w:adjustRightInd/>
              <w:snapToGrid/>
              <w:ind w:left="0" w:right="0"/>
              <w:jc w:val="left"/>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Python 的发行版本和库管理工具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052" w:type="dxa"/>
            <w:vAlign w:val="top"/>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6</w:t>
            </w:r>
          </w:p>
        </w:tc>
        <w:tc>
          <w:tcPr>
            <w:tcW w:w="3109" w:type="dxa"/>
            <w:vAlign w:val="top"/>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MongoDB3.6</w:t>
            </w:r>
          </w:p>
        </w:tc>
        <w:tc>
          <w:tcPr>
            <w:tcW w:w="5127" w:type="dxa"/>
            <w:vAlign w:val="top"/>
          </w:tcPr>
          <w:p>
            <w:pPr>
              <w:pStyle w:val="18"/>
              <w:keepNext w:val="0"/>
              <w:keepLines w:val="0"/>
              <w:pageBreakBefore w:val="0"/>
              <w:widowControl w:val="0"/>
              <w:kinsoku/>
              <w:wordWrap/>
              <w:overflowPunct/>
              <w:topLinePunct w:val="0"/>
              <w:autoSpaceDE/>
              <w:autoSpaceDN/>
              <w:bidi w:val="0"/>
              <w:adjustRightInd/>
              <w:snapToGrid/>
              <w:ind w:left="0" w:right="0"/>
              <w:jc w:val="left"/>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MongoDB 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052" w:type="dxa"/>
            <w:vAlign w:val="top"/>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7</w:t>
            </w:r>
          </w:p>
        </w:tc>
        <w:tc>
          <w:tcPr>
            <w:tcW w:w="3109" w:type="dxa"/>
            <w:vAlign w:val="top"/>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PyCharm 2018.3.5</w:t>
            </w:r>
          </w:p>
        </w:tc>
        <w:tc>
          <w:tcPr>
            <w:tcW w:w="5127" w:type="dxa"/>
            <w:vAlign w:val="top"/>
          </w:tcPr>
          <w:p>
            <w:pPr>
              <w:pStyle w:val="18"/>
              <w:keepNext w:val="0"/>
              <w:keepLines w:val="0"/>
              <w:pageBreakBefore w:val="0"/>
              <w:widowControl w:val="0"/>
              <w:kinsoku/>
              <w:wordWrap/>
              <w:overflowPunct/>
              <w:topLinePunct w:val="0"/>
              <w:autoSpaceDE/>
              <w:autoSpaceDN/>
              <w:bidi w:val="0"/>
              <w:adjustRightInd/>
              <w:snapToGrid/>
              <w:ind w:left="0" w:right="0"/>
              <w:jc w:val="left"/>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Python 开发工具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052" w:type="dxa"/>
            <w:vAlign w:val="top"/>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8</w:t>
            </w:r>
          </w:p>
        </w:tc>
        <w:tc>
          <w:tcPr>
            <w:tcW w:w="3109" w:type="dxa"/>
            <w:vAlign w:val="top"/>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Java SDK 1.8</w:t>
            </w:r>
          </w:p>
        </w:tc>
        <w:tc>
          <w:tcPr>
            <w:tcW w:w="5127" w:type="dxa"/>
            <w:vAlign w:val="top"/>
          </w:tcPr>
          <w:p>
            <w:pPr>
              <w:pStyle w:val="18"/>
              <w:keepNext w:val="0"/>
              <w:keepLines w:val="0"/>
              <w:pageBreakBefore w:val="0"/>
              <w:widowControl w:val="0"/>
              <w:kinsoku/>
              <w:wordWrap/>
              <w:overflowPunct/>
              <w:topLinePunct w:val="0"/>
              <w:autoSpaceDE/>
              <w:autoSpaceDN/>
              <w:bidi w:val="0"/>
              <w:adjustRightInd/>
              <w:snapToGrid/>
              <w:ind w:left="0" w:right="0"/>
              <w:jc w:val="left"/>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服务端 Java 开发工具包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052" w:type="dxa"/>
            <w:vAlign w:val="top"/>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9</w:t>
            </w:r>
          </w:p>
        </w:tc>
        <w:tc>
          <w:tcPr>
            <w:tcW w:w="3109" w:type="dxa"/>
            <w:vAlign w:val="top"/>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MySql 5.0</w:t>
            </w:r>
          </w:p>
        </w:tc>
        <w:tc>
          <w:tcPr>
            <w:tcW w:w="5127" w:type="dxa"/>
            <w:vAlign w:val="top"/>
          </w:tcPr>
          <w:p>
            <w:pPr>
              <w:pStyle w:val="18"/>
              <w:keepNext w:val="0"/>
              <w:keepLines w:val="0"/>
              <w:pageBreakBefore w:val="0"/>
              <w:widowControl w:val="0"/>
              <w:kinsoku/>
              <w:wordWrap/>
              <w:overflowPunct/>
              <w:topLinePunct w:val="0"/>
              <w:autoSpaceDE/>
              <w:autoSpaceDN/>
              <w:bidi w:val="0"/>
              <w:adjustRightInd/>
              <w:snapToGrid/>
              <w:ind w:left="0" w:right="0"/>
              <w:jc w:val="left"/>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Mysql 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052" w:type="dxa"/>
            <w:vAlign w:val="top"/>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10</w:t>
            </w:r>
          </w:p>
        </w:tc>
        <w:tc>
          <w:tcPr>
            <w:tcW w:w="3109" w:type="dxa"/>
            <w:vAlign w:val="top"/>
          </w:tcPr>
          <w:p>
            <w:pPr>
              <w:pStyle w:val="18"/>
              <w:keepNext w:val="0"/>
              <w:keepLines w:val="0"/>
              <w:pageBreakBefore w:val="0"/>
              <w:widowControl w:val="0"/>
              <w:kinsoku/>
              <w:wordWrap/>
              <w:overflowPunct/>
              <w:topLinePunct w:val="0"/>
              <w:autoSpaceDE/>
              <w:autoSpaceDN/>
              <w:bidi w:val="0"/>
              <w:adjustRightInd/>
              <w:snapToGrid/>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Tomcat7.0</w:t>
            </w:r>
          </w:p>
        </w:tc>
        <w:tc>
          <w:tcPr>
            <w:tcW w:w="5127" w:type="dxa"/>
            <w:vAlign w:val="top"/>
          </w:tcPr>
          <w:p>
            <w:pPr>
              <w:pStyle w:val="18"/>
              <w:keepNext w:val="0"/>
              <w:keepLines w:val="0"/>
              <w:pageBreakBefore w:val="0"/>
              <w:widowControl w:val="0"/>
              <w:kinsoku/>
              <w:wordWrap/>
              <w:overflowPunct/>
              <w:topLinePunct w:val="0"/>
              <w:autoSpaceDE/>
              <w:autoSpaceDN/>
              <w:bidi w:val="0"/>
              <w:adjustRightInd/>
              <w:snapToGrid/>
              <w:ind w:left="0" w:right="0"/>
              <w:jc w:val="left"/>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JavaEE Web 服务器</w:t>
            </w:r>
          </w:p>
        </w:tc>
      </w:tr>
    </w:tbl>
    <w:p>
      <w:pPr>
        <w:ind w:firstLine="600" w:firstLineChars="200"/>
        <w:rPr>
          <w:rFonts w:ascii="黑体" w:hAnsi="黑体" w:eastAsia="黑体" w:cs="黑体"/>
          <w:sz w:val="30"/>
          <w:szCs w:val="30"/>
        </w:rPr>
      </w:pPr>
      <w:bookmarkStart w:id="16" w:name="_Toc54872740"/>
      <w:bookmarkStart w:id="17" w:name="_Toc54871763"/>
      <w:r>
        <w:rPr>
          <w:rFonts w:hint="eastAsia" w:ascii="黑体" w:hAnsi="黑体" w:eastAsia="黑体" w:cs="黑体"/>
          <w:sz w:val="30"/>
          <w:szCs w:val="30"/>
        </w:rPr>
        <w:t>十一、成绩评定</w:t>
      </w:r>
      <w:bookmarkEnd w:id="16"/>
      <w:bookmarkEnd w:id="17"/>
    </w:p>
    <w:p>
      <w:pPr>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（一）评分标准（总分 100 分）</w:t>
      </w:r>
    </w:p>
    <w:tbl>
      <w:tblPr>
        <w:tblStyle w:val="10"/>
        <w:tblW w:w="97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5"/>
        <w:gridCol w:w="1982"/>
        <w:gridCol w:w="76"/>
        <w:gridCol w:w="5130"/>
        <w:gridCol w:w="1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jc w:val="center"/>
        </w:trPr>
        <w:tc>
          <w:tcPr>
            <w:tcW w:w="1505" w:type="dxa"/>
            <w:vAlign w:val="center"/>
          </w:tcPr>
          <w:p>
            <w:pPr>
              <w:pStyle w:val="18"/>
              <w:ind w:left="0"/>
              <w:jc w:val="center"/>
              <w:rPr>
                <w:rFonts w:ascii="黑体" w:hAnsi="黑体" w:eastAsia="黑体" w:cs="黑体"/>
                <w:sz w:val="24"/>
                <w:lang w:val="en-US" w:bidi="ar-SA"/>
              </w:rPr>
            </w:pPr>
            <w:r>
              <w:rPr>
                <w:rFonts w:hint="eastAsia" w:ascii="黑体" w:hAnsi="黑体" w:eastAsia="黑体" w:cs="黑体"/>
                <w:sz w:val="24"/>
                <w:lang w:val="en-US" w:bidi="ar-SA"/>
              </w:rPr>
              <w:t>模块</w:t>
            </w:r>
          </w:p>
        </w:tc>
        <w:tc>
          <w:tcPr>
            <w:tcW w:w="1982" w:type="dxa"/>
          </w:tcPr>
          <w:p>
            <w:pPr>
              <w:pStyle w:val="18"/>
              <w:ind w:left="0"/>
              <w:jc w:val="center"/>
              <w:rPr>
                <w:rFonts w:ascii="黑体" w:hAnsi="黑体" w:eastAsia="黑体" w:cs="黑体"/>
                <w:sz w:val="24"/>
                <w:lang w:val="en-US" w:bidi="ar-SA"/>
              </w:rPr>
            </w:pPr>
            <w:r>
              <w:rPr>
                <w:rFonts w:hint="eastAsia" w:ascii="黑体" w:hAnsi="黑体" w:eastAsia="黑体" w:cs="黑体"/>
                <w:sz w:val="24"/>
                <w:lang w:val="en-US" w:bidi="ar-SA"/>
              </w:rPr>
              <w:t>任务</w:t>
            </w:r>
          </w:p>
        </w:tc>
        <w:tc>
          <w:tcPr>
            <w:tcW w:w="5206" w:type="dxa"/>
            <w:gridSpan w:val="2"/>
          </w:tcPr>
          <w:p>
            <w:pPr>
              <w:pStyle w:val="18"/>
              <w:ind w:left="0"/>
              <w:jc w:val="center"/>
              <w:rPr>
                <w:rFonts w:ascii="黑体" w:hAnsi="黑体" w:eastAsia="黑体" w:cs="黑体"/>
                <w:sz w:val="24"/>
                <w:lang w:val="en-US" w:bidi="ar-SA"/>
              </w:rPr>
            </w:pPr>
            <w:r>
              <w:rPr>
                <w:rFonts w:hint="eastAsia" w:ascii="黑体" w:hAnsi="黑体" w:eastAsia="黑体" w:cs="黑体"/>
                <w:sz w:val="24"/>
                <w:lang w:val="en-US" w:bidi="ar-SA"/>
              </w:rPr>
              <w:t xml:space="preserve">主要知识及技能点 </w:t>
            </w:r>
          </w:p>
        </w:tc>
        <w:tc>
          <w:tcPr>
            <w:tcW w:w="1007" w:type="dxa"/>
          </w:tcPr>
          <w:p>
            <w:pPr>
              <w:pStyle w:val="18"/>
              <w:ind w:left="0"/>
              <w:jc w:val="center"/>
              <w:rPr>
                <w:rFonts w:ascii="黑体" w:hAnsi="黑体" w:eastAsia="黑体" w:cs="黑体"/>
                <w:sz w:val="24"/>
                <w:lang w:val="en-US" w:bidi="ar-SA"/>
              </w:rPr>
            </w:pPr>
            <w:r>
              <w:rPr>
                <w:rFonts w:hint="eastAsia" w:ascii="黑体" w:hAnsi="黑体" w:eastAsia="黑体" w:cs="黑体"/>
                <w:sz w:val="24"/>
                <w:lang w:val="en-US" w:bidi="ar-SA"/>
              </w:rPr>
              <w:t xml:space="preserve">分值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jc w:val="center"/>
        </w:trPr>
        <w:tc>
          <w:tcPr>
            <w:tcW w:w="1505"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before="178" w:line="320" w:lineRule="exact"/>
              <w:ind w:left="0" w:right="0"/>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OpenStack 平台部署与运维</w:t>
            </w:r>
          </w:p>
        </w:tc>
        <w:tc>
          <w:tcPr>
            <w:tcW w:w="1982"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任务1 </w:t>
            </w:r>
          </w:p>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基础运维任务 </w:t>
            </w:r>
          </w:p>
        </w:tc>
        <w:tc>
          <w:tcPr>
            <w:tcW w:w="5206"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服务器 IP 地址设置，主机名设置，磁盘分区， 文件系统挂载，WEB、FTP、DNS、NTP 等常用linux 服务器安装与配置。 </w:t>
            </w:r>
          </w:p>
        </w:tc>
        <w:tc>
          <w:tcPr>
            <w:tcW w:w="1007" w:type="dxa"/>
            <w:vAlign w:val="center"/>
          </w:tcPr>
          <w:p>
            <w:pPr>
              <w:pStyle w:val="18"/>
              <w:spacing w:before="178"/>
              <w:ind w:left="138" w:right="23"/>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jc w:val="center"/>
        </w:trPr>
        <w:tc>
          <w:tcPr>
            <w:tcW w:w="150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outlineLvl w:val="9"/>
              <w:rPr>
                <w:rFonts w:ascii="仿宋_GB2312" w:hAnsi="仿宋_GB2312" w:eastAsia="仿宋_GB2312" w:cs="仿宋_GB2312"/>
                <w:sz w:val="24"/>
              </w:rPr>
            </w:pPr>
          </w:p>
        </w:tc>
        <w:tc>
          <w:tcPr>
            <w:tcW w:w="1982"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任务2</w:t>
            </w:r>
          </w:p>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 OpenStack 搭建任务 </w:t>
            </w:r>
          </w:p>
        </w:tc>
        <w:tc>
          <w:tcPr>
            <w:tcW w:w="5206"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Openstack 云平台搭建基本变量进行配置，使用部署安装脚本快速部署数据库、Keystone 服务、Glance 服务、Nova 服务、 Neutron 服务、Dashboad 服务、Cinder 服务、Swift 服务、Heat 服务、Ceph 服务、Ceilometer 和报警 Alarm 服务等 Openstack 相关组件，完成私有云平台的搭建部署。 </w:t>
            </w:r>
          </w:p>
        </w:tc>
        <w:tc>
          <w:tcPr>
            <w:tcW w:w="1007" w:type="dxa"/>
            <w:vAlign w:val="center"/>
          </w:tcPr>
          <w:p>
            <w:pPr>
              <w:pStyle w:val="18"/>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7" w:hRule="atLeast"/>
          <w:jc w:val="center"/>
        </w:trPr>
        <w:tc>
          <w:tcPr>
            <w:tcW w:w="150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outlineLvl w:val="9"/>
              <w:rPr>
                <w:rFonts w:ascii="仿宋_GB2312" w:hAnsi="仿宋_GB2312" w:eastAsia="仿宋_GB2312" w:cs="仿宋_GB2312"/>
                <w:sz w:val="24"/>
              </w:rPr>
            </w:pPr>
          </w:p>
        </w:tc>
        <w:tc>
          <w:tcPr>
            <w:tcW w:w="1982"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任务3</w:t>
            </w:r>
          </w:p>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 OpenStack 云平台运维 </w:t>
            </w:r>
          </w:p>
        </w:tc>
        <w:tc>
          <w:tcPr>
            <w:tcW w:w="5206"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对 openstack 云平台的 Keystone 服务、Glance 服务、Nova 服务、 Neutron 服务、Dashboad 服务、Cinder 服务、Swift 服务、Heat 服务、Ceph 服务、Ceilometer 和报警Alarm 服务等相关组件的使用与运维，通过命令及编写 shell 脚本对云平台的各项资源进行运维和管理。 </w:t>
            </w:r>
          </w:p>
        </w:tc>
        <w:tc>
          <w:tcPr>
            <w:tcW w:w="1007" w:type="dxa"/>
            <w:vAlign w:val="center"/>
          </w:tcPr>
          <w:p>
            <w:pPr>
              <w:pStyle w:val="18"/>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15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1505" w:type="dxa"/>
            <w:vMerge w:val="continue"/>
            <w:tcBorders>
              <w:top w:val="nil"/>
            </w:tcBorders>
            <w:vAlign w:val="center"/>
          </w:tcPr>
          <w:p>
            <w:pPr>
              <w:jc w:val="center"/>
              <w:rPr>
                <w:rFonts w:ascii="仿宋_GB2312" w:hAnsi="仿宋_GB2312" w:eastAsia="仿宋_GB2312" w:cs="仿宋_GB2312"/>
                <w:sz w:val="24"/>
              </w:rPr>
            </w:pPr>
          </w:p>
        </w:tc>
        <w:tc>
          <w:tcPr>
            <w:tcW w:w="7188" w:type="dxa"/>
            <w:gridSpan w:val="3"/>
            <w:vAlign w:val="center"/>
          </w:tcPr>
          <w:p>
            <w:pPr>
              <w:pStyle w:val="18"/>
              <w:spacing w:before="94"/>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小计</w:t>
            </w:r>
          </w:p>
        </w:tc>
        <w:tc>
          <w:tcPr>
            <w:tcW w:w="1007" w:type="dxa"/>
            <w:vAlign w:val="center"/>
          </w:tcPr>
          <w:p>
            <w:pPr>
              <w:pStyle w:val="18"/>
              <w:spacing w:before="94"/>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35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jc w:val="center"/>
        </w:trPr>
        <w:tc>
          <w:tcPr>
            <w:tcW w:w="1505"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容器云平台部署与运维</w:t>
            </w:r>
          </w:p>
        </w:tc>
        <w:tc>
          <w:tcPr>
            <w:tcW w:w="2058"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任务1 </w:t>
            </w:r>
          </w:p>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容器基本环境配置</w:t>
            </w:r>
          </w:p>
        </w:tc>
        <w:tc>
          <w:tcPr>
            <w:tcW w:w="5130"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DockerCE的安装与配置， Docker compose 的安装、配置与使用，私有仓库搭建、配置、管理和使用，Docker镜像管理及容器管理运维。</w:t>
            </w:r>
          </w:p>
        </w:tc>
        <w:tc>
          <w:tcPr>
            <w:tcW w:w="1007" w:type="dxa"/>
            <w:vAlign w:val="center"/>
          </w:tcPr>
          <w:p>
            <w:pPr>
              <w:pStyle w:val="18"/>
              <w:spacing w:before="178"/>
              <w:ind w:left="138" w:right="23"/>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4" w:hRule="atLeast"/>
          <w:jc w:val="center"/>
        </w:trPr>
        <w:tc>
          <w:tcPr>
            <w:tcW w:w="1505" w:type="dxa"/>
            <w:vMerge w:val="continue"/>
            <w:tcBorders>
              <w:top w:val="nil"/>
            </w:tcBorders>
            <w:vAlign w:val="center"/>
          </w:tcPr>
          <w:p>
            <w:pPr>
              <w:jc w:val="center"/>
              <w:rPr>
                <w:rFonts w:ascii="仿宋_GB2312" w:hAnsi="仿宋_GB2312" w:eastAsia="仿宋_GB2312" w:cs="仿宋_GB2312"/>
                <w:sz w:val="24"/>
              </w:rPr>
            </w:pPr>
          </w:p>
        </w:tc>
        <w:tc>
          <w:tcPr>
            <w:tcW w:w="2058"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任务2 </w:t>
            </w:r>
          </w:p>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Kubernetes容器云平台部署与运维</w:t>
            </w:r>
          </w:p>
        </w:tc>
        <w:tc>
          <w:tcPr>
            <w:tcW w:w="5130"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Kubernetes集群的安装、配置、管理与运维，基于Kubernetes集群应用部署及容器编排。</w:t>
            </w:r>
          </w:p>
        </w:tc>
        <w:tc>
          <w:tcPr>
            <w:tcW w:w="1007" w:type="dxa"/>
            <w:vAlign w:val="center"/>
          </w:tcPr>
          <w:p>
            <w:pPr>
              <w:pStyle w:val="18"/>
              <w:spacing w:before="1"/>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5" w:hRule="atLeast"/>
          <w:jc w:val="center"/>
        </w:trPr>
        <w:tc>
          <w:tcPr>
            <w:tcW w:w="1505" w:type="dxa"/>
            <w:vMerge w:val="continue"/>
            <w:tcBorders>
              <w:top w:val="nil"/>
            </w:tcBorders>
            <w:vAlign w:val="center"/>
          </w:tcPr>
          <w:p>
            <w:pPr>
              <w:jc w:val="center"/>
              <w:rPr>
                <w:rFonts w:ascii="仿宋_GB2312" w:hAnsi="仿宋_GB2312" w:eastAsia="仿宋_GB2312" w:cs="仿宋_GB2312"/>
                <w:sz w:val="24"/>
              </w:rPr>
            </w:pPr>
          </w:p>
        </w:tc>
        <w:tc>
          <w:tcPr>
            <w:tcW w:w="2058"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任务3 </w:t>
            </w:r>
          </w:p>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基于Docker容器的web应用系统部署</w:t>
            </w:r>
          </w:p>
        </w:tc>
        <w:tc>
          <w:tcPr>
            <w:tcW w:w="5130"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使用容器实现系统打包，微服务系统搭建，消息中间件系统搭建，负载均衡应用，数据库访问与管理，容器编排，访问控制。</w:t>
            </w:r>
          </w:p>
        </w:tc>
        <w:tc>
          <w:tcPr>
            <w:tcW w:w="1007" w:type="dxa"/>
            <w:vAlign w:val="center"/>
          </w:tcPr>
          <w:p>
            <w:pPr>
              <w:pStyle w:val="18"/>
              <w:spacing w:before="1"/>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1505" w:type="dxa"/>
            <w:vMerge w:val="continue"/>
            <w:tcBorders>
              <w:top w:val="nil"/>
            </w:tcBorders>
            <w:vAlign w:val="center"/>
          </w:tcPr>
          <w:p>
            <w:pPr>
              <w:jc w:val="center"/>
              <w:rPr>
                <w:rFonts w:ascii="仿宋_GB2312" w:hAnsi="仿宋_GB2312" w:eastAsia="仿宋_GB2312" w:cs="仿宋_GB2312"/>
                <w:sz w:val="24"/>
              </w:rPr>
            </w:pPr>
          </w:p>
        </w:tc>
        <w:tc>
          <w:tcPr>
            <w:tcW w:w="2058"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任务4 </w:t>
            </w:r>
          </w:p>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基于Kubernetes构建持续集成</w:t>
            </w:r>
          </w:p>
        </w:tc>
        <w:tc>
          <w:tcPr>
            <w:tcW w:w="5130"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实现容器持续集成工具安装，典型工具链搭建，项目持续集成环境部署。</w:t>
            </w:r>
          </w:p>
        </w:tc>
        <w:tc>
          <w:tcPr>
            <w:tcW w:w="1007" w:type="dxa"/>
            <w:vAlign w:val="center"/>
          </w:tcPr>
          <w:p>
            <w:pPr>
              <w:pStyle w:val="18"/>
              <w:spacing w:before="1"/>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1505" w:type="dxa"/>
            <w:vMerge w:val="continue"/>
            <w:tcBorders>
              <w:top w:val="nil"/>
            </w:tcBorders>
            <w:vAlign w:val="center"/>
          </w:tcPr>
          <w:p>
            <w:pPr>
              <w:jc w:val="center"/>
              <w:rPr>
                <w:rFonts w:ascii="仿宋_GB2312" w:hAnsi="仿宋_GB2312" w:eastAsia="仿宋_GB2312" w:cs="仿宋_GB2312"/>
                <w:sz w:val="24"/>
              </w:rPr>
            </w:pPr>
          </w:p>
        </w:tc>
        <w:tc>
          <w:tcPr>
            <w:tcW w:w="7188" w:type="dxa"/>
            <w:gridSpan w:val="3"/>
            <w:vAlign w:val="center"/>
          </w:tcPr>
          <w:p>
            <w:pPr>
              <w:pStyle w:val="18"/>
              <w:spacing w:before="94"/>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小计</w:t>
            </w:r>
          </w:p>
        </w:tc>
        <w:tc>
          <w:tcPr>
            <w:tcW w:w="1007" w:type="dxa"/>
            <w:vAlign w:val="center"/>
          </w:tcPr>
          <w:p>
            <w:pPr>
              <w:pStyle w:val="18"/>
              <w:spacing w:before="94"/>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35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jc w:val="center"/>
        </w:trPr>
        <w:tc>
          <w:tcPr>
            <w:tcW w:w="1505"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公有云部署与运维</w:t>
            </w:r>
          </w:p>
        </w:tc>
        <w:tc>
          <w:tcPr>
            <w:tcW w:w="2058"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任务1 </w:t>
            </w:r>
          </w:p>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基础设施构建</w:t>
            </w:r>
          </w:p>
        </w:tc>
        <w:tc>
          <w:tcPr>
            <w:tcW w:w="5130"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实现公有云网络规划与配置，云主机配置、云数据库配置，云存储配置，云安全配置， 系统上云搭建。 </w:t>
            </w:r>
          </w:p>
        </w:tc>
        <w:tc>
          <w:tcPr>
            <w:tcW w:w="1007" w:type="dxa"/>
            <w:vAlign w:val="center"/>
          </w:tcPr>
          <w:p>
            <w:pPr>
              <w:pStyle w:val="18"/>
              <w:spacing w:before="178"/>
              <w:ind w:left="138" w:right="23"/>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505" w:type="dxa"/>
            <w:vMerge w:val="continue"/>
            <w:tcBorders>
              <w:top w:val="nil"/>
            </w:tcBorders>
          </w:tcPr>
          <w:p>
            <w:pPr>
              <w:rPr>
                <w:rFonts w:ascii="仿宋_GB2312" w:hAnsi="仿宋_GB2312" w:eastAsia="仿宋_GB2312" w:cs="仿宋_GB2312"/>
                <w:sz w:val="24"/>
              </w:rPr>
            </w:pPr>
          </w:p>
        </w:tc>
        <w:tc>
          <w:tcPr>
            <w:tcW w:w="2058" w:type="dxa"/>
            <w:gridSpan w:val="2"/>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任务2 </w:t>
            </w:r>
          </w:p>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系统管理与维护 </w:t>
            </w:r>
          </w:p>
        </w:tc>
        <w:tc>
          <w:tcPr>
            <w:tcW w:w="5130"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 xml:space="preserve">针对上云系统实现公有云弹性伸缩、高可用、数据迁移、服务迁移、实时监控运维。 </w:t>
            </w:r>
          </w:p>
        </w:tc>
        <w:tc>
          <w:tcPr>
            <w:tcW w:w="1007" w:type="dxa"/>
            <w:vAlign w:val="center"/>
          </w:tcPr>
          <w:p>
            <w:pPr>
              <w:pStyle w:val="18"/>
              <w:spacing w:before="178"/>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1505" w:type="dxa"/>
            <w:vMerge w:val="continue"/>
            <w:tcBorders>
              <w:top w:val="nil"/>
            </w:tcBorders>
          </w:tcPr>
          <w:p>
            <w:pPr>
              <w:rPr>
                <w:rFonts w:ascii="仿宋_GB2312" w:hAnsi="仿宋_GB2312" w:eastAsia="仿宋_GB2312" w:cs="仿宋_GB2312"/>
                <w:sz w:val="24"/>
              </w:rPr>
            </w:pPr>
          </w:p>
        </w:tc>
        <w:tc>
          <w:tcPr>
            <w:tcW w:w="7188" w:type="dxa"/>
            <w:gridSpan w:val="3"/>
            <w:vAlign w:val="center"/>
          </w:tcPr>
          <w:p>
            <w:pPr>
              <w:pStyle w:val="18"/>
              <w:spacing w:before="94"/>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小计</w:t>
            </w:r>
          </w:p>
        </w:tc>
        <w:tc>
          <w:tcPr>
            <w:tcW w:w="1007" w:type="dxa"/>
            <w:vAlign w:val="center"/>
          </w:tcPr>
          <w:p>
            <w:pPr>
              <w:pStyle w:val="18"/>
              <w:spacing w:before="94"/>
              <w:jc w:val="center"/>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8693" w:type="dxa"/>
            <w:gridSpan w:val="4"/>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总分</w:t>
            </w:r>
          </w:p>
        </w:tc>
        <w:tc>
          <w:tcPr>
            <w:tcW w:w="1007" w:type="dxa"/>
            <w:vAlign w:val="center"/>
          </w:tcPr>
          <w:p>
            <w:pPr>
              <w:pStyle w:val="1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仿宋_GB2312" w:hAnsi="仿宋_GB2312" w:eastAsia="仿宋_GB2312" w:cs="仿宋_GB2312"/>
                <w:sz w:val="24"/>
                <w:lang w:val="en-US" w:bidi="ar-SA"/>
              </w:rPr>
            </w:pPr>
            <w:r>
              <w:rPr>
                <w:rFonts w:hint="eastAsia" w:ascii="仿宋_GB2312" w:hAnsi="仿宋_GB2312" w:eastAsia="仿宋_GB2312" w:cs="仿宋_GB2312"/>
                <w:sz w:val="24"/>
                <w:lang w:val="en-US" w:bidi="ar-SA"/>
              </w:rPr>
              <w:t>100 分</w:t>
            </w:r>
          </w:p>
        </w:tc>
      </w:tr>
    </w:tbl>
    <w:p>
      <w:pPr>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（二）组织分工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1.本竞赛参与赛项成绩管理的组织机构包括裁判组、监督组和仲裁组，受赛项执委会领导。裁判组设置裁判3人，包括裁判长1名，裁判2名。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2.监督组对裁判组的工作进行全程监督，并对竞赛成绩抽检复核。</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3.仲裁组负责接受由参赛队领队提出的对裁判结果的申诉，组织复议并及时反馈复议结果。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4.竞赛将制定裁判遴选管理办法、赛事保密细则和预案、命题管理办法等制度，保证竞赛的公平公正。赞助企业、参赛院校不安排人员进入裁判团队。</w:t>
      </w:r>
    </w:p>
    <w:p>
      <w:pPr>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（三）评分方法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1.本赛项的评分方法分为：现场评分和结果评分。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2.根据评分标准设计评分表，包括现场打分和竞赛成果打分。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3.现场评分。对参赛队的操作规范、现场表现等进行评分。评分结果由参赛选手、裁判员、裁判长签字确认。</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4.结果评分。结果评分是对参赛选手提交的竞赛成果，依据赛项评分标准进行评价评分。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5.每个裁判小组汇总本组所有的评分表，计算成绩，本组裁判成员签字确认。成绩汇总表备案以供核查。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7.竞赛成绩经复核无误后，经裁判长、监督人员审核签字后公布。</w:t>
      </w:r>
    </w:p>
    <w:p>
      <w:pPr>
        <w:ind w:firstLine="600" w:firstLineChars="200"/>
        <w:rPr>
          <w:rFonts w:ascii="黑体" w:hAnsi="黑体" w:eastAsia="黑体" w:cs="黑体"/>
          <w:sz w:val="30"/>
          <w:szCs w:val="30"/>
        </w:rPr>
      </w:pPr>
      <w:bookmarkStart w:id="18" w:name="_Toc54871764"/>
      <w:bookmarkStart w:id="19" w:name="_Toc54872741"/>
      <w:r>
        <w:rPr>
          <w:rFonts w:hint="eastAsia" w:ascii="黑体" w:hAnsi="黑体" w:eastAsia="黑体" w:cs="黑体"/>
          <w:sz w:val="30"/>
          <w:szCs w:val="30"/>
        </w:rPr>
        <w:t>十二、赛场预案</w:t>
      </w:r>
      <w:bookmarkEnd w:id="18"/>
      <w:bookmarkEnd w:id="19"/>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赛场备用工位：赛场提供占总参赛队伍5%的备用工位。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考试系统可靠性：考试系统，使用高可用架构，数据库使用Mariadb高可用架构，存储使用HDFS高可用架构。赛前一周开始运行，经过多次压力测试，由学校组织的真实考试环境测试。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考试备用服务器：现场提供占总参赛队伍10%的备用服务器。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现场应急预案详情，如下：</w:t>
      </w:r>
    </w:p>
    <w:p>
      <w:pPr>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（一）服务器问题预案</w:t>
      </w:r>
    </w:p>
    <w:p>
      <w:pPr>
        <w:spacing w:line="560" w:lineRule="exact"/>
        <w:ind w:firstLine="600" w:firstLineChars="200"/>
        <w:rPr>
          <w:rFonts w:hAnsi="宋体"/>
          <w:bCs/>
          <w:sz w:val="28"/>
          <w:szCs w:val="28"/>
        </w:rPr>
      </w:pPr>
      <w:r>
        <w:rPr>
          <w:rFonts w:hint="eastAsia" w:ascii="仿宋_GB2312" w:hAnsi="仿宋_GB2312" w:eastAsia="仿宋_GB2312" w:cs="仿宋_GB2312"/>
          <w:sz w:val="30"/>
          <w:szCs w:val="30"/>
        </w:rPr>
        <w:t>若服务器在比赛过程中出现卡顿、死机等情况，参选选手举手示意裁判，在现场裁判与技术支持人员确定情况后，可更换服务器。更换服务器的等待时间，可在比赛结束后延时。</w:t>
      </w:r>
    </w:p>
    <w:p>
      <w:pPr>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（二）交换机问题预案</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若交换机在比赛过程中出现传输速度慢或无故中断等情况，参选选手举手示意裁判，在现场裁判与技术支持人员确定情况后，可更换交换机。更换交换机的等待时间，可在比赛结束后延时。</w:t>
      </w:r>
    </w:p>
    <w:p>
      <w:pPr>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（三）PC机问题预案</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若PC机在比赛过程中出现死机、蓝屏等现象（重启后无法解决），参赛选手举手示意裁判，在现场裁判与技术支持人员确定情况后，可更换备用工位或更换PC机进行答题。</w:t>
      </w:r>
    </w:p>
    <w:p>
      <w:pPr>
        <w:ind w:firstLine="600" w:firstLineChars="200"/>
        <w:rPr>
          <w:rFonts w:ascii="黑体" w:hAnsi="黑体" w:eastAsia="黑体" w:cs="黑体"/>
          <w:sz w:val="30"/>
          <w:szCs w:val="30"/>
        </w:rPr>
      </w:pPr>
      <w:bookmarkStart w:id="20" w:name="_Toc54872742"/>
      <w:bookmarkStart w:id="21" w:name="_Toc54871765"/>
      <w:r>
        <w:rPr>
          <w:rFonts w:hint="eastAsia" w:ascii="黑体" w:hAnsi="黑体" w:eastAsia="黑体" w:cs="黑体"/>
          <w:sz w:val="30"/>
          <w:szCs w:val="30"/>
        </w:rPr>
        <w:t>十三、奖项设置</w:t>
      </w:r>
      <w:bookmarkEnd w:id="20"/>
      <w:bookmarkEnd w:id="21"/>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1.本竞赛项目分设一、二、三等奖，获奖比例为实际参赛队数的1</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 xml:space="preserve">%、30%，获奖选手由竞赛主办单位颁发获奖证书。 </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2.对本次竞赛组织工作突出并取得优异成绩的学校、指导教师、赞助企业和优秀工作人员由竞赛主办单位颁发荣誉证书。</w:t>
      </w:r>
    </w:p>
    <w:p>
      <w:pPr>
        <w:ind w:firstLine="600" w:firstLineChars="200"/>
        <w:rPr>
          <w:rFonts w:ascii="黑体" w:hAnsi="黑体" w:eastAsia="黑体" w:cs="黑体"/>
          <w:sz w:val="30"/>
          <w:szCs w:val="30"/>
        </w:rPr>
      </w:pPr>
      <w:bookmarkStart w:id="22" w:name="_Toc54871766"/>
      <w:bookmarkStart w:id="23" w:name="_Toc54872743"/>
      <w:r>
        <w:rPr>
          <w:rFonts w:hint="eastAsia" w:ascii="黑体" w:hAnsi="黑体" w:eastAsia="黑体" w:cs="黑体"/>
          <w:sz w:val="30"/>
          <w:szCs w:val="30"/>
        </w:rPr>
        <w:t>十四、申诉与仲裁</w:t>
      </w:r>
      <w:bookmarkEnd w:id="22"/>
      <w:bookmarkEnd w:id="23"/>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1.各参赛队对不符合大赛和赛项规程规定的仪器、设备、工装、材料、物件、计算机软硬件、竞赛使用工具、用品，竞赛执裁、赛场管理，以及工作人员的不规范行为等，可向仲裁组提出申诉。</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2.申诉主体为参赛队领队。</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3.申诉启动时，参赛队以该队领队亲笔签字同意的书面报告的形式递交仲裁组。报告应对申诉事件的现象、发生时间、涉及人员、申诉依据等进行充分、实事求是的叙述。非书面申诉不予受理。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4.提出申诉应在赛项比赛结束后1小时内向仲裁组提出。超过时效不予受理。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5.仲裁工作组在接到申诉报告后的1小时内组织复议，并及时将复议结果以书面形式告知申诉方。</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6.对仲裁组复议结果不服的，可由代表队所在院校校级领导向大赛仲裁委员会提出申诉。大赛仲裁委员会的仲裁结果为最终结果。</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7.申诉方不得以任何理由拒绝接收仲裁结果；不得以任何理由采取过激行为扰乱赛场秩序；仲裁结果由申诉人签收，不能代收；如在约定时间和地点申诉人离开，视为自行放弃申诉。</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8.申诉方可随时提出放弃申诉。</w:t>
      </w:r>
    </w:p>
    <w:p>
      <w:pPr>
        <w:ind w:firstLine="600" w:firstLineChars="200"/>
        <w:rPr>
          <w:rFonts w:ascii="黑体" w:hAnsi="黑体" w:eastAsia="黑体"/>
          <w:bCs/>
          <w:color w:val="0D0D0D"/>
          <w:sz w:val="30"/>
          <w:szCs w:val="30"/>
        </w:rPr>
      </w:pPr>
      <w:bookmarkStart w:id="24" w:name="_Toc54871767"/>
      <w:bookmarkStart w:id="25" w:name="_Toc54872744"/>
      <w:r>
        <w:rPr>
          <w:rFonts w:hint="eastAsia" w:ascii="黑体" w:hAnsi="黑体" w:eastAsia="黑体"/>
          <w:bCs/>
          <w:color w:val="0D0D0D"/>
          <w:sz w:val="30"/>
          <w:szCs w:val="30"/>
        </w:rPr>
        <w:t>十五、竞赛观摩</w:t>
      </w:r>
      <w:bookmarkEnd w:id="24"/>
      <w:bookmarkEnd w:id="25"/>
    </w:p>
    <w:p>
      <w:pPr>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（一）公开观摩</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赛场内设定观摩区域和参观路线，向媒体、企业代表、院校师生及家长等社会公众开放，不允许有大声喧哗等影响参赛选手竞赛的行为发生。指导教师不能进入赛场内指导，可以观摩。</w:t>
      </w:r>
    </w:p>
    <w:p>
      <w:pPr>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（二）组织安排</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竞赛开始1个小时之后，在竞赛不被干扰的前提下开放赛场。由赛项执委会组织并派人带领媒体、专家、企业代表、院校师生及家长等进入赛场指定区域和路线进行观摩。</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赛场外开放式展区设专人接待讲解，组织参赛队指导老师参观云计算实验室、聘请行业专家对云计算赛项和专业进行经验分享和发展探索。</w:t>
      </w:r>
    </w:p>
    <w:p>
      <w:pPr>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（三）纪律要求</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为保证大赛顺利进行，在观摩期间应遵循以下纪律要求：</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1.除与竞赛直接有关工作人员、裁判员、参赛选手外，其余人员均为观摩观众。</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2.请勿在选手准备或比赛中交谈或欢呼；请勿对选手打手势，包括哑语沟通等明示、暗示行为，禁止鼓掌喝彩等影响选手的行为。</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3.请勿在观摩赛场地内使用相机、摄影机等一切对比赛正常进行造成干扰的带有闪光灯及快门音的设备。观摩人员不允许拍照。</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4.不得违反省职业院校技能大赛规定的各项纪律。请站在规划观摩席或者安全线以外观看比赛，并遵循赛场内工作人员和竞赛裁判人员的指挥，不得有围攻裁判员、选手或者其他工作人员的行为。</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5.请务必保持赛场清洁，严禁将饮料、食品、包装、烟头及其他杂物带入赛场。</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6.为确保选手正常比赛，观众严禁携带手机及其他任何通讯工具，违者将除本被驱逐出观摩赛场地，还将视情况严重程度进行处理。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7.如果对裁判打分及观摩赛项成绩产生质疑的，请通过各参赛队领队向仲裁组会提出，不得在比赛现场发言。</w:t>
      </w:r>
    </w:p>
    <w:p>
      <w:pPr>
        <w:ind w:firstLine="600" w:firstLineChars="200"/>
        <w:rPr>
          <w:rFonts w:ascii="黑体" w:hAnsi="黑体" w:eastAsia="黑体"/>
          <w:bCs/>
          <w:color w:val="0D0D0D"/>
          <w:sz w:val="30"/>
          <w:szCs w:val="30"/>
        </w:rPr>
      </w:pPr>
      <w:bookmarkStart w:id="26" w:name="_Toc54872745"/>
      <w:bookmarkStart w:id="27" w:name="_Toc54871768"/>
      <w:r>
        <w:rPr>
          <w:rFonts w:hint="eastAsia" w:ascii="黑体" w:hAnsi="黑体" w:eastAsia="黑体"/>
          <w:bCs/>
          <w:color w:val="0D0D0D"/>
          <w:sz w:val="30"/>
          <w:szCs w:val="30"/>
        </w:rPr>
        <w:t>十六、竞赛直播</w:t>
      </w:r>
      <w:bookmarkEnd w:id="26"/>
      <w:bookmarkEnd w:id="27"/>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场外布置开放式展区，通过室外大屏幕对赛场直播，通过竞赛考试系统进度监控图实时观看选手答题进度（若有条件）。赛场外还设立展览展示区域，展示云计算赛项、专业及行业的发展成果，将云计算在人们生活中的应用对公众进行展现和传播。</w:t>
      </w:r>
    </w:p>
    <w:p>
      <w:pPr>
        <w:ind w:firstLine="600" w:firstLineChars="200"/>
        <w:rPr>
          <w:rFonts w:ascii="黑体" w:hAnsi="黑体" w:eastAsia="黑体"/>
          <w:bCs/>
          <w:color w:val="0D0D0D"/>
          <w:sz w:val="30"/>
          <w:szCs w:val="30"/>
        </w:rPr>
      </w:pPr>
      <w:bookmarkStart w:id="28" w:name="_Toc54871769"/>
      <w:bookmarkStart w:id="29" w:name="_Toc54872746"/>
      <w:r>
        <w:rPr>
          <w:rFonts w:hint="eastAsia" w:ascii="黑体" w:hAnsi="黑体" w:eastAsia="黑体"/>
          <w:bCs/>
          <w:color w:val="0D0D0D"/>
          <w:sz w:val="30"/>
          <w:szCs w:val="30"/>
        </w:rPr>
        <w:t>十七、竞赛须知</w:t>
      </w:r>
      <w:bookmarkEnd w:id="28"/>
      <w:bookmarkEnd w:id="29"/>
    </w:p>
    <w:p>
      <w:pPr>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（一）参赛队须知</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1.每支参赛队由1名学生组成，性别和年级不限。</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参赛队应仔细阅读大赛执委会发布的文件内容，确切了解大赛时间安排、评判细节等，以保证顺利参赛；要按执委会统一要求，准时到达赛前说明会现场，会议期间要认真领会会议内容，如有不明之处，可直接向工作人员询问。</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3.参赛队按照大赛赛程安排，凭大赛执委会颁发的参赛证和有效身份证件参加竞赛及相关活动。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4.在比赛期间，各参赛队要注意饮食卫生，防止食物中毒；各参赛队要保证所有参赛选手的安全，防止交通事故和其他意外情况的发生。</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5.参加比赛前要求参赛队为参赛选手购买人身意外伤害保险。</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6.各参赛队应在竞赛开始前一天规定的时间段进入赛场熟悉环境。入场后，赛场工作人员与参赛选手共同确认操作条件及设备状况，参赛队员必须确认材料、工具等。</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7.本规则没有规定的行为，裁判组有权做出裁决。在有争议的情况下，仲裁工作组的裁决是最终裁决。</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8.本竞赛项目的解释权归大赛执委会。</w:t>
      </w:r>
    </w:p>
    <w:p>
      <w:pPr>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（二）指导教师须知</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1.各参赛代表队要发扬良好道德风尚，听从指挥，服从裁判，不弄虚作假。如发现弄虚作假者，取消参赛资格，名次无效。</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2.各代表队领队要坚决执行竞赛的各项规定，加强对参赛人员的管理，做好赛前准备工作，督促选手带好证件等竞赛相关材料。</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3.竞赛过程中，除参加当场次竞赛的选手、执行裁判员、现场工作人员和经批准的人员外，领队、指导教师及其他人员一律不得进入竞赛现场。</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4.参赛代表队若对竞赛过程有异议，在规定的时间内由领队向赛项仲裁工作组提出书面报告。</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5.对申诉的仲裁结果，领队要带头服从和执行，并做好选手工作。参赛选手不得因申诉或对处理意见不服而停止竞赛，否则以弃权处理。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6.指导老师应及时查看大赛专用网页有关赛项的通知和内容，认真研究和掌握本赛项竞赛的规程、技术规范和赛场要求，指导选手做好赛前的一切技术准备和竞赛准备。</w:t>
      </w:r>
    </w:p>
    <w:p>
      <w:pPr>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（三）参赛选手须知</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参赛选手在报名获得确认后，原则上不再更换。如在筹备过程中，选手因故不能参赛，所在省教育主管部门需出具书面说明并按相关参赛选手资格要求补充人员并接受审核；竞赛开始后，参赛队不得更换参赛选手，允许队员缺席比赛。不允许更换新的指导教师，允许指导教师缺席。</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2.参赛选手严格遵守赛场规章、操作规程和工艺准则，保证人身及设备安全，接受裁判员的监督和警示，文明竞赛。</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3.参赛选手凭证进入赛场，在赛场内操作期间应当始终佩戴参赛凭证以备检查。</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4.参赛选手进入赛场，不允许携带任何书籍和其他纸质资料（相关技术资料的电子文档由赛项执委会提供），不允许携带通讯工具和存储设备（如U盘）。竞赛统一提供计算机以及应用软件。</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5.各参赛队应在竞赛开始前一天规定的时间段进入赛场熟悉环境。入场后，赛场工作人员与参赛选手共同确认操作条件及设备状况，参赛队员必须确认材料、工具等。</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6.竞赛时，在收到开赛信号前不得启动操作设备。各参赛队自行决定分工、工作程序和时间安排。在指定赛位上完成竞赛项目，严禁作弊行为。</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7.竞赛过程中，因严重操作失误或安全事故不能进行比赛的（例如因综合布线发生短路导致赛场断电、造成设备不能正常工作），现场裁判员有权中止该队比赛。</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8.在比赛期间，选手在8:00-16:00连续工作，饮水等由赛场统一提供。选手休息、饮食或如厕时间均计算在比赛时间内。</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9.凡在竞赛期间提前离开的选手，当天不得返回赛场。</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10.为培养技能型人才的工作风格，在参赛期间，选手应当注意保持工作环境及设备摆放符合企业生产“5S”（即整理、整顿、清扫、清洁和素养）的原则，如果过于脏乱，裁判员有权酌情扣分。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11.在竞赛中如遇非人为因素造成的设备故障，经裁判员确认后，可向裁判长申请补足排除故障的时间。</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12.参赛队欲提前结束比赛，应向现场裁判员举手示意，由裁判员记录竞赛终止时间。竞赛终止后，不得再进行任何与竞赛有关的操作。</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13.各竞赛队按照大赛要求和赛题要求提交竞赛成果，禁止在竞赛成果上做任何与竞赛无关的记号。</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14.竞赛操作结束后，参赛队要确认成功提交竞赛要求的文件，裁判员在比赛结果的规定位置做标记，并与参赛队一起签字确认。</w:t>
      </w:r>
    </w:p>
    <w:p>
      <w:pPr>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（四）工作人员须知</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1.赛项全体工作人员必须服从执委会统一指挥，要以高度负责的态度做好比赛服务工作。</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2.全体工作人员要按照工作分区准时到岗，尽职尽责，做好职责工作并做好临时性工作，保证比赛顺利进行。</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3.全体工作人员必须佩戴标志，认真检查证件，经核对无误后方可允许相关人员进入指定地点。</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4.如遇突发事件要及时向执委会报告，同时做好疏导工作，避免重大事故发生，确保大赛圆满成功。</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5.各工作组负责人，要坚守岗位，组织落实本组成员高效率完成各自工作任务，做好监督协调工作。</w:t>
      </w:r>
    </w:p>
    <w:p>
      <w:pPr>
        <w:spacing w:line="560" w:lineRule="exact"/>
        <w:ind w:firstLine="600" w:firstLineChars="200"/>
        <w:rPr>
          <w:rFonts w:eastAsia="仿宋"/>
          <w:sz w:val="24"/>
        </w:rPr>
      </w:pPr>
      <w:r>
        <w:rPr>
          <w:rFonts w:hint="eastAsia" w:ascii="仿宋_GB2312" w:hAnsi="仿宋_GB2312" w:eastAsia="仿宋_GB2312" w:cs="仿宋_GB2312"/>
          <w:sz w:val="30"/>
          <w:szCs w:val="30"/>
        </w:rPr>
        <w:t>6.全体工作人员不得在比赛场内接打电话，以保证赛场设施的正常工作。</w:t>
      </w:r>
    </w:p>
    <w:sectPr>
      <w:pgSz w:w="11906" w:h="16838"/>
      <w:pgMar w:top="2098" w:right="1474" w:bottom="1984" w:left="1587" w:header="851" w:footer="992" w:gutter="0"/>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210"/>
  <w:drawingGridVerticalSpacing w:val="29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69"/>
    <w:rsid w:val="00015D15"/>
    <w:rsid w:val="000475AA"/>
    <w:rsid w:val="00073E90"/>
    <w:rsid w:val="00096FFD"/>
    <w:rsid w:val="00097010"/>
    <w:rsid w:val="000970E7"/>
    <w:rsid w:val="000A7E40"/>
    <w:rsid w:val="000F02AA"/>
    <w:rsid w:val="000F36AD"/>
    <w:rsid w:val="00113352"/>
    <w:rsid w:val="001276D8"/>
    <w:rsid w:val="001304AD"/>
    <w:rsid w:val="00142F36"/>
    <w:rsid w:val="00144FE2"/>
    <w:rsid w:val="00156891"/>
    <w:rsid w:val="001635DA"/>
    <w:rsid w:val="00181ED1"/>
    <w:rsid w:val="001A33CE"/>
    <w:rsid w:val="001A418E"/>
    <w:rsid w:val="001B1702"/>
    <w:rsid w:val="001C3EE5"/>
    <w:rsid w:val="001D71BF"/>
    <w:rsid w:val="001E1CAF"/>
    <w:rsid w:val="001E2B27"/>
    <w:rsid w:val="001F6303"/>
    <w:rsid w:val="002244EF"/>
    <w:rsid w:val="0023219E"/>
    <w:rsid w:val="002A3FB9"/>
    <w:rsid w:val="002A45F7"/>
    <w:rsid w:val="0030357E"/>
    <w:rsid w:val="00310172"/>
    <w:rsid w:val="003109DD"/>
    <w:rsid w:val="0031489F"/>
    <w:rsid w:val="00332EE5"/>
    <w:rsid w:val="0039677B"/>
    <w:rsid w:val="003B7296"/>
    <w:rsid w:val="003C46E6"/>
    <w:rsid w:val="003E6303"/>
    <w:rsid w:val="004414CA"/>
    <w:rsid w:val="004469F8"/>
    <w:rsid w:val="004517E1"/>
    <w:rsid w:val="00464597"/>
    <w:rsid w:val="0046684B"/>
    <w:rsid w:val="00467BA9"/>
    <w:rsid w:val="0047504C"/>
    <w:rsid w:val="004961BD"/>
    <w:rsid w:val="0049760C"/>
    <w:rsid w:val="004C49FE"/>
    <w:rsid w:val="004F6CE2"/>
    <w:rsid w:val="005058DA"/>
    <w:rsid w:val="0051224F"/>
    <w:rsid w:val="0054426F"/>
    <w:rsid w:val="0054458D"/>
    <w:rsid w:val="00560C39"/>
    <w:rsid w:val="00574BD8"/>
    <w:rsid w:val="005833E3"/>
    <w:rsid w:val="005A2B55"/>
    <w:rsid w:val="005B0181"/>
    <w:rsid w:val="00617FA4"/>
    <w:rsid w:val="006F721B"/>
    <w:rsid w:val="00722A18"/>
    <w:rsid w:val="00735DA4"/>
    <w:rsid w:val="00745496"/>
    <w:rsid w:val="00766198"/>
    <w:rsid w:val="007805DE"/>
    <w:rsid w:val="007829C2"/>
    <w:rsid w:val="007A7813"/>
    <w:rsid w:val="007B63E7"/>
    <w:rsid w:val="007D6447"/>
    <w:rsid w:val="00803090"/>
    <w:rsid w:val="00831A6A"/>
    <w:rsid w:val="00851213"/>
    <w:rsid w:val="00866B97"/>
    <w:rsid w:val="00875FAD"/>
    <w:rsid w:val="00886C05"/>
    <w:rsid w:val="008D1FBF"/>
    <w:rsid w:val="008F6B86"/>
    <w:rsid w:val="009037F7"/>
    <w:rsid w:val="00910675"/>
    <w:rsid w:val="0091512F"/>
    <w:rsid w:val="009612B7"/>
    <w:rsid w:val="009816BB"/>
    <w:rsid w:val="009B196F"/>
    <w:rsid w:val="009E18B1"/>
    <w:rsid w:val="009E26C3"/>
    <w:rsid w:val="009F0FA2"/>
    <w:rsid w:val="00A25F98"/>
    <w:rsid w:val="00A36A81"/>
    <w:rsid w:val="00A513CD"/>
    <w:rsid w:val="00A76907"/>
    <w:rsid w:val="00AD4A2C"/>
    <w:rsid w:val="00AD5A36"/>
    <w:rsid w:val="00AF4D90"/>
    <w:rsid w:val="00B10233"/>
    <w:rsid w:val="00B11443"/>
    <w:rsid w:val="00B17A3B"/>
    <w:rsid w:val="00B22000"/>
    <w:rsid w:val="00B251B0"/>
    <w:rsid w:val="00B511B5"/>
    <w:rsid w:val="00B51F21"/>
    <w:rsid w:val="00B60259"/>
    <w:rsid w:val="00B62A92"/>
    <w:rsid w:val="00B716A1"/>
    <w:rsid w:val="00B77FEE"/>
    <w:rsid w:val="00B92356"/>
    <w:rsid w:val="00B941EE"/>
    <w:rsid w:val="00BC1D7B"/>
    <w:rsid w:val="00C06836"/>
    <w:rsid w:val="00C55142"/>
    <w:rsid w:val="00C651D5"/>
    <w:rsid w:val="00CD0BFE"/>
    <w:rsid w:val="00D303EE"/>
    <w:rsid w:val="00D36C75"/>
    <w:rsid w:val="00D654E1"/>
    <w:rsid w:val="00D95959"/>
    <w:rsid w:val="00DA033C"/>
    <w:rsid w:val="00DB506A"/>
    <w:rsid w:val="00DC4BEA"/>
    <w:rsid w:val="00E247C8"/>
    <w:rsid w:val="00E34422"/>
    <w:rsid w:val="00E60089"/>
    <w:rsid w:val="00E824AB"/>
    <w:rsid w:val="00EA7059"/>
    <w:rsid w:val="00EB03FE"/>
    <w:rsid w:val="00EC13E4"/>
    <w:rsid w:val="00ED2E82"/>
    <w:rsid w:val="00ED74CC"/>
    <w:rsid w:val="00EF6F93"/>
    <w:rsid w:val="00F05CBF"/>
    <w:rsid w:val="00F473C9"/>
    <w:rsid w:val="00F53332"/>
    <w:rsid w:val="00F5708B"/>
    <w:rsid w:val="00F61AA7"/>
    <w:rsid w:val="00F70069"/>
    <w:rsid w:val="00F7202D"/>
    <w:rsid w:val="00FA4A04"/>
    <w:rsid w:val="00FB155E"/>
    <w:rsid w:val="00FB377F"/>
    <w:rsid w:val="00FE4D6F"/>
    <w:rsid w:val="0255607E"/>
    <w:rsid w:val="0A7B7ADF"/>
    <w:rsid w:val="0FDE2743"/>
    <w:rsid w:val="12F215DD"/>
    <w:rsid w:val="14481C3B"/>
    <w:rsid w:val="160B09E0"/>
    <w:rsid w:val="16E3632E"/>
    <w:rsid w:val="1A5152BD"/>
    <w:rsid w:val="1D941E76"/>
    <w:rsid w:val="20055426"/>
    <w:rsid w:val="253E5E5D"/>
    <w:rsid w:val="264F64D6"/>
    <w:rsid w:val="296672B5"/>
    <w:rsid w:val="2C212F4B"/>
    <w:rsid w:val="2D311C4D"/>
    <w:rsid w:val="39471FB0"/>
    <w:rsid w:val="3CB77A73"/>
    <w:rsid w:val="3F95390C"/>
    <w:rsid w:val="40773DE8"/>
    <w:rsid w:val="41447333"/>
    <w:rsid w:val="437F091A"/>
    <w:rsid w:val="43AA7B0C"/>
    <w:rsid w:val="47A318F2"/>
    <w:rsid w:val="47B80A74"/>
    <w:rsid w:val="48F57868"/>
    <w:rsid w:val="49006C65"/>
    <w:rsid w:val="4A653D08"/>
    <w:rsid w:val="4AB5291A"/>
    <w:rsid w:val="4E787EEE"/>
    <w:rsid w:val="50515EAA"/>
    <w:rsid w:val="519E5C0C"/>
    <w:rsid w:val="52564308"/>
    <w:rsid w:val="64542A28"/>
    <w:rsid w:val="69994170"/>
    <w:rsid w:val="6D1A3E9E"/>
    <w:rsid w:val="7318727D"/>
    <w:rsid w:val="74E0329A"/>
    <w:rsid w:val="7878113E"/>
    <w:rsid w:val="79F3713C"/>
    <w:rsid w:val="7C6D181C"/>
    <w:rsid w:val="7C973545"/>
    <w:rsid w:val="7CA84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16"/>
    <w:qFormat/>
    <w:uiPriority w:val="0"/>
    <w:pPr>
      <w:spacing w:before="340" w:after="330" w:line="578" w:lineRule="auto"/>
      <w:outlineLvl w:val="0"/>
    </w:pPr>
    <w:rPr>
      <w:rFonts w:ascii="Times New Roman" w:hAnsi="Times New Roman" w:eastAsia="宋体" w:cs="Times New Roman"/>
      <w:kern w:val="44"/>
      <w:sz w:val="44"/>
      <w:szCs w:val="44"/>
    </w:rPr>
  </w:style>
  <w:style w:type="paragraph" w:styleId="3">
    <w:name w:val="heading 3"/>
    <w:basedOn w:val="1"/>
    <w:next w:val="1"/>
    <w:qFormat/>
    <w:uiPriority w:val="0"/>
    <w:pPr>
      <w:keepNext/>
      <w:keepLines/>
      <w:spacing w:before="260" w:after="260" w:line="413" w:lineRule="auto"/>
      <w:outlineLvl w:val="2"/>
    </w:pPr>
    <w:rPr>
      <w:b/>
      <w:bCs/>
      <w:kern w:val="0"/>
      <w:sz w:val="32"/>
      <w:szCs w:val="32"/>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qFormat/>
    <w:uiPriority w:val="0"/>
    <w:rPr>
      <w:rFonts w:ascii="Times New Roman" w:hAnsi="Times New Roman" w:eastAsia="宋体" w:cs="Times New Roman"/>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HTML 预设格式 Char"/>
    <w:basedOn w:val="9"/>
    <w:link w:val="7"/>
    <w:qFormat/>
    <w:uiPriority w:val="99"/>
    <w:rPr>
      <w:rFonts w:ascii="宋体" w:hAnsi="宋体" w:eastAsia="宋体" w:cs="宋体"/>
      <w:kern w:val="0"/>
      <w:sz w:val="24"/>
      <w:szCs w:val="24"/>
    </w:rPr>
  </w:style>
  <w:style w:type="character" w:customStyle="1" w:styleId="15">
    <w:name w:val="批注框文本 Char"/>
    <w:basedOn w:val="9"/>
    <w:link w:val="4"/>
    <w:semiHidden/>
    <w:qFormat/>
    <w:uiPriority w:val="99"/>
    <w:rPr>
      <w:sz w:val="18"/>
      <w:szCs w:val="18"/>
    </w:rPr>
  </w:style>
  <w:style w:type="character" w:customStyle="1" w:styleId="16">
    <w:name w:val="标题 1 Char"/>
    <w:basedOn w:val="9"/>
    <w:link w:val="2"/>
    <w:qFormat/>
    <w:uiPriority w:val="0"/>
    <w:rPr>
      <w:rFonts w:ascii="Times New Roman" w:hAnsi="Times New Roman" w:eastAsia="宋体" w:cs="Times New Roman"/>
      <w:b/>
      <w:bCs/>
      <w:kern w:val="44"/>
      <w:sz w:val="44"/>
      <w:szCs w:val="44"/>
    </w:rPr>
  </w:style>
  <w:style w:type="paragraph" w:customStyle="1" w:styleId="1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8">
    <w:name w:val="Table Paragraph"/>
    <w:basedOn w:val="1"/>
    <w:qFormat/>
    <w:uiPriority w:val="0"/>
    <w:pPr>
      <w:ind w:left="107"/>
    </w:pPr>
    <w:rPr>
      <w:rFonts w:ascii="宋体" w:hAnsi="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1655</Words>
  <Characters>9435</Characters>
  <Lines>78</Lines>
  <Paragraphs>22</Paragraphs>
  <TotalTime>9</TotalTime>
  <ScaleCrop>false</ScaleCrop>
  <LinksUpToDate>false</LinksUpToDate>
  <CharactersWithSpaces>11068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2020-11-05T02:40:00Z</dcterms:created>
  <dc:creator>mac</dc:creator>
  <cp:lastModifiedBy>刘东洋</cp:lastModifiedBy>
  <dcterms:modified xsi:type="dcterms:W3CDTF">2020-11-10T01:10:23Z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