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after="0" w:line="60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2024年河南省高等职业教育技能大赛</w:t>
      </w:r>
    </w:p>
    <w:p>
      <w:pPr>
        <w:snapToGrid w:val="0"/>
        <w:spacing w:after="0" w:line="600" w:lineRule="exact"/>
        <w:jc w:val="center"/>
        <w:rPr>
          <w:rFonts w:ascii="黑体" w:hAnsi="黑体" w:eastAsia="黑体"/>
          <w:color w:val="000000" w:themeColor="text1"/>
          <w14:textFill>
            <w14:solidFill>
              <w14:schemeClr w14:val="tx1"/>
            </w14:solidFill>
          </w14:textFill>
        </w:rPr>
      </w:pPr>
      <w:r>
        <w:rPr>
          <w:rFonts w:hint="eastAsia" w:ascii="方正小标宋简体" w:hAnsi="方正小标宋简体" w:eastAsia="方正小标宋简体" w:cs="方正小标宋简体"/>
          <w:sz w:val="44"/>
          <w:szCs w:val="44"/>
        </w:rPr>
        <w:t>工业机器人操作与运维赛项竞赛方案</w:t>
      </w:r>
    </w:p>
    <w:p>
      <w:pPr>
        <w:pStyle w:val="10"/>
        <w:spacing w:before="0" w:after="0" w:line="560" w:lineRule="exact"/>
        <w:ind w:firstLine="600" w:firstLineChars="200"/>
        <w:jc w:val="left"/>
        <w:rPr>
          <w:rFonts w:ascii="黑体" w:hAnsi="黑体" w:eastAsia="黑体"/>
          <w:b w:val="0"/>
          <w:color w:val="000000" w:themeColor="text1"/>
          <w:kern w:val="2"/>
          <w:sz w:val="30"/>
          <w:szCs w:val="30"/>
          <w14:textFill>
            <w14:solidFill>
              <w14:schemeClr w14:val="tx1"/>
            </w14:solidFill>
          </w14:textFill>
        </w:rPr>
      </w:pPr>
    </w:p>
    <w:p>
      <w:pPr>
        <w:pStyle w:val="10"/>
        <w:spacing w:before="0" w:after="0" w:line="560" w:lineRule="exact"/>
        <w:ind w:firstLine="600" w:firstLineChars="200"/>
        <w:jc w:val="left"/>
        <w:rPr>
          <w:rFonts w:ascii="黑体" w:hAnsi="黑体" w:eastAsia="黑体"/>
          <w:b w:val="0"/>
          <w:color w:val="000000"/>
          <w:sz w:val="30"/>
          <w:szCs w:val="30"/>
        </w:rPr>
      </w:pPr>
      <w:r>
        <w:rPr>
          <w:rFonts w:hint="eastAsia" w:ascii="黑体" w:hAnsi="黑体" w:eastAsia="黑体"/>
          <w:b w:val="0"/>
          <w:color w:val="000000" w:themeColor="text1"/>
          <w:kern w:val="2"/>
          <w:sz w:val="30"/>
          <w:szCs w:val="30"/>
          <w14:textFill>
            <w14:solidFill>
              <w14:schemeClr w14:val="tx1"/>
            </w14:solidFill>
          </w14:textFill>
        </w:rPr>
        <w:t>一、</w:t>
      </w:r>
      <w:r>
        <w:rPr>
          <w:rFonts w:ascii="黑体" w:hAnsi="黑体" w:eastAsia="黑体"/>
          <w:b w:val="0"/>
          <w:color w:val="000000" w:themeColor="text1"/>
          <w:kern w:val="2"/>
          <w:sz w:val="30"/>
          <w:szCs w:val="30"/>
          <w14:textFill>
            <w14:solidFill>
              <w14:schemeClr w14:val="tx1"/>
            </w14:solidFill>
          </w14:textFill>
        </w:rPr>
        <w:t>赛项名称</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赛项名称：工业机器人操作与运维</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赛项编号：HN027</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赛项组别：专业核心基本技能赛项</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专业大类：装备制造</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竞赛形式：学生组（团体赛）/教师组（团体赛）</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主办单位：河南省教育厅</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承办单位：郑州铁路职业技术学院</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报到及推荐住宿地点：另行通知</w:t>
      </w:r>
    </w:p>
    <w:p>
      <w:pPr>
        <w:pStyle w:val="10"/>
        <w:spacing w:before="0" w:after="0" w:line="560" w:lineRule="exact"/>
        <w:ind w:firstLine="600" w:firstLineChars="200"/>
        <w:jc w:val="left"/>
        <w:rPr>
          <w:rFonts w:ascii="黑体" w:hAnsi="黑体" w:eastAsia="黑体"/>
          <w:b w:val="0"/>
          <w:color w:val="000000" w:themeColor="text1"/>
          <w:kern w:val="2"/>
          <w:sz w:val="30"/>
          <w:szCs w:val="30"/>
          <w14:textFill>
            <w14:solidFill>
              <w14:schemeClr w14:val="tx1"/>
            </w14:solidFill>
          </w14:textFill>
        </w:rPr>
      </w:pPr>
      <w:r>
        <w:rPr>
          <w:rFonts w:hint="eastAsia" w:ascii="黑体" w:hAnsi="黑体" w:eastAsia="黑体"/>
          <w:b w:val="0"/>
          <w:color w:val="000000" w:themeColor="text1"/>
          <w:kern w:val="2"/>
          <w:sz w:val="30"/>
          <w:szCs w:val="30"/>
          <w14:textFill>
            <w14:solidFill>
              <w14:schemeClr w14:val="tx1"/>
            </w14:solidFill>
          </w14:textFill>
        </w:rPr>
        <w:t>二、参赛内容</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参照河南省教育厅发布的《河南省教育厅办公室关于举办2024年河南省高等职业教育技能大赛的通知》中各赛项的竞赛内容，</w:t>
      </w:r>
      <w:bookmarkStart w:id="0" w:name="OLE_LINK4"/>
      <w:bookmarkStart w:id="1" w:name="OLE_LINK3"/>
      <w:r>
        <w:rPr>
          <w:rFonts w:hint="eastAsia" w:ascii="仿宋_GB2312" w:hAnsi="仿宋_GB2312" w:eastAsia="仿宋_GB2312" w:cs="仿宋_GB2312"/>
          <w:color w:val="000000" w:themeColor="text1"/>
          <w14:textFill>
            <w14:solidFill>
              <w14:schemeClr w14:val="tx1"/>
            </w14:solidFill>
          </w14:textFill>
        </w:rPr>
        <w:t>2024年河南省高等职业教育技能大赛专业核心基本技能赛项—工业机器人操作与运维赛项面向装备制造大类，围绕生产、管理、服务一线岗位实际需要和实践要求，选取其中的专业核心基本技能，</w:t>
      </w:r>
      <w:bookmarkEnd w:id="0"/>
      <w:bookmarkEnd w:id="1"/>
      <w:r>
        <w:rPr>
          <w:rFonts w:hint="eastAsia" w:ascii="仿宋_GB2312" w:hAnsi="仿宋_GB2312" w:eastAsia="仿宋_GB2312" w:cs="仿宋_GB2312"/>
          <w:color w:val="000000" w:themeColor="text1"/>
          <w14:textFill>
            <w14:solidFill>
              <w14:schemeClr w14:val="tx1"/>
            </w14:solidFill>
          </w14:textFill>
        </w:rPr>
        <w:t>增加本赛项面向的专业类或专业大类的基础技能，有机融入职业素养教育，更大范围扩大赛项的参与面向。</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赛项技能水平方面应能体现专业教育教学的基础和重点，强调面向专业核心基本技能的熟练度、精准度等；职业素养方面应能体现良好的职业道德、职业精神、工匠精神等。应用价值方面应能体现有助于解决生产一线实际问题或现实困难，对推动产业转型升级、区域经济发展、等具有积极作用。团队合作方面应能体现有效沟通、紧密协作、共同应对突发情况。创新创意方面应能体现面向职业和岗位的创意及创新，侧重于加工工艺创新、实用技术创新、产品(技术)数字化改良等。</w:t>
      </w:r>
    </w:p>
    <w:p>
      <w:pPr>
        <w:pStyle w:val="10"/>
        <w:spacing w:before="0" w:after="0" w:line="560" w:lineRule="exact"/>
        <w:ind w:firstLine="600" w:firstLineChars="200"/>
        <w:jc w:val="left"/>
        <w:rPr>
          <w:rFonts w:ascii="黑体" w:hAnsi="黑体" w:eastAsia="黑体"/>
          <w:b w:val="0"/>
          <w:color w:val="000000" w:themeColor="text1"/>
          <w:kern w:val="2"/>
          <w:sz w:val="30"/>
          <w:szCs w:val="30"/>
          <w14:textFill>
            <w14:solidFill>
              <w14:schemeClr w14:val="tx1"/>
            </w14:solidFill>
          </w14:textFill>
        </w:rPr>
      </w:pPr>
      <w:r>
        <w:rPr>
          <w:rFonts w:hint="eastAsia" w:ascii="黑体" w:hAnsi="黑体" w:eastAsia="黑体"/>
          <w:b w:val="0"/>
          <w:color w:val="000000" w:themeColor="text1"/>
          <w:kern w:val="2"/>
          <w:sz w:val="30"/>
          <w:szCs w:val="30"/>
          <w14:textFill>
            <w14:solidFill>
              <w14:schemeClr w14:val="tx1"/>
            </w14:solidFill>
          </w14:textFill>
        </w:rPr>
        <w:t>三、竞赛项目要求</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河南省高等职业教育技能大赛专业核心基本技能赛项，面向教育教学实践，把提高学生职业技能和培养职业精神高度融合统一，强化专业基础能力、注重职业素养，着力培养高素质技术技能人才应具备的基本素质、基本专业技能及综合职业技能。通过推动技能竞赛全员化，突出职业教育的类型特色和高等职业教育的高等性特征，推动每个学生都参与，让参与竞赛并在竞赛中成长成才更多惠及更广大学生群体，为成为能工巧匠、大国工匠奠定扎实技术技能基础和优良素质素养。</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本赛项对接工业机器人操作与运维新技术发展需求，融入技能水平、职业素养、应用价值、团队合作、创新创意等方面。通过此赛项促进装备制造大类专业教学改革,进而推动课程和教学资源建设，实现校企合作、产教融合，以赛促教、以赛促学，提升高职院校复合型技术技能人才培养水平，为我省培养大量的工业机器人技术应用领域高素质技术技能人才，进一步推动我省产业升级，提升装备制造业发展水平。</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工业机器人操作与运维赛项的每个参赛队竞赛时长90分钟。</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本竞赛为省级竞赛，按照《关于举办2024年河南省高等职业教育技能大赛的通知》教办职成〔2024〕331号文件及其附3《2024年河南省高等职业教育技能大赛专业核心基本技能赛项实施方案》要求执行。</w:t>
      </w:r>
    </w:p>
    <w:p>
      <w:pPr>
        <w:pStyle w:val="10"/>
        <w:spacing w:before="0" w:after="0" w:line="560" w:lineRule="exact"/>
        <w:ind w:firstLine="600" w:firstLineChars="200"/>
        <w:jc w:val="left"/>
        <w:rPr>
          <w:rFonts w:ascii="黑体" w:hAnsi="黑体" w:eastAsia="黑体"/>
          <w:b w:val="0"/>
          <w:color w:val="000000" w:themeColor="text1"/>
          <w:kern w:val="2"/>
          <w:sz w:val="30"/>
          <w:szCs w:val="30"/>
          <w14:textFill>
            <w14:solidFill>
              <w14:schemeClr w14:val="tx1"/>
            </w14:solidFill>
          </w14:textFill>
        </w:rPr>
      </w:pPr>
      <w:r>
        <w:rPr>
          <w:rFonts w:hint="eastAsia" w:ascii="黑体" w:hAnsi="黑体" w:eastAsia="黑体"/>
          <w:b w:val="0"/>
          <w:color w:val="000000" w:themeColor="text1"/>
          <w:kern w:val="2"/>
          <w:sz w:val="30"/>
          <w:szCs w:val="30"/>
          <w14:textFill>
            <w14:solidFill>
              <w14:schemeClr w14:val="tx1"/>
            </w14:solidFill>
          </w14:textFill>
        </w:rPr>
        <w:t>四、竞赛设备</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（一）现有竞赛设备</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承办学校在各参赛队报名前公布可用于比赛的设备和材料清单（含场地、水电气网等条件）（附件2，承办学校提供的设备和场地信息清单），供参赛学校选择。同时在在河南省职业教育与成人教育网首页“通知公告”栏发布。</w:t>
      </w:r>
    </w:p>
    <w:p>
      <w:pPr>
        <w:pStyle w:val="3"/>
        <w:spacing w:after="0" w:line="560" w:lineRule="exact"/>
        <w:ind w:firstLine="600" w:firstLineChars="200"/>
        <w:rPr>
          <w:rFonts w:ascii="方正楷体_GBK" w:hAnsi="方正楷体_GBK" w:eastAsia="方正楷体_GBK" w:cs="方正楷体_GBK"/>
        </w:rPr>
      </w:pPr>
      <w:bookmarkStart w:id="2" w:name="OLE_LINK5"/>
      <w:bookmarkStart w:id="3" w:name="OLE_LINK6"/>
      <w:r>
        <w:rPr>
          <w:rFonts w:hint="eastAsia" w:ascii="方正楷体_GBK" w:hAnsi="方正楷体_GBK" w:eastAsia="方正楷体_GBK" w:cs="方正楷体_GBK"/>
        </w:rPr>
        <w:t>（二）自带参赛设备</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参赛学校根据承办学校公布的清单，自主决定设备是否需要自带设备（附件3，参赛学校自带设备清单及赛场环境要求确认信息）。各参赛学校应立足于使用现有的教学设备，发挥好现有设备的效用。</w:t>
      </w:r>
    </w:p>
    <w:bookmarkEnd w:id="2"/>
    <w:bookmarkEnd w:id="3"/>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（三）设备确认</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各赛项报名时，需要自带设备的参赛学校须与承办学校签订确认书（附件4，参赛学校与承办学校就自带设备协商后确认书）。</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（四）设备安装</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参赛学校与承办学校确认可行后，进场安装调试自带设备。现场设备技术保障谁提供谁负责。承办学校积极为参赛学校提供自带设备、工具、材料等所需要的竞赛场地、水电气网等相关条件，并做好服务工作。</w:t>
      </w:r>
    </w:p>
    <w:p>
      <w:pPr>
        <w:pStyle w:val="10"/>
        <w:spacing w:before="0" w:after="0" w:line="560" w:lineRule="exact"/>
        <w:ind w:firstLine="600" w:firstLineChars="200"/>
        <w:jc w:val="left"/>
        <w:rPr>
          <w:rFonts w:ascii="黑体" w:hAnsi="黑体" w:eastAsia="黑体"/>
          <w:b w:val="0"/>
          <w:color w:val="000000" w:themeColor="text1"/>
          <w:kern w:val="2"/>
          <w:sz w:val="30"/>
          <w:szCs w:val="30"/>
          <w14:textFill>
            <w14:solidFill>
              <w14:schemeClr w14:val="tx1"/>
            </w14:solidFill>
          </w14:textFill>
        </w:rPr>
      </w:pPr>
      <w:r>
        <w:rPr>
          <w:rFonts w:hint="eastAsia" w:ascii="黑体" w:hAnsi="黑体" w:eastAsia="黑体"/>
          <w:b w:val="0"/>
          <w:color w:val="000000" w:themeColor="text1"/>
          <w:kern w:val="2"/>
          <w:sz w:val="30"/>
          <w:szCs w:val="30"/>
          <w14:textFill>
            <w14:solidFill>
              <w14:schemeClr w14:val="tx1"/>
            </w14:solidFill>
          </w14:textFill>
        </w:rPr>
        <w:t>五、竞赛日程安排</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竞赛具体日期由河南省职业院校技能大赛组委会及赛项执委会统一规定，选手第一天上午报到，下午召开赛前说明会和场次抽签活动并安排选手熟悉赛场；第二天开始正式比赛，具体比赛天数根据赛项具体情况确定。比赛结束后举行闭赛式、颁发获奖证书。竞赛日程如表1所示。</w:t>
      </w:r>
    </w:p>
    <w:p>
      <w:pPr>
        <w:spacing w:after="34" w:line="259" w:lineRule="auto"/>
        <w:ind w:left="137"/>
        <w:jc w:val="center"/>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表 </w:t>
      </w:r>
      <w:r>
        <w:rPr>
          <w:rFonts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14:textFill>
            <w14:solidFill>
              <w14:schemeClr w14:val="tx1"/>
            </w14:solidFill>
          </w14:textFill>
        </w:rPr>
        <w:t xml:space="preserve"> 竞赛日程表（具体时间以竞赛指南为准）</w:t>
      </w:r>
    </w:p>
    <w:tbl>
      <w:tblPr>
        <w:tblStyle w:val="12"/>
        <w:tblW w:w="9018" w:type="dxa"/>
        <w:tblInd w:w="2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817"/>
        <w:gridCol w:w="1653"/>
        <w:gridCol w:w="3964"/>
        <w:gridCol w:w="15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1" w:hRule="atLeast"/>
        </w:trPr>
        <w:tc>
          <w:tcPr>
            <w:tcW w:w="1817" w:type="dxa"/>
            <w:vAlign w:val="center"/>
          </w:tcPr>
          <w:p>
            <w:pPr>
              <w:pStyle w:val="21"/>
              <w:snapToGrid w:val="0"/>
              <w:jc w:val="center"/>
              <w:rPr>
                <w:rFonts w:ascii="方正黑体_GBK" w:hAnsi="方正黑体_GBK" w:eastAsia="方正黑体_GBK" w:cs="方正黑体_GBK"/>
                <w:color w:val="000000" w:themeColor="text1"/>
                <w14:textFill>
                  <w14:solidFill>
                    <w14:schemeClr w14:val="tx1"/>
                  </w14:solidFill>
                </w14:textFill>
              </w:rPr>
            </w:pPr>
            <w:r>
              <w:rPr>
                <w:rFonts w:hint="eastAsia" w:ascii="方正黑体_GBK" w:hAnsi="方正黑体_GBK" w:eastAsia="方正黑体_GBK" w:cs="方正黑体_GBK"/>
                <w:color w:val="000000" w:themeColor="text1"/>
                <w14:textFill>
                  <w14:solidFill>
                    <w14:schemeClr w14:val="tx1"/>
                  </w14:solidFill>
                </w14:textFill>
              </w:rPr>
              <w:t>日期</w:t>
            </w:r>
          </w:p>
        </w:tc>
        <w:tc>
          <w:tcPr>
            <w:tcW w:w="1653" w:type="dxa"/>
            <w:vAlign w:val="center"/>
          </w:tcPr>
          <w:p>
            <w:pPr>
              <w:pStyle w:val="21"/>
              <w:snapToGrid w:val="0"/>
              <w:jc w:val="center"/>
              <w:rPr>
                <w:rFonts w:ascii="方正黑体_GBK" w:hAnsi="方正黑体_GBK" w:eastAsia="方正黑体_GBK" w:cs="方正黑体_GBK"/>
                <w:color w:val="000000" w:themeColor="text1"/>
                <w14:textFill>
                  <w14:solidFill>
                    <w14:schemeClr w14:val="tx1"/>
                  </w14:solidFill>
                </w14:textFill>
              </w:rPr>
            </w:pPr>
            <w:r>
              <w:rPr>
                <w:rFonts w:hint="eastAsia" w:ascii="方正黑体_GBK" w:hAnsi="方正黑体_GBK" w:eastAsia="方正黑体_GBK" w:cs="方正黑体_GBK"/>
                <w:color w:val="000000" w:themeColor="text1"/>
                <w14:textFill>
                  <w14:solidFill>
                    <w14:schemeClr w14:val="tx1"/>
                  </w14:solidFill>
                </w14:textFill>
              </w:rPr>
              <w:t>时间</w:t>
            </w:r>
          </w:p>
        </w:tc>
        <w:tc>
          <w:tcPr>
            <w:tcW w:w="3964" w:type="dxa"/>
            <w:vAlign w:val="center"/>
          </w:tcPr>
          <w:p>
            <w:pPr>
              <w:pStyle w:val="21"/>
              <w:snapToGrid w:val="0"/>
              <w:jc w:val="center"/>
              <w:rPr>
                <w:rFonts w:ascii="方正黑体_GBK" w:hAnsi="方正黑体_GBK" w:eastAsia="方正黑体_GBK" w:cs="方正黑体_GBK"/>
                <w:color w:val="000000" w:themeColor="text1"/>
                <w14:textFill>
                  <w14:solidFill>
                    <w14:schemeClr w14:val="tx1"/>
                  </w14:solidFill>
                </w14:textFill>
              </w:rPr>
            </w:pPr>
            <w:r>
              <w:rPr>
                <w:rFonts w:hint="eastAsia" w:ascii="方正黑体_GBK" w:hAnsi="方正黑体_GBK" w:eastAsia="方正黑体_GBK" w:cs="方正黑体_GBK"/>
                <w:color w:val="000000" w:themeColor="text1"/>
                <w14:textFill>
                  <w14:solidFill>
                    <w14:schemeClr w14:val="tx1"/>
                  </w14:solidFill>
                </w14:textFill>
              </w:rPr>
              <w:t>活动内容</w:t>
            </w:r>
          </w:p>
        </w:tc>
        <w:tc>
          <w:tcPr>
            <w:tcW w:w="1584" w:type="dxa"/>
            <w:vAlign w:val="center"/>
          </w:tcPr>
          <w:p>
            <w:pPr>
              <w:pStyle w:val="21"/>
              <w:snapToGrid w:val="0"/>
              <w:jc w:val="center"/>
              <w:rPr>
                <w:rFonts w:ascii="方正黑体_GBK" w:hAnsi="方正黑体_GBK" w:eastAsia="方正黑体_GBK" w:cs="方正黑体_GBK"/>
                <w:color w:val="000000" w:themeColor="text1"/>
                <w14:textFill>
                  <w14:solidFill>
                    <w14:schemeClr w14:val="tx1"/>
                  </w14:solidFill>
                </w14:textFill>
              </w:rPr>
            </w:pPr>
            <w:r>
              <w:rPr>
                <w:rFonts w:hint="eastAsia" w:ascii="方正黑体_GBK" w:hAnsi="方正黑体_GBK" w:eastAsia="方正黑体_GBK" w:cs="方正黑体_GBK"/>
                <w:color w:val="000000" w:themeColor="text1"/>
                <w14:textFill>
                  <w14:solidFill>
                    <w14:schemeClr w14:val="tx1"/>
                  </w14:solidFill>
                </w14:textFill>
              </w:rPr>
              <w:t>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1" w:hRule="atLeast"/>
        </w:trPr>
        <w:tc>
          <w:tcPr>
            <w:tcW w:w="1817" w:type="dxa"/>
            <w:vMerge w:val="restart"/>
            <w:vAlign w:val="center"/>
          </w:tcPr>
          <w:p>
            <w:pPr>
              <w:pStyle w:val="21"/>
              <w:snapToGrid w:val="0"/>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12月</w:t>
            </w:r>
            <w:r>
              <w:rPr>
                <w:rFonts w:ascii="仿宋" w:hAnsi="仿宋" w:eastAsia="仿宋" w:cs="仿宋"/>
                <w:color w:val="000000" w:themeColor="text1"/>
                <w14:textFill>
                  <w14:solidFill>
                    <w14:schemeClr w14:val="tx1"/>
                  </w14:solidFill>
                </w14:textFill>
              </w:rPr>
              <w:t>26</w:t>
            </w:r>
            <w:r>
              <w:rPr>
                <w:rFonts w:hint="eastAsia" w:ascii="仿宋" w:hAnsi="仿宋" w:eastAsia="仿宋" w:cs="仿宋"/>
                <w:color w:val="000000" w:themeColor="text1"/>
                <w14:textFill>
                  <w14:solidFill>
                    <w14:schemeClr w14:val="tx1"/>
                  </w14:solidFill>
                </w14:textFill>
              </w:rPr>
              <w:t>日</w:t>
            </w:r>
          </w:p>
        </w:tc>
        <w:tc>
          <w:tcPr>
            <w:tcW w:w="1653" w:type="dxa"/>
            <w:shd w:val="clear" w:color="auto" w:fill="auto"/>
            <w:vAlign w:val="center"/>
          </w:tcPr>
          <w:p>
            <w:pPr>
              <w:autoSpaceDE w:val="0"/>
              <w:autoSpaceDN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z w:val="24"/>
                <w:szCs w:val="24"/>
                <w14:textFill>
                  <w14:solidFill>
                    <w14:schemeClr w14:val="tx1"/>
                  </w14:solidFill>
                </w14:textFill>
              </w:rPr>
              <w:t>10</w:t>
            </w:r>
            <w:r>
              <w:rPr>
                <w:rFonts w:hint="eastAsia" w:ascii="仿宋" w:hAnsi="仿宋" w:eastAsia="仿宋" w:cs="仿宋"/>
                <w:color w:val="000000" w:themeColor="text1"/>
                <w:sz w:val="24"/>
                <w:szCs w:val="24"/>
                <w14:textFill>
                  <w14:solidFill>
                    <w14:schemeClr w14:val="tx1"/>
                  </w14:solidFill>
                </w14:textFill>
              </w:rPr>
              <w:t>:</w:t>
            </w:r>
            <w:r>
              <w:rPr>
                <w:rFonts w:ascii="仿宋" w:hAnsi="仿宋" w:eastAsia="仿宋" w:cs="仿宋"/>
                <w:color w:val="000000" w:themeColor="text1"/>
                <w:sz w:val="24"/>
                <w:szCs w:val="24"/>
                <w14:textFill>
                  <w14:solidFill>
                    <w14:schemeClr w14:val="tx1"/>
                  </w14:solidFill>
                </w14:textFill>
              </w:rPr>
              <w:t>3</w:t>
            </w:r>
            <w:r>
              <w:rPr>
                <w:rFonts w:hint="eastAsia" w:ascii="仿宋" w:hAnsi="仿宋" w:eastAsia="仿宋" w:cs="仿宋"/>
                <w:color w:val="000000" w:themeColor="text1"/>
                <w:sz w:val="24"/>
                <w:szCs w:val="24"/>
                <w14:textFill>
                  <w14:solidFill>
                    <w14:schemeClr w14:val="tx1"/>
                  </w14:solidFill>
                </w14:textFill>
              </w:rPr>
              <w:t>0-1</w:t>
            </w:r>
            <w:r>
              <w:rPr>
                <w:rFonts w:ascii="仿宋" w:hAnsi="仿宋" w:eastAsia="仿宋" w:cs="仿宋"/>
                <w:color w:val="000000" w:themeColor="text1"/>
                <w:sz w:val="24"/>
                <w:szCs w:val="24"/>
                <w14:textFill>
                  <w14:solidFill>
                    <w14:schemeClr w14:val="tx1"/>
                  </w14:solidFill>
                </w14:textFill>
              </w:rPr>
              <w:t>3</w:t>
            </w:r>
            <w:r>
              <w:rPr>
                <w:rFonts w:hint="eastAsia" w:ascii="仿宋" w:hAnsi="仿宋" w:eastAsia="仿宋" w:cs="仿宋"/>
                <w:color w:val="000000" w:themeColor="text1"/>
                <w:sz w:val="24"/>
                <w:szCs w:val="24"/>
                <w14:textFill>
                  <w14:solidFill>
                    <w14:schemeClr w14:val="tx1"/>
                  </w14:solidFill>
                </w14:textFill>
              </w:rPr>
              <w:t>:00</w:t>
            </w:r>
          </w:p>
        </w:tc>
        <w:tc>
          <w:tcPr>
            <w:tcW w:w="3964" w:type="dxa"/>
            <w:shd w:val="clear" w:color="auto" w:fill="auto"/>
            <w:vAlign w:val="center"/>
          </w:tcPr>
          <w:p>
            <w:pPr>
              <w:autoSpaceDE w:val="0"/>
              <w:autoSpaceDN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报到</w:t>
            </w:r>
          </w:p>
        </w:tc>
        <w:tc>
          <w:tcPr>
            <w:tcW w:w="1584" w:type="dxa"/>
            <w:vAlign w:val="center"/>
          </w:tcPr>
          <w:p>
            <w:pPr>
              <w:pStyle w:val="21"/>
              <w:snapToGrid w:val="0"/>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郑州铁路职业技术学院6号楼一楼大厅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1" w:hRule="atLeast"/>
        </w:trPr>
        <w:tc>
          <w:tcPr>
            <w:tcW w:w="1817" w:type="dxa"/>
            <w:vMerge w:val="continue"/>
            <w:vAlign w:val="center"/>
          </w:tcPr>
          <w:p>
            <w:pPr>
              <w:pStyle w:val="21"/>
              <w:snapToGrid w:val="0"/>
              <w:jc w:val="center"/>
              <w:rPr>
                <w:rFonts w:ascii="仿宋" w:hAnsi="仿宋" w:eastAsia="仿宋" w:cs="仿宋"/>
                <w:color w:val="000000" w:themeColor="text1"/>
                <w14:textFill>
                  <w14:solidFill>
                    <w14:schemeClr w14:val="tx1"/>
                  </w14:solidFill>
                </w14:textFill>
              </w:rPr>
            </w:pPr>
          </w:p>
        </w:tc>
        <w:tc>
          <w:tcPr>
            <w:tcW w:w="1653" w:type="dxa"/>
            <w:shd w:val="clear" w:color="auto" w:fill="auto"/>
            <w:vAlign w:val="center"/>
          </w:tcPr>
          <w:p>
            <w:pPr>
              <w:autoSpaceDE w:val="0"/>
              <w:autoSpaceDN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r>
              <w:rPr>
                <w:rFonts w:ascii="仿宋" w:hAnsi="仿宋" w:eastAsia="仿宋" w:cs="仿宋"/>
                <w:color w:val="000000" w:themeColor="text1"/>
                <w:sz w:val="24"/>
                <w:szCs w:val="24"/>
                <w14:textFill>
                  <w14:solidFill>
                    <w14:schemeClr w14:val="tx1"/>
                  </w14:solidFill>
                </w14:textFill>
              </w:rPr>
              <w:t>4</w:t>
            </w:r>
            <w:r>
              <w:rPr>
                <w:rFonts w:hint="eastAsia" w:ascii="仿宋" w:hAnsi="仿宋" w:eastAsia="仿宋" w:cs="仿宋"/>
                <w:color w:val="000000" w:themeColor="text1"/>
                <w:sz w:val="24"/>
                <w:szCs w:val="24"/>
                <w14:textFill>
                  <w14:solidFill>
                    <w14:schemeClr w14:val="tx1"/>
                  </w14:solidFill>
                </w14:textFill>
              </w:rPr>
              <w:t>:</w:t>
            </w:r>
            <w:r>
              <w:rPr>
                <w:rFonts w:ascii="仿宋" w:hAnsi="仿宋" w:eastAsia="仿宋" w:cs="仿宋"/>
                <w:color w:val="000000" w:themeColor="text1"/>
                <w:sz w:val="24"/>
                <w:szCs w:val="24"/>
                <w14:textFill>
                  <w14:solidFill>
                    <w14:schemeClr w14:val="tx1"/>
                  </w14:solidFill>
                </w14:textFill>
              </w:rPr>
              <w:t>30</w:t>
            </w:r>
            <w:r>
              <w:rPr>
                <w:rFonts w:hint="eastAsia" w:ascii="仿宋" w:hAnsi="仿宋" w:eastAsia="仿宋" w:cs="仿宋"/>
                <w:color w:val="000000" w:themeColor="text1"/>
                <w:sz w:val="24"/>
                <w:szCs w:val="24"/>
                <w14:textFill>
                  <w14:solidFill>
                    <w14:schemeClr w14:val="tx1"/>
                  </w14:solidFill>
                </w14:textFill>
              </w:rPr>
              <w:t>-1</w:t>
            </w:r>
            <w:r>
              <w:rPr>
                <w:rFonts w:ascii="仿宋" w:hAnsi="仿宋" w:eastAsia="仿宋" w:cs="仿宋"/>
                <w:color w:val="000000" w:themeColor="text1"/>
                <w:sz w:val="24"/>
                <w:szCs w:val="24"/>
                <w14:textFill>
                  <w14:solidFill>
                    <w14:schemeClr w14:val="tx1"/>
                  </w14:solidFill>
                </w14:textFill>
              </w:rPr>
              <w:t>5</w:t>
            </w:r>
            <w:r>
              <w:rPr>
                <w:rFonts w:hint="eastAsia" w:ascii="仿宋" w:hAnsi="仿宋" w:eastAsia="仿宋" w:cs="仿宋"/>
                <w:color w:val="000000" w:themeColor="text1"/>
                <w:sz w:val="24"/>
                <w:szCs w:val="24"/>
                <w14:textFill>
                  <w14:solidFill>
                    <w14:schemeClr w14:val="tx1"/>
                  </w14:solidFill>
                </w14:textFill>
              </w:rPr>
              <w:t>:</w:t>
            </w:r>
            <w:r>
              <w:rPr>
                <w:rFonts w:ascii="仿宋" w:hAnsi="仿宋" w:eastAsia="仿宋" w:cs="仿宋"/>
                <w:color w:val="000000" w:themeColor="text1"/>
                <w:sz w:val="24"/>
                <w:szCs w:val="24"/>
                <w14:textFill>
                  <w14:solidFill>
                    <w14:schemeClr w14:val="tx1"/>
                  </w14:solidFill>
                </w14:textFill>
              </w:rPr>
              <w:t>3</w:t>
            </w:r>
            <w:r>
              <w:rPr>
                <w:rFonts w:hint="eastAsia" w:ascii="仿宋" w:hAnsi="仿宋" w:eastAsia="仿宋" w:cs="仿宋"/>
                <w:color w:val="000000" w:themeColor="text1"/>
                <w:sz w:val="24"/>
                <w:szCs w:val="24"/>
                <w14:textFill>
                  <w14:solidFill>
                    <w14:schemeClr w14:val="tx1"/>
                  </w14:solidFill>
                </w14:textFill>
              </w:rPr>
              <w:t>0</w:t>
            </w:r>
          </w:p>
        </w:tc>
        <w:tc>
          <w:tcPr>
            <w:tcW w:w="3964" w:type="dxa"/>
            <w:shd w:val="clear" w:color="auto" w:fill="auto"/>
            <w:vAlign w:val="center"/>
          </w:tcPr>
          <w:p>
            <w:pPr>
              <w:autoSpaceDE w:val="0"/>
              <w:autoSpaceDN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开幕式、领队会议、赛前说明</w:t>
            </w:r>
          </w:p>
        </w:tc>
        <w:tc>
          <w:tcPr>
            <w:tcW w:w="1584" w:type="dxa"/>
            <w:vAlign w:val="center"/>
          </w:tcPr>
          <w:p>
            <w:pPr>
              <w:pStyle w:val="21"/>
              <w:snapToGrid w:val="0"/>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郑州铁路职业技术学院7号楼一层报告厅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1" w:hRule="atLeast"/>
        </w:trPr>
        <w:tc>
          <w:tcPr>
            <w:tcW w:w="1817" w:type="dxa"/>
            <w:vMerge w:val="continue"/>
            <w:vAlign w:val="center"/>
          </w:tcPr>
          <w:p>
            <w:pPr>
              <w:pStyle w:val="21"/>
              <w:snapToGrid w:val="0"/>
              <w:jc w:val="center"/>
              <w:rPr>
                <w:rFonts w:ascii="仿宋" w:hAnsi="仿宋" w:eastAsia="仿宋" w:cs="仿宋"/>
                <w:color w:val="000000" w:themeColor="text1"/>
                <w14:textFill>
                  <w14:solidFill>
                    <w14:schemeClr w14:val="tx1"/>
                  </w14:solidFill>
                </w14:textFill>
              </w:rPr>
            </w:pPr>
          </w:p>
        </w:tc>
        <w:tc>
          <w:tcPr>
            <w:tcW w:w="1653" w:type="dxa"/>
            <w:shd w:val="clear" w:color="auto" w:fill="auto"/>
            <w:vAlign w:val="center"/>
          </w:tcPr>
          <w:p>
            <w:pPr>
              <w:autoSpaceDE w:val="0"/>
              <w:autoSpaceDN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15:</w:t>
            </w:r>
            <w:r>
              <w:rPr>
                <w:rFonts w:ascii="仿宋" w:hAnsi="仿宋" w:eastAsia="仿宋" w:cs="仿宋"/>
                <w:color w:val="000000" w:themeColor="text1"/>
                <w:sz w:val="24"/>
                <w:szCs w:val="24"/>
                <w14:textFill>
                  <w14:solidFill>
                    <w14:schemeClr w14:val="tx1"/>
                  </w14:solidFill>
                </w14:textFill>
              </w:rPr>
              <w:t>3</w:t>
            </w:r>
            <w:r>
              <w:rPr>
                <w:rFonts w:hint="eastAsia" w:ascii="仿宋" w:hAnsi="仿宋" w:eastAsia="仿宋" w:cs="仿宋"/>
                <w:color w:val="000000" w:themeColor="text1"/>
                <w:sz w:val="24"/>
                <w:szCs w:val="24"/>
                <w14:textFill>
                  <w14:solidFill>
                    <w14:schemeClr w14:val="tx1"/>
                  </w14:solidFill>
                </w14:textFill>
              </w:rPr>
              <w:t>0-</w:t>
            </w:r>
            <w:r>
              <w:rPr>
                <w:rFonts w:ascii="仿宋" w:hAnsi="仿宋" w:eastAsia="仿宋" w:cs="仿宋"/>
                <w:color w:val="000000" w:themeColor="text1"/>
                <w:sz w:val="24"/>
                <w:szCs w:val="24"/>
                <w14:textFill>
                  <w14:solidFill>
                    <w14:schemeClr w14:val="tx1"/>
                  </w14:solidFill>
                </w14:textFill>
              </w:rPr>
              <w:t>1</w:t>
            </w:r>
            <w:r>
              <w:rPr>
                <w:rFonts w:hint="eastAsia" w:ascii="仿宋" w:hAnsi="仿宋" w:eastAsia="仿宋" w:cs="仿宋"/>
                <w:color w:val="000000" w:themeColor="text1"/>
                <w:sz w:val="24"/>
                <w:szCs w:val="24"/>
                <w14:textFill>
                  <w14:solidFill>
                    <w14:schemeClr w14:val="tx1"/>
                  </w14:solidFill>
                </w14:textFill>
              </w:rPr>
              <w:t>6:</w:t>
            </w:r>
            <w:r>
              <w:rPr>
                <w:rFonts w:ascii="仿宋" w:hAnsi="仿宋" w:eastAsia="仿宋" w:cs="仿宋"/>
                <w:color w:val="000000" w:themeColor="text1"/>
                <w:sz w:val="24"/>
                <w:szCs w:val="24"/>
                <w14:textFill>
                  <w14:solidFill>
                    <w14:schemeClr w14:val="tx1"/>
                  </w14:solidFill>
                </w14:textFill>
              </w:rPr>
              <w:t>0</w:t>
            </w:r>
            <w:r>
              <w:rPr>
                <w:rFonts w:hint="eastAsia" w:ascii="仿宋" w:hAnsi="仿宋" w:eastAsia="仿宋" w:cs="仿宋"/>
                <w:color w:val="000000" w:themeColor="text1"/>
                <w:sz w:val="24"/>
                <w:szCs w:val="24"/>
                <w14:textFill>
                  <w14:solidFill>
                    <w14:schemeClr w14:val="tx1"/>
                  </w14:solidFill>
                </w14:textFill>
              </w:rPr>
              <w:t>0</w:t>
            </w:r>
          </w:p>
        </w:tc>
        <w:tc>
          <w:tcPr>
            <w:tcW w:w="3964" w:type="dxa"/>
            <w:shd w:val="clear" w:color="auto" w:fill="auto"/>
            <w:vAlign w:val="center"/>
          </w:tcPr>
          <w:p>
            <w:pPr>
              <w:autoSpaceDE w:val="0"/>
              <w:autoSpaceDN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熟悉场地</w:t>
            </w:r>
          </w:p>
        </w:tc>
        <w:tc>
          <w:tcPr>
            <w:tcW w:w="1584" w:type="dxa"/>
            <w:vAlign w:val="center"/>
          </w:tcPr>
          <w:p>
            <w:pPr>
              <w:pStyle w:val="21"/>
              <w:snapToGrid w:val="0"/>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6号楼</w:t>
            </w:r>
          </w:p>
          <w:p>
            <w:pPr>
              <w:pStyle w:val="21"/>
              <w:snapToGrid w:val="0"/>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比赛场地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1" w:hRule="atLeast"/>
        </w:trPr>
        <w:tc>
          <w:tcPr>
            <w:tcW w:w="1817" w:type="dxa"/>
            <w:vMerge w:val="continue"/>
            <w:vAlign w:val="center"/>
          </w:tcPr>
          <w:p>
            <w:pPr>
              <w:pStyle w:val="21"/>
              <w:snapToGrid w:val="0"/>
              <w:jc w:val="center"/>
              <w:rPr>
                <w:rFonts w:ascii="仿宋" w:hAnsi="仿宋" w:eastAsia="仿宋" w:cs="仿宋"/>
                <w:color w:val="000000" w:themeColor="text1"/>
                <w14:textFill>
                  <w14:solidFill>
                    <w14:schemeClr w14:val="tx1"/>
                  </w14:solidFill>
                </w14:textFill>
              </w:rPr>
            </w:pPr>
          </w:p>
        </w:tc>
        <w:tc>
          <w:tcPr>
            <w:tcW w:w="1653" w:type="dxa"/>
            <w:shd w:val="clear" w:color="auto" w:fill="auto"/>
            <w:vAlign w:val="center"/>
          </w:tcPr>
          <w:p>
            <w:pPr>
              <w:autoSpaceDE w:val="0"/>
              <w:autoSpaceDN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16：00-17：00</w:t>
            </w:r>
          </w:p>
        </w:tc>
        <w:tc>
          <w:tcPr>
            <w:tcW w:w="3964" w:type="dxa"/>
            <w:shd w:val="clear" w:color="auto" w:fill="auto"/>
            <w:vAlign w:val="center"/>
          </w:tcPr>
          <w:p>
            <w:pPr>
              <w:autoSpaceDE w:val="0"/>
              <w:autoSpaceDN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裁判会议</w:t>
            </w:r>
          </w:p>
        </w:tc>
        <w:tc>
          <w:tcPr>
            <w:tcW w:w="1584" w:type="dxa"/>
            <w:vAlign w:val="center"/>
          </w:tcPr>
          <w:p>
            <w:pPr>
              <w:pStyle w:val="21"/>
              <w:snapToGrid w:val="0"/>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6号楼</w:t>
            </w:r>
          </w:p>
          <w:p>
            <w:pPr>
              <w:pStyle w:val="21"/>
              <w:snapToGrid w:val="0"/>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（待定）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1" w:hRule="atLeast"/>
        </w:trPr>
        <w:tc>
          <w:tcPr>
            <w:tcW w:w="1817" w:type="dxa"/>
            <w:vMerge w:val="restart"/>
            <w:vAlign w:val="center"/>
          </w:tcPr>
          <w:p>
            <w:pPr>
              <w:pStyle w:val="21"/>
              <w:snapToGrid w:val="0"/>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12月</w:t>
            </w:r>
            <w:r>
              <w:rPr>
                <w:rFonts w:ascii="仿宋" w:hAnsi="仿宋" w:eastAsia="仿宋" w:cs="仿宋"/>
                <w:color w:val="000000" w:themeColor="text1"/>
                <w14:textFill>
                  <w14:solidFill>
                    <w14:schemeClr w14:val="tx1"/>
                  </w14:solidFill>
                </w14:textFill>
              </w:rPr>
              <w:t>27</w:t>
            </w:r>
            <w:r>
              <w:rPr>
                <w:rFonts w:hint="eastAsia" w:ascii="仿宋" w:hAnsi="仿宋" w:eastAsia="仿宋" w:cs="仿宋"/>
                <w:color w:val="000000" w:themeColor="text1"/>
                <w14:textFill>
                  <w14:solidFill>
                    <w14:schemeClr w14:val="tx1"/>
                  </w14:solidFill>
                </w14:textFill>
              </w:rPr>
              <w:t>日</w:t>
            </w:r>
          </w:p>
        </w:tc>
        <w:tc>
          <w:tcPr>
            <w:tcW w:w="1653" w:type="dxa"/>
            <w:vAlign w:val="center"/>
          </w:tcPr>
          <w:p>
            <w:pPr>
              <w:autoSpaceDE w:val="0"/>
              <w:autoSpaceDN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z w:val="24"/>
                <w:szCs w:val="24"/>
                <w14:textFill>
                  <w14:solidFill>
                    <w14:schemeClr w14:val="tx1"/>
                  </w14:solidFill>
                </w14:textFill>
              </w:rPr>
              <w:t>7</w:t>
            </w:r>
            <w:r>
              <w:rPr>
                <w:rFonts w:hint="eastAsia" w:ascii="仿宋" w:hAnsi="仿宋" w:eastAsia="仿宋" w:cs="仿宋"/>
                <w:color w:val="000000" w:themeColor="text1"/>
                <w:sz w:val="24"/>
                <w:szCs w:val="24"/>
                <w14:textFill>
                  <w14:solidFill>
                    <w14:schemeClr w14:val="tx1"/>
                  </w14:solidFill>
                </w14:textFill>
              </w:rPr>
              <w:t>:</w:t>
            </w:r>
            <w:r>
              <w:rPr>
                <w:rFonts w:ascii="仿宋" w:hAnsi="仿宋" w:eastAsia="仿宋" w:cs="仿宋"/>
                <w:color w:val="000000" w:themeColor="text1"/>
                <w:sz w:val="24"/>
                <w:szCs w:val="24"/>
                <w14:textFill>
                  <w14:solidFill>
                    <w14:schemeClr w14:val="tx1"/>
                  </w14:solidFill>
                </w14:textFill>
              </w:rPr>
              <w:t>5</w:t>
            </w:r>
            <w:r>
              <w:rPr>
                <w:rFonts w:hint="eastAsia" w:ascii="仿宋" w:hAnsi="仿宋" w:eastAsia="仿宋" w:cs="仿宋"/>
                <w:color w:val="000000" w:themeColor="text1"/>
                <w:sz w:val="24"/>
                <w:szCs w:val="24"/>
                <w14:textFill>
                  <w14:solidFill>
                    <w14:schemeClr w14:val="tx1"/>
                  </w14:solidFill>
                </w14:textFill>
              </w:rPr>
              <w:t>0-12:</w:t>
            </w:r>
            <w:r>
              <w:rPr>
                <w:rFonts w:ascii="仿宋" w:hAnsi="仿宋" w:eastAsia="仿宋" w:cs="仿宋"/>
                <w:color w:val="000000" w:themeColor="text1"/>
                <w:sz w:val="24"/>
                <w:szCs w:val="24"/>
                <w14:textFill>
                  <w14:solidFill>
                    <w14:schemeClr w14:val="tx1"/>
                  </w14:solidFill>
                </w14:textFill>
              </w:rPr>
              <w:t>0</w:t>
            </w:r>
            <w:r>
              <w:rPr>
                <w:rFonts w:hint="eastAsia" w:ascii="仿宋" w:hAnsi="仿宋" w:eastAsia="仿宋" w:cs="仿宋"/>
                <w:color w:val="000000" w:themeColor="text1"/>
                <w:sz w:val="24"/>
                <w:szCs w:val="24"/>
                <w14:textFill>
                  <w14:solidFill>
                    <w14:schemeClr w14:val="tx1"/>
                  </w14:solidFill>
                </w14:textFill>
              </w:rPr>
              <w:t>0</w:t>
            </w:r>
          </w:p>
        </w:tc>
        <w:tc>
          <w:tcPr>
            <w:tcW w:w="3964" w:type="dxa"/>
            <w:vAlign w:val="center"/>
          </w:tcPr>
          <w:p>
            <w:pPr>
              <w:autoSpaceDE w:val="0"/>
              <w:autoSpaceDN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两场</w:t>
            </w:r>
          </w:p>
          <w:p>
            <w:pPr>
              <w:autoSpaceDE w:val="0"/>
              <w:autoSpaceDN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检录、加密、竞赛及评分</w:t>
            </w:r>
          </w:p>
        </w:tc>
        <w:tc>
          <w:tcPr>
            <w:tcW w:w="1584" w:type="dxa"/>
            <w:vMerge w:val="restart"/>
            <w:vAlign w:val="center"/>
          </w:tcPr>
          <w:p>
            <w:pPr>
              <w:pStyle w:val="21"/>
              <w:snapToGrid w:val="0"/>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郑州铁路职业技术学院6号楼轨道大厅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6" w:hRule="atLeast"/>
        </w:trPr>
        <w:tc>
          <w:tcPr>
            <w:tcW w:w="1817" w:type="dxa"/>
            <w:vMerge w:val="continue"/>
            <w:vAlign w:val="center"/>
          </w:tcPr>
          <w:p>
            <w:pPr>
              <w:pStyle w:val="21"/>
              <w:snapToGrid w:val="0"/>
              <w:jc w:val="center"/>
              <w:rPr>
                <w:rFonts w:ascii="仿宋" w:hAnsi="仿宋" w:eastAsia="仿宋" w:cs="仿宋"/>
                <w:color w:val="000000" w:themeColor="text1"/>
                <w14:textFill>
                  <w14:solidFill>
                    <w14:schemeClr w14:val="tx1"/>
                  </w14:solidFill>
                </w14:textFill>
              </w:rPr>
            </w:pPr>
          </w:p>
        </w:tc>
        <w:tc>
          <w:tcPr>
            <w:tcW w:w="1653" w:type="dxa"/>
            <w:vAlign w:val="center"/>
          </w:tcPr>
          <w:p>
            <w:pPr>
              <w:autoSpaceDE w:val="0"/>
              <w:autoSpaceDN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r>
              <w:rPr>
                <w:rFonts w:ascii="仿宋" w:hAnsi="仿宋" w:eastAsia="仿宋" w:cs="仿宋"/>
                <w:color w:val="000000" w:themeColor="text1"/>
                <w:sz w:val="24"/>
                <w:szCs w:val="24"/>
                <w14:textFill>
                  <w14:solidFill>
                    <w14:schemeClr w14:val="tx1"/>
                  </w14:solidFill>
                </w14:textFill>
              </w:rPr>
              <w:t>4</w:t>
            </w:r>
            <w:r>
              <w:rPr>
                <w:rFonts w:hint="eastAsia" w:ascii="仿宋" w:hAnsi="仿宋" w:eastAsia="仿宋" w:cs="仿宋"/>
                <w:color w:val="000000" w:themeColor="text1"/>
                <w:sz w:val="24"/>
                <w:szCs w:val="24"/>
                <w14:textFill>
                  <w14:solidFill>
                    <w14:schemeClr w14:val="tx1"/>
                  </w14:solidFill>
                </w14:textFill>
              </w:rPr>
              <w:t>:</w:t>
            </w:r>
            <w:r>
              <w:rPr>
                <w:rFonts w:ascii="仿宋" w:hAnsi="仿宋" w:eastAsia="仿宋" w:cs="仿宋"/>
                <w:color w:val="000000" w:themeColor="text1"/>
                <w:sz w:val="24"/>
                <w:szCs w:val="24"/>
                <w14:textFill>
                  <w14:solidFill>
                    <w14:schemeClr w14:val="tx1"/>
                  </w14:solidFill>
                </w14:textFill>
              </w:rPr>
              <w:t>0</w:t>
            </w:r>
            <w:r>
              <w:rPr>
                <w:rFonts w:hint="eastAsia" w:ascii="仿宋" w:hAnsi="仿宋" w:eastAsia="仿宋" w:cs="仿宋"/>
                <w:color w:val="000000" w:themeColor="text1"/>
                <w:sz w:val="24"/>
                <w:szCs w:val="24"/>
                <w14:textFill>
                  <w14:solidFill>
                    <w14:schemeClr w14:val="tx1"/>
                  </w14:solidFill>
                </w14:textFill>
              </w:rPr>
              <w:t>0-1</w:t>
            </w:r>
            <w:r>
              <w:rPr>
                <w:rFonts w:ascii="仿宋" w:hAnsi="仿宋" w:eastAsia="仿宋" w:cs="仿宋"/>
                <w:color w:val="000000" w:themeColor="text1"/>
                <w:sz w:val="24"/>
                <w:szCs w:val="24"/>
                <w14:textFill>
                  <w14:solidFill>
                    <w14:schemeClr w14:val="tx1"/>
                  </w14:solidFill>
                </w14:textFill>
              </w:rPr>
              <w:t>8</w:t>
            </w:r>
            <w:r>
              <w:rPr>
                <w:rFonts w:hint="eastAsia" w:ascii="仿宋" w:hAnsi="仿宋" w:eastAsia="仿宋" w:cs="仿宋"/>
                <w:color w:val="000000" w:themeColor="text1"/>
                <w:sz w:val="24"/>
                <w:szCs w:val="24"/>
                <w14:textFill>
                  <w14:solidFill>
                    <w14:schemeClr w14:val="tx1"/>
                  </w14:solidFill>
                </w14:textFill>
              </w:rPr>
              <w:t>:00</w:t>
            </w:r>
          </w:p>
        </w:tc>
        <w:tc>
          <w:tcPr>
            <w:tcW w:w="3964" w:type="dxa"/>
            <w:vAlign w:val="center"/>
          </w:tcPr>
          <w:p>
            <w:pPr>
              <w:autoSpaceDE w:val="0"/>
              <w:autoSpaceDN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两场</w:t>
            </w:r>
          </w:p>
          <w:p>
            <w:pPr>
              <w:autoSpaceDE w:val="0"/>
              <w:autoSpaceDN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检录、加密、竞赛及评分</w:t>
            </w:r>
          </w:p>
        </w:tc>
        <w:tc>
          <w:tcPr>
            <w:tcW w:w="1584" w:type="dxa"/>
            <w:vMerge w:val="continue"/>
            <w:vAlign w:val="center"/>
          </w:tcPr>
          <w:p>
            <w:pPr>
              <w:pStyle w:val="21"/>
              <w:snapToGrid w:val="0"/>
              <w:jc w:val="center"/>
              <w:rPr>
                <w:rFonts w:ascii="仿宋" w:hAnsi="仿宋" w:eastAsia="仿宋" w:cs="仿宋"/>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1" w:hRule="atLeast"/>
        </w:trPr>
        <w:tc>
          <w:tcPr>
            <w:tcW w:w="1817" w:type="dxa"/>
            <w:vMerge w:val="restart"/>
            <w:vAlign w:val="center"/>
          </w:tcPr>
          <w:p>
            <w:pPr>
              <w:pStyle w:val="21"/>
              <w:snapToGrid w:val="0"/>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12月</w:t>
            </w:r>
            <w:r>
              <w:rPr>
                <w:rFonts w:ascii="仿宋" w:hAnsi="仿宋" w:eastAsia="仿宋" w:cs="仿宋"/>
                <w:color w:val="000000" w:themeColor="text1"/>
                <w14:textFill>
                  <w14:solidFill>
                    <w14:schemeClr w14:val="tx1"/>
                  </w14:solidFill>
                </w14:textFill>
              </w:rPr>
              <w:t>28</w:t>
            </w:r>
            <w:r>
              <w:rPr>
                <w:rFonts w:hint="eastAsia" w:ascii="仿宋" w:hAnsi="仿宋" w:eastAsia="仿宋" w:cs="仿宋"/>
                <w:color w:val="000000" w:themeColor="text1"/>
                <w14:textFill>
                  <w14:solidFill>
                    <w14:schemeClr w14:val="tx1"/>
                  </w14:solidFill>
                </w14:textFill>
              </w:rPr>
              <w:t>日</w:t>
            </w:r>
          </w:p>
        </w:tc>
        <w:tc>
          <w:tcPr>
            <w:tcW w:w="1653" w:type="dxa"/>
            <w:vAlign w:val="center"/>
          </w:tcPr>
          <w:p>
            <w:pPr>
              <w:autoSpaceDE w:val="0"/>
              <w:autoSpaceDN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ascii="仿宋" w:hAnsi="仿宋" w:eastAsia="仿宋" w:cs="仿宋"/>
                <w:color w:val="000000" w:themeColor="text1"/>
                <w:sz w:val="24"/>
                <w:szCs w:val="24"/>
                <w14:textFill>
                  <w14:solidFill>
                    <w14:schemeClr w14:val="tx1"/>
                  </w14:solidFill>
                </w14:textFill>
              </w:rPr>
              <w:t>7</w:t>
            </w:r>
            <w:r>
              <w:rPr>
                <w:rFonts w:hint="eastAsia" w:ascii="仿宋" w:hAnsi="仿宋" w:eastAsia="仿宋" w:cs="仿宋"/>
                <w:color w:val="000000" w:themeColor="text1"/>
                <w:sz w:val="24"/>
                <w:szCs w:val="24"/>
                <w14:textFill>
                  <w14:solidFill>
                    <w14:schemeClr w14:val="tx1"/>
                  </w14:solidFill>
                </w14:textFill>
              </w:rPr>
              <w:t>:</w:t>
            </w:r>
            <w:r>
              <w:rPr>
                <w:rFonts w:ascii="仿宋" w:hAnsi="仿宋" w:eastAsia="仿宋" w:cs="仿宋"/>
                <w:color w:val="000000" w:themeColor="text1"/>
                <w:sz w:val="24"/>
                <w:szCs w:val="24"/>
                <w14:textFill>
                  <w14:solidFill>
                    <w14:schemeClr w14:val="tx1"/>
                  </w14:solidFill>
                </w14:textFill>
              </w:rPr>
              <w:t>5</w:t>
            </w:r>
            <w:r>
              <w:rPr>
                <w:rFonts w:hint="eastAsia" w:ascii="仿宋" w:hAnsi="仿宋" w:eastAsia="仿宋" w:cs="仿宋"/>
                <w:color w:val="000000" w:themeColor="text1"/>
                <w:sz w:val="24"/>
                <w:szCs w:val="24"/>
                <w14:textFill>
                  <w14:solidFill>
                    <w14:schemeClr w14:val="tx1"/>
                  </w14:solidFill>
                </w14:textFill>
              </w:rPr>
              <w:t>0-12:</w:t>
            </w:r>
            <w:r>
              <w:rPr>
                <w:rFonts w:ascii="仿宋" w:hAnsi="仿宋" w:eastAsia="仿宋" w:cs="仿宋"/>
                <w:color w:val="000000" w:themeColor="text1"/>
                <w:sz w:val="24"/>
                <w:szCs w:val="24"/>
                <w14:textFill>
                  <w14:solidFill>
                    <w14:schemeClr w14:val="tx1"/>
                  </w14:solidFill>
                </w14:textFill>
              </w:rPr>
              <w:t>0</w:t>
            </w:r>
            <w:r>
              <w:rPr>
                <w:rFonts w:hint="eastAsia" w:ascii="仿宋" w:hAnsi="仿宋" w:eastAsia="仿宋" w:cs="仿宋"/>
                <w:color w:val="000000" w:themeColor="text1"/>
                <w:sz w:val="24"/>
                <w:szCs w:val="24"/>
                <w14:textFill>
                  <w14:solidFill>
                    <w14:schemeClr w14:val="tx1"/>
                  </w14:solidFill>
                </w14:textFill>
              </w:rPr>
              <w:t>0</w:t>
            </w:r>
          </w:p>
        </w:tc>
        <w:tc>
          <w:tcPr>
            <w:tcW w:w="3964" w:type="dxa"/>
            <w:vAlign w:val="center"/>
          </w:tcPr>
          <w:p>
            <w:pPr>
              <w:autoSpaceDE w:val="0"/>
              <w:autoSpaceDN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两场</w:t>
            </w:r>
          </w:p>
          <w:p>
            <w:pPr>
              <w:autoSpaceDE w:val="0"/>
              <w:autoSpaceDN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检录、加密、竞赛及评分</w:t>
            </w:r>
          </w:p>
        </w:tc>
        <w:tc>
          <w:tcPr>
            <w:tcW w:w="1584" w:type="dxa"/>
            <w:vMerge w:val="restart"/>
            <w:vAlign w:val="center"/>
          </w:tcPr>
          <w:p>
            <w:pPr>
              <w:pStyle w:val="21"/>
              <w:snapToGrid w:val="0"/>
              <w:jc w:val="center"/>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郑州铁路职业技术学院6号楼轨道大厅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36" w:hRule="atLeast"/>
        </w:trPr>
        <w:tc>
          <w:tcPr>
            <w:tcW w:w="1817" w:type="dxa"/>
            <w:vMerge w:val="continue"/>
            <w:vAlign w:val="center"/>
          </w:tcPr>
          <w:p>
            <w:pPr>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p>
        </w:tc>
        <w:tc>
          <w:tcPr>
            <w:tcW w:w="1653" w:type="dxa"/>
            <w:vAlign w:val="center"/>
          </w:tcPr>
          <w:p>
            <w:pPr>
              <w:autoSpaceDE w:val="0"/>
              <w:autoSpaceDN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r>
              <w:rPr>
                <w:rFonts w:ascii="仿宋" w:hAnsi="仿宋" w:eastAsia="仿宋" w:cs="仿宋"/>
                <w:color w:val="000000" w:themeColor="text1"/>
                <w:sz w:val="24"/>
                <w:szCs w:val="24"/>
                <w14:textFill>
                  <w14:solidFill>
                    <w14:schemeClr w14:val="tx1"/>
                  </w14:solidFill>
                </w14:textFill>
              </w:rPr>
              <w:t>4</w:t>
            </w:r>
            <w:r>
              <w:rPr>
                <w:rFonts w:hint="eastAsia" w:ascii="仿宋" w:hAnsi="仿宋" w:eastAsia="仿宋" w:cs="仿宋"/>
                <w:color w:val="000000" w:themeColor="text1"/>
                <w:sz w:val="24"/>
                <w:szCs w:val="24"/>
                <w14:textFill>
                  <w14:solidFill>
                    <w14:schemeClr w14:val="tx1"/>
                  </w14:solidFill>
                </w14:textFill>
              </w:rPr>
              <w:t>:</w:t>
            </w:r>
            <w:r>
              <w:rPr>
                <w:rFonts w:ascii="仿宋" w:hAnsi="仿宋" w:eastAsia="仿宋" w:cs="仿宋"/>
                <w:color w:val="000000" w:themeColor="text1"/>
                <w:sz w:val="24"/>
                <w:szCs w:val="24"/>
                <w14:textFill>
                  <w14:solidFill>
                    <w14:schemeClr w14:val="tx1"/>
                  </w14:solidFill>
                </w14:textFill>
              </w:rPr>
              <w:t>0</w:t>
            </w:r>
            <w:r>
              <w:rPr>
                <w:rFonts w:hint="eastAsia" w:ascii="仿宋" w:hAnsi="仿宋" w:eastAsia="仿宋" w:cs="仿宋"/>
                <w:color w:val="000000" w:themeColor="text1"/>
                <w:sz w:val="24"/>
                <w:szCs w:val="24"/>
                <w14:textFill>
                  <w14:solidFill>
                    <w14:schemeClr w14:val="tx1"/>
                  </w14:solidFill>
                </w14:textFill>
              </w:rPr>
              <w:t>0-1</w:t>
            </w:r>
            <w:r>
              <w:rPr>
                <w:rFonts w:ascii="仿宋" w:hAnsi="仿宋" w:eastAsia="仿宋" w:cs="仿宋"/>
                <w:color w:val="000000" w:themeColor="text1"/>
                <w:sz w:val="24"/>
                <w:szCs w:val="24"/>
                <w14:textFill>
                  <w14:solidFill>
                    <w14:schemeClr w14:val="tx1"/>
                  </w14:solidFill>
                </w14:textFill>
              </w:rPr>
              <w:t>8</w:t>
            </w:r>
            <w:r>
              <w:rPr>
                <w:rFonts w:hint="eastAsia" w:ascii="仿宋" w:hAnsi="仿宋" w:eastAsia="仿宋" w:cs="仿宋"/>
                <w:color w:val="000000" w:themeColor="text1"/>
                <w:sz w:val="24"/>
                <w:szCs w:val="24"/>
                <w14:textFill>
                  <w14:solidFill>
                    <w14:schemeClr w14:val="tx1"/>
                  </w14:solidFill>
                </w14:textFill>
              </w:rPr>
              <w:t>:00</w:t>
            </w:r>
          </w:p>
        </w:tc>
        <w:tc>
          <w:tcPr>
            <w:tcW w:w="3964" w:type="dxa"/>
            <w:vAlign w:val="center"/>
          </w:tcPr>
          <w:p>
            <w:pPr>
              <w:autoSpaceDE w:val="0"/>
              <w:autoSpaceDN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汇总、公布成绩</w:t>
            </w:r>
          </w:p>
        </w:tc>
        <w:tc>
          <w:tcPr>
            <w:tcW w:w="1584" w:type="dxa"/>
            <w:vMerge w:val="continue"/>
            <w:vAlign w:val="center"/>
          </w:tcPr>
          <w:p>
            <w:pPr>
              <w:pStyle w:val="21"/>
              <w:snapToGrid w:val="0"/>
              <w:jc w:val="center"/>
              <w:rPr>
                <w:rFonts w:ascii="仿宋" w:hAnsi="仿宋" w:eastAsia="仿宋" w:cs="仿宋"/>
                <w:color w:val="000000" w:themeColor="text1"/>
                <w14:textFill>
                  <w14:solidFill>
                    <w14:schemeClr w14:val="tx1"/>
                  </w14:solidFill>
                </w14:textFill>
              </w:rPr>
            </w:pPr>
          </w:p>
        </w:tc>
      </w:tr>
    </w:tbl>
    <w:p>
      <w:pPr>
        <w:spacing w:after="0" w:line="560" w:lineRule="exact"/>
        <w:ind w:firstLine="600" w:firstLineChars="200"/>
        <w:rPr>
          <w:rFonts w:ascii="仿宋_GB2312" w:hAnsi="仿宋_GB2312" w:cs="仿宋_GB2312"/>
          <w:color w:val="000000" w:themeColor="text1"/>
          <w14:textFill>
            <w14:solidFill>
              <w14:schemeClr w14:val="tx1"/>
            </w14:solidFill>
          </w14:textFill>
        </w:rPr>
      </w:pPr>
      <w:r>
        <w:rPr>
          <w:rFonts w:hint="eastAsia" w:ascii="仿宋_GB2312" w:hAnsi="仿宋_GB2312" w:cs="仿宋_GB2312"/>
          <w:color w:val="000000" w:themeColor="text1"/>
          <w14:textFill>
            <w14:solidFill>
              <w14:schemeClr w14:val="tx1"/>
            </w14:solidFill>
          </w14:textFill>
        </w:rPr>
        <w:t>注：根据参赛队伍数量、场地面积、设备数量等实际情况可采用轮换场次方式开展竞赛，可重复竞赛日流程。下一次场开赛时间可以根据实际情况进行调整。</w:t>
      </w:r>
    </w:p>
    <w:p>
      <w:pPr>
        <w:pStyle w:val="10"/>
        <w:numPr>
          <w:ilvl w:val="0"/>
          <w:numId w:val="1"/>
        </w:numPr>
        <w:spacing w:before="0" w:after="0" w:line="560" w:lineRule="exact"/>
        <w:ind w:left="0" w:firstLine="600" w:firstLineChars="200"/>
        <w:jc w:val="left"/>
        <w:rPr>
          <w:rFonts w:ascii="黑体" w:hAnsi="黑体" w:eastAsia="黑体"/>
          <w:b w:val="0"/>
          <w:color w:val="000000" w:themeColor="text1"/>
          <w:kern w:val="2"/>
          <w:sz w:val="30"/>
          <w:szCs w:val="30"/>
          <w14:textFill>
            <w14:solidFill>
              <w14:schemeClr w14:val="tx1"/>
            </w14:solidFill>
          </w14:textFill>
        </w:rPr>
      </w:pPr>
      <w:r>
        <w:rPr>
          <w:rFonts w:hint="eastAsia" w:ascii="黑体" w:hAnsi="黑体" w:eastAsia="黑体"/>
          <w:b w:val="0"/>
          <w:color w:val="000000" w:themeColor="text1"/>
          <w:kern w:val="2"/>
          <w:sz w:val="30"/>
          <w:szCs w:val="30"/>
          <w14:textFill>
            <w14:solidFill>
              <w14:schemeClr w14:val="tx1"/>
            </w14:solidFill>
          </w14:textFill>
        </w:rPr>
        <w:t>竞赛内容</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2024年河南省高等职业教育技能大赛专业核心基本技能赛项—工业机器人操作与运维赛项面向装备制造大类，依据工业机器人制造、系统集成和应用等企业岗位的迫切需求，结合高等职业教育人才培养定位，着重考核与培养学生的机械设计与安装调试、电气控制系统设计与安装调试、视觉系统调试、工业机器人操作、编程、工作站安装调试、系统集成以及现场维护等能力，考察参赛队组织管理、团队协作、工作效率、质量与成本控制及安全意识等职业素养，践行习近平总书记“要以智能制造为主攻方向推动产业技术变革和优化升级，推动制造业产业模式和企业形态根本性转变，以‘鼎新’带动‘革故’，以增量带动存量，促进我国产业迈向全球价值链中高端。”的指示。</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模块一、工业机器人系统安装与调试：包含机械系统装调，电气系统装调，系统验证与测试3个任务。</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模块二、业机器人系统运维与保养：包含传感器运行与维护，视觉系统运行与维护，通信系统运行与维护，故障排查与修复4个任务。</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模块三、工业机器人系统数据采集与可视化：变位机数据采集与可视化、输送线数据采集与可视化、视觉系统数据采集与可视化3个任务。</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模块四、工业机器人系统操作与调试：虚拟仿真调试、系统初始复位、系统运行前准备、系统编程与调试、系统结束复位5个任务。</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模块五、职业素养与安全意识：竞赛现场考察参赛队组织管理、团队协作、工作效率、安全意识等职业素养。</w:t>
      </w:r>
    </w:p>
    <w:p>
      <w:pPr>
        <w:pStyle w:val="3"/>
        <w:spacing w:after="0" w:line="560" w:lineRule="exact"/>
        <w:ind w:firstLine="600" w:firstLineChars="200"/>
      </w:pPr>
      <w:r>
        <w:rPr>
          <w:rFonts w:hint="eastAsia" w:ascii="仿宋_GB2312" w:hAnsi="仿宋_GB2312" w:eastAsia="仿宋_GB2312" w:cs="仿宋_GB2312"/>
          <w:color w:val="000000" w:themeColor="text1"/>
          <w14:textFill>
            <w14:solidFill>
              <w14:schemeClr w14:val="tx1"/>
            </w14:solidFill>
          </w14:textFill>
        </w:rPr>
        <w:t>竞赛为技能考核，五个模块整体进行竞赛。满分 100分，成绩计算到小数点后2位。具体考核内容、分值分配，如表2所示。</w:t>
      </w:r>
    </w:p>
    <w:p>
      <w:pPr>
        <w:adjustRightInd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表</w:t>
      </w:r>
      <w:r>
        <w:rPr>
          <w:rFonts w:ascii="仿宋" w:hAnsi="仿宋" w:eastAsia="仿宋" w:cs="仿宋"/>
          <w:color w:val="000000" w:themeColor="text1"/>
          <w:sz w:val="24"/>
          <w:szCs w:val="24"/>
          <w14:textFill>
            <w14:solidFill>
              <w14:schemeClr w14:val="tx1"/>
            </w14:solidFill>
          </w14:textFill>
        </w:rPr>
        <w:t xml:space="preserve">2 </w:t>
      </w:r>
      <w:r>
        <w:rPr>
          <w:rFonts w:hint="eastAsia" w:ascii="仿宋" w:hAnsi="仿宋" w:eastAsia="仿宋" w:cs="仿宋"/>
          <w:color w:val="000000" w:themeColor="text1"/>
          <w:sz w:val="24"/>
          <w:szCs w:val="24"/>
          <w14:textFill>
            <w14:solidFill>
              <w14:schemeClr w14:val="tx1"/>
            </w14:solidFill>
          </w14:textFill>
        </w:rPr>
        <w:t>考核内容、分值分配</w:t>
      </w:r>
    </w:p>
    <w:tbl>
      <w:tblPr>
        <w:tblStyle w:val="13"/>
        <w:tblW w:w="5260" w:type="pct"/>
        <w:tblInd w:w="-28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8"/>
        <w:gridCol w:w="2110"/>
        <w:gridCol w:w="4611"/>
        <w:gridCol w:w="1049"/>
        <w:gridCol w:w="1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4"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方正黑体_GBK" w:hAnsi="方正黑体_GBK" w:eastAsia="方正黑体_GBK" w:cs="方正黑体_GBK"/>
                <w:color w:val="000000" w:themeColor="text1"/>
                <w:sz w:val="24"/>
                <w:szCs w:val="24"/>
                <w14:textFill>
                  <w14:solidFill>
                    <w14:schemeClr w14:val="tx1"/>
                  </w14:solidFill>
                </w14:textFill>
              </w:rPr>
            </w:pPr>
            <w:r>
              <w:rPr>
                <w:rFonts w:hint="eastAsia" w:ascii="方正黑体_GBK" w:hAnsi="方正黑体_GBK" w:eastAsia="方正黑体_GBK" w:cs="方正黑体_GBK"/>
                <w:color w:val="000000" w:themeColor="text1"/>
                <w:sz w:val="24"/>
                <w:szCs w:val="24"/>
                <w14:textFill>
                  <w14:solidFill>
                    <w14:schemeClr w14:val="tx1"/>
                  </w14:solidFill>
                </w14:textFill>
              </w:rPr>
              <w:t>序号</w:t>
            </w:r>
          </w:p>
        </w:tc>
        <w:tc>
          <w:tcPr>
            <w:tcW w:w="1066"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方正黑体_GBK" w:hAnsi="方正黑体_GBK" w:eastAsia="方正黑体_GBK" w:cs="方正黑体_GBK"/>
                <w:color w:val="000000" w:themeColor="text1"/>
                <w:sz w:val="24"/>
                <w:szCs w:val="24"/>
                <w14:textFill>
                  <w14:solidFill>
                    <w14:schemeClr w14:val="tx1"/>
                  </w14:solidFill>
                </w14:textFill>
              </w:rPr>
            </w:pPr>
            <w:r>
              <w:rPr>
                <w:rFonts w:hint="eastAsia" w:ascii="方正黑体_GBK" w:hAnsi="方正黑体_GBK" w:eastAsia="方正黑体_GBK" w:cs="方正黑体_GBK"/>
                <w:color w:val="000000" w:themeColor="text1"/>
                <w:sz w:val="24"/>
                <w:szCs w:val="24"/>
                <w14:textFill>
                  <w14:solidFill>
                    <w14:schemeClr w14:val="tx1"/>
                  </w14:solidFill>
                </w14:textFill>
              </w:rPr>
              <w:t>模块</w:t>
            </w:r>
          </w:p>
        </w:tc>
        <w:tc>
          <w:tcPr>
            <w:tcW w:w="23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方正黑体_GBK" w:hAnsi="方正黑体_GBK" w:eastAsia="方正黑体_GBK" w:cs="方正黑体_GBK"/>
                <w:color w:val="000000" w:themeColor="text1"/>
                <w:sz w:val="24"/>
                <w:szCs w:val="24"/>
                <w14:textFill>
                  <w14:solidFill>
                    <w14:schemeClr w14:val="tx1"/>
                  </w14:solidFill>
                </w14:textFill>
              </w:rPr>
            </w:pPr>
            <w:r>
              <w:rPr>
                <w:rFonts w:hint="eastAsia" w:ascii="方正黑体_GBK" w:hAnsi="方正黑体_GBK" w:eastAsia="方正黑体_GBK" w:cs="方正黑体_GBK"/>
                <w:color w:val="000000" w:themeColor="text1"/>
                <w:sz w:val="24"/>
                <w:szCs w:val="24"/>
                <w14:textFill>
                  <w14:solidFill>
                    <w14:schemeClr w14:val="tx1"/>
                  </w14:solidFill>
                </w14:textFill>
              </w:rPr>
              <w:t>任务</w:t>
            </w:r>
          </w:p>
        </w:tc>
        <w:tc>
          <w:tcPr>
            <w:tcW w:w="5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方正黑体_GBK" w:hAnsi="方正黑体_GBK" w:eastAsia="方正黑体_GBK" w:cs="方正黑体_GBK"/>
                <w:color w:val="000000" w:themeColor="text1"/>
                <w:sz w:val="24"/>
                <w:szCs w:val="24"/>
                <w14:textFill>
                  <w14:solidFill>
                    <w14:schemeClr w14:val="tx1"/>
                  </w14:solidFill>
                </w14:textFill>
              </w:rPr>
            </w:pPr>
            <w:r>
              <w:rPr>
                <w:rFonts w:hint="eastAsia" w:ascii="方正黑体_GBK" w:hAnsi="方正黑体_GBK" w:eastAsia="方正黑体_GBK" w:cs="方正黑体_GBK"/>
                <w:color w:val="000000" w:themeColor="text1"/>
                <w:sz w:val="24"/>
                <w:szCs w:val="24"/>
                <w14:textFill>
                  <w14:solidFill>
                    <w14:schemeClr w14:val="tx1"/>
                  </w14:solidFill>
                </w14:textFill>
              </w:rPr>
              <w:t>分值</w:t>
            </w:r>
          </w:p>
        </w:tc>
        <w:tc>
          <w:tcPr>
            <w:tcW w:w="637"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方正黑体_GBK" w:hAnsi="方正黑体_GBK" w:eastAsia="方正黑体_GBK" w:cs="方正黑体_GBK"/>
                <w:color w:val="000000" w:themeColor="text1"/>
                <w:sz w:val="24"/>
                <w:szCs w:val="24"/>
                <w14:textFill>
                  <w14:solidFill>
                    <w14:schemeClr w14:val="tx1"/>
                  </w14:solidFill>
                </w14:textFill>
              </w:rPr>
            </w:pPr>
            <w:r>
              <w:rPr>
                <w:rFonts w:hint="eastAsia" w:ascii="方正黑体_GBK" w:hAnsi="方正黑体_GBK" w:eastAsia="方正黑体_GBK" w:cs="方正黑体_GBK"/>
                <w:color w:val="000000" w:themeColor="text1"/>
                <w:sz w:val="24"/>
                <w:szCs w:val="24"/>
                <w14:textFill>
                  <w14:solidFill>
                    <w14:schemeClr w14:val="tx1"/>
                  </w14:solidFill>
                </w14:textFill>
              </w:rPr>
              <w:t>竞赛时间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4"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sz w:val="24"/>
                <w:szCs w:val="24"/>
              </w:rPr>
            </w:pPr>
            <w:r>
              <w:rPr>
                <w:rFonts w:hint="eastAsia"/>
                <w:sz w:val="24"/>
                <w:szCs w:val="24"/>
              </w:rPr>
              <w:t>1</w:t>
            </w:r>
          </w:p>
        </w:tc>
        <w:tc>
          <w:tcPr>
            <w:tcW w:w="1066"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模块一：</w:t>
            </w:r>
          </w:p>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工业机器人系统安装与调试（15分）</w:t>
            </w:r>
          </w:p>
        </w:tc>
        <w:tc>
          <w:tcPr>
            <w:tcW w:w="23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1.机械系统装调</w:t>
            </w:r>
          </w:p>
        </w:tc>
        <w:tc>
          <w:tcPr>
            <w:tcW w:w="5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5分</w:t>
            </w:r>
          </w:p>
        </w:tc>
        <w:tc>
          <w:tcPr>
            <w:tcW w:w="637"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p>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90分钟</w:t>
            </w:r>
          </w:p>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4"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sz w:val="24"/>
                <w:szCs w:val="24"/>
              </w:rPr>
            </w:pPr>
          </w:p>
        </w:tc>
        <w:tc>
          <w:tcPr>
            <w:tcW w:w="1066"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3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2.电气系统装调</w:t>
            </w:r>
          </w:p>
        </w:tc>
        <w:tc>
          <w:tcPr>
            <w:tcW w:w="5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5分</w:t>
            </w:r>
          </w:p>
        </w:tc>
        <w:tc>
          <w:tcPr>
            <w:tcW w:w="637"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4"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sz w:val="24"/>
                <w:szCs w:val="24"/>
              </w:rPr>
            </w:pPr>
          </w:p>
        </w:tc>
        <w:tc>
          <w:tcPr>
            <w:tcW w:w="1066"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3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3.系统验证与测试</w:t>
            </w:r>
          </w:p>
        </w:tc>
        <w:tc>
          <w:tcPr>
            <w:tcW w:w="5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5分</w:t>
            </w:r>
          </w:p>
        </w:tc>
        <w:tc>
          <w:tcPr>
            <w:tcW w:w="637"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4"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sz w:val="24"/>
                <w:szCs w:val="24"/>
              </w:rPr>
            </w:pPr>
            <w:r>
              <w:rPr>
                <w:rFonts w:hint="eastAsia"/>
                <w:sz w:val="24"/>
                <w:szCs w:val="24"/>
              </w:rPr>
              <w:t>2</w:t>
            </w:r>
          </w:p>
        </w:tc>
        <w:tc>
          <w:tcPr>
            <w:tcW w:w="1066"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模块二：</w:t>
            </w:r>
          </w:p>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工业机器人系统运维与保养（15分）</w:t>
            </w:r>
          </w:p>
        </w:tc>
        <w:tc>
          <w:tcPr>
            <w:tcW w:w="23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1.传感器运行与维护</w:t>
            </w:r>
          </w:p>
        </w:tc>
        <w:tc>
          <w:tcPr>
            <w:tcW w:w="5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3分</w:t>
            </w:r>
          </w:p>
        </w:tc>
        <w:tc>
          <w:tcPr>
            <w:tcW w:w="637"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4"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sz w:val="24"/>
                <w:szCs w:val="24"/>
              </w:rPr>
            </w:pPr>
          </w:p>
        </w:tc>
        <w:tc>
          <w:tcPr>
            <w:tcW w:w="1066"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3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2.视觉系统运行与维护</w:t>
            </w:r>
          </w:p>
        </w:tc>
        <w:tc>
          <w:tcPr>
            <w:tcW w:w="5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5分</w:t>
            </w:r>
          </w:p>
        </w:tc>
        <w:tc>
          <w:tcPr>
            <w:tcW w:w="637"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4"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sz w:val="24"/>
                <w:szCs w:val="24"/>
              </w:rPr>
            </w:pPr>
          </w:p>
        </w:tc>
        <w:tc>
          <w:tcPr>
            <w:tcW w:w="1066"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3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3.通信系统运行与维护</w:t>
            </w:r>
          </w:p>
        </w:tc>
        <w:tc>
          <w:tcPr>
            <w:tcW w:w="5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2分</w:t>
            </w:r>
          </w:p>
        </w:tc>
        <w:tc>
          <w:tcPr>
            <w:tcW w:w="637"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4"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sz w:val="24"/>
                <w:szCs w:val="24"/>
              </w:rPr>
            </w:pPr>
          </w:p>
        </w:tc>
        <w:tc>
          <w:tcPr>
            <w:tcW w:w="1066"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3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4.故障排查与修复</w:t>
            </w:r>
          </w:p>
        </w:tc>
        <w:tc>
          <w:tcPr>
            <w:tcW w:w="5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5分</w:t>
            </w:r>
          </w:p>
        </w:tc>
        <w:tc>
          <w:tcPr>
            <w:tcW w:w="637"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4"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sz w:val="24"/>
                <w:szCs w:val="24"/>
              </w:rPr>
            </w:pPr>
            <w:r>
              <w:rPr>
                <w:rFonts w:hint="eastAsia"/>
                <w:sz w:val="24"/>
                <w:szCs w:val="24"/>
              </w:rPr>
              <w:t>3</w:t>
            </w:r>
          </w:p>
        </w:tc>
        <w:tc>
          <w:tcPr>
            <w:tcW w:w="1066"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模块三：</w:t>
            </w:r>
          </w:p>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工业机器人系统数据采集与可视化（20分）</w:t>
            </w:r>
          </w:p>
        </w:tc>
        <w:tc>
          <w:tcPr>
            <w:tcW w:w="23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1.变位机数据采集与可视化</w:t>
            </w:r>
          </w:p>
        </w:tc>
        <w:tc>
          <w:tcPr>
            <w:tcW w:w="5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5分</w:t>
            </w:r>
          </w:p>
        </w:tc>
        <w:tc>
          <w:tcPr>
            <w:tcW w:w="637"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4"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sz w:val="24"/>
                <w:szCs w:val="24"/>
              </w:rPr>
            </w:pPr>
          </w:p>
        </w:tc>
        <w:tc>
          <w:tcPr>
            <w:tcW w:w="1066"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3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2.输送线数据采集与可视化</w:t>
            </w:r>
          </w:p>
        </w:tc>
        <w:tc>
          <w:tcPr>
            <w:tcW w:w="5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5分</w:t>
            </w:r>
          </w:p>
        </w:tc>
        <w:tc>
          <w:tcPr>
            <w:tcW w:w="637"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4"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sz w:val="24"/>
                <w:szCs w:val="24"/>
              </w:rPr>
            </w:pPr>
          </w:p>
        </w:tc>
        <w:tc>
          <w:tcPr>
            <w:tcW w:w="1066"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3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3.视觉系统数据采集与可视化</w:t>
            </w:r>
          </w:p>
        </w:tc>
        <w:tc>
          <w:tcPr>
            <w:tcW w:w="5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10分</w:t>
            </w:r>
          </w:p>
        </w:tc>
        <w:tc>
          <w:tcPr>
            <w:tcW w:w="637"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4"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sz w:val="24"/>
                <w:szCs w:val="24"/>
              </w:rPr>
            </w:pPr>
            <w:r>
              <w:rPr>
                <w:rFonts w:hint="eastAsia"/>
                <w:sz w:val="24"/>
                <w:szCs w:val="24"/>
              </w:rPr>
              <w:t>4</w:t>
            </w:r>
          </w:p>
        </w:tc>
        <w:tc>
          <w:tcPr>
            <w:tcW w:w="1066" w:type="pct"/>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模块四：</w:t>
            </w:r>
          </w:p>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工业机器人系统操作与调试（45分）</w:t>
            </w:r>
          </w:p>
        </w:tc>
        <w:tc>
          <w:tcPr>
            <w:tcW w:w="23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1.虚拟仿真调试</w:t>
            </w:r>
          </w:p>
        </w:tc>
        <w:tc>
          <w:tcPr>
            <w:tcW w:w="5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10分</w:t>
            </w:r>
          </w:p>
        </w:tc>
        <w:tc>
          <w:tcPr>
            <w:tcW w:w="637"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4"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sz w:val="24"/>
                <w:szCs w:val="24"/>
              </w:rPr>
            </w:pPr>
          </w:p>
        </w:tc>
        <w:tc>
          <w:tcPr>
            <w:tcW w:w="1066"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3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2.系统初始复位</w:t>
            </w:r>
          </w:p>
        </w:tc>
        <w:tc>
          <w:tcPr>
            <w:tcW w:w="5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6分</w:t>
            </w:r>
          </w:p>
        </w:tc>
        <w:tc>
          <w:tcPr>
            <w:tcW w:w="637"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4"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sz w:val="24"/>
                <w:szCs w:val="24"/>
              </w:rPr>
            </w:pPr>
          </w:p>
        </w:tc>
        <w:tc>
          <w:tcPr>
            <w:tcW w:w="1066"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3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3.系统运行前准备</w:t>
            </w:r>
          </w:p>
        </w:tc>
        <w:tc>
          <w:tcPr>
            <w:tcW w:w="5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2分</w:t>
            </w:r>
          </w:p>
        </w:tc>
        <w:tc>
          <w:tcPr>
            <w:tcW w:w="637"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4"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sz w:val="24"/>
                <w:szCs w:val="24"/>
              </w:rPr>
            </w:pPr>
          </w:p>
        </w:tc>
        <w:tc>
          <w:tcPr>
            <w:tcW w:w="1066"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3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4.系统编程与调试</w:t>
            </w:r>
          </w:p>
        </w:tc>
        <w:tc>
          <w:tcPr>
            <w:tcW w:w="5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25分</w:t>
            </w:r>
          </w:p>
        </w:tc>
        <w:tc>
          <w:tcPr>
            <w:tcW w:w="637"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4"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sz w:val="24"/>
                <w:szCs w:val="24"/>
              </w:rPr>
            </w:pPr>
          </w:p>
        </w:tc>
        <w:tc>
          <w:tcPr>
            <w:tcW w:w="1066"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3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5.系统结束复位</w:t>
            </w:r>
          </w:p>
        </w:tc>
        <w:tc>
          <w:tcPr>
            <w:tcW w:w="5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2分</w:t>
            </w:r>
          </w:p>
        </w:tc>
        <w:tc>
          <w:tcPr>
            <w:tcW w:w="637"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34"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sz w:val="24"/>
                <w:szCs w:val="24"/>
              </w:rPr>
            </w:pPr>
            <w:r>
              <w:rPr>
                <w:rFonts w:hint="eastAsia"/>
                <w:sz w:val="24"/>
                <w:szCs w:val="24"/>
              </w:rPr>
              <w:t>5</w:t>
            </w:r>
          </w:p>
        </w:tc>
        <w:tc>
          <w:tcPr>
            <w:tcW w:w="1066"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模块五：</w:t>
            </w:r>
          </w:p>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职业素养与安全意识（5分）</w:t>
            </w:r>
          </w:p>
        </w:tc>
        <w:tc>
          <w:tcPr>
            <w:tcW w:w="23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竞赛现场考察参赛队组织管理、团队协作、工作效率、安全意识等职业素养。</w:t>
            </w:r>
          </w:p>
        </w:tc>
        <w:tc>
          <w:tcPr>
            <w:tcW w:w="530" w:type="pct"/>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5分</w:t>
            </w:r>
          </w:p>
        </w:tc>
        <w:tc>
          <w:tcPr>
            <w:tcW w:w="637" w:type="pct"/>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after="0" w:line="240" w:lineRule="auto"/>
              <w:jc w:val="left"/>
              <w:rPr>
                <w:rFonts w:ascii="仿宋" w:hAnsi="仿宋" w:eastAsia="仿宋" w:cs="仿宋"/>
                <w:color w:val="000000" w:themeColor="text1"/>
                <w:sz w:val="24"/>
                <w:szCs w:val="24"/>
                <w14:textFill>
                  <w14:solidFill>
                    <w14:schemeClr w14:val="tx1"/>
                  </w14:solidFill>
                </w14:textFill>
              </w:rPr>
            </w:pPr>
          </w:p>
        </w:tc>
      </w:tr>
    </w:tbl>
    <w:p>
      <w:pPr>
        <w:pStyle w:val="10"/>
        <w:spacing w:before="0" w:after="0" w:line="560" w:lineRule="exact"/>
        <w:ind w:firstLine="600" w:firstLineChars="200"/>
        <w:jc w:val="left"/>
        <w:rPr>
          <w:rFonts w:ascii="黑体" w:hAnsi="黑体" w:eastAsia="黑体"/>
          <w:b w:val="0"/>
          <w:color w:val="000000" w:themeColor="text1"/>
          <w:kern w:val="2"/>
          <w:sz w:val="30"/>
          <w:szCs w:val="30"/>
          <w14:textFill>
            <w14:solidFill>
              <w14:schemeClr w14:val="tx1"/>
            </w14:solidFill>
          </w14:textFill>
        </w:rPr>
      </w:pPr>
      <w:r>
        <w:rPr>
          <w:rFonts w:hint="eastAsia" w:ascii="黑体" w:hAnsi="黑体" w:eastAsia="黑体"/>
          <w:b w:val="0"/>
          <w:color w:val="000000" w:themeColor="text1"/>
          <w:kern w:val="2"/>
          <w:sz w:val="30"/>
          <w:szCs w:val="30"/>
          <w14:textFill>
            <w14:solidFill>
              <w14:schemeClr w14:val="tx1"/>
            </w14:solidFill>
          </w14:textFill>
        </w:rPr>
        <w:t>七、竞赛规则</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（一）熟悉场地</w:t>
      </w:r>
    </w:p>
    <w:p>
      <w:pPr>
        <w:pStyle w:val="3"/>
        <w:spacing w:after="0" w:line="560" w:lineRule="exact"/>
        <w:ind w:firstLine="600" w:firstLineChars="200"/>
        <w:rPr>
          <w:rFonts w:ascii="仿宋_GB2312" w:hAnsi="仿宋_GB2312" w:eastAsia="仿宋_GB2312" w:cs="仿宋_GB2312"/>
        </w:rPr>
      </w:pPr>
      <w:r>
        <w:rPr>
          <w:rFonts w:hint="eastAsia" w:ascii="仿宋_GB2312" w:hAnsi="仿宋_GB2312" w:eastAsia="仿宋_GB2312" w:cs="仿宋_GB2312"/>
        </w:rPr>
        <w:t>在比赛日前一天，参赛队在工作人员带领下，携带身份证件，按照规定路线有序进入赛场。任何人员只得在指定区域观察，不得进入赛位，不得触碰竞赛平台及赛位内物品。</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（二）赛场规则</w:t>
      </w:r>
    </w:p>
    <w:p>
      <w:pPr>
        <w:pStyle w:val="3"/>
        <w:spacing w:after="0" w:line="560" w:lineRule="exact"/>
        <w:ind w:firstLine="600" w:firstLineChars="200"/>
        <w:rPr>
          <w:rFonts w:ascii="仿宋_GB2312" w:hAnsi="仿宋_GB2312" w:eastAsia="仿宋_GB2312" w:cs="仿宋_GB2312"/>
        </w:rPr>
      </w:pPr>
      <w:r>
        <w:rPr>
          <w:rFonts w:hint="eastAsia" w:ascii="仿宋_GB2312" w:hAnsi="仿宋_GB2312" w:eastAsia="仿宋_GB2312" w:cs="仿宋_GB2312"/>
        </w:rPr>
        <w:t>1.赛前十分钟选手经裁判长允许进入工位，按设备清单检查竞赛平台、机械电气元件、工具、耗材、文具用品等，不得做与竞赛任务相关事情。</w:t>
      </w:r>
    </w:p>
    <w:p>
      <w:pPr>
        <w:pStyle w:val="3"/>
        <w:spacing w:after="0" w:line="560" w:lineRule="exact"/>
        <w:ind w:firstLine="600" w:firstLineChars="200"/>
        <w:rPr>
          <w:rFonts w:ascii="仿宋_GB2312" w:hAnsi="仿宋_GB2312" w:eastAsia="仿宋_GB2312" w:cs="仿宋_GB2312"/>
        </w:rPr>
      </w:pPr>
      <w:r>
        <w:rPr>
          <w:rFonts w:hint="eastAsia" w:ascii="仿宋_GB2312" w:hAnsi="仿宋_GB2312" w:eastAsia="仿宋_GB2312" w:cs="仿宋_GB2312"/>
        </w:rPr>
        <w:t>2.所有人员在赛场内不得有影响选手完成工作任务的行为。参赛选手不允许未经现场裁判许可随意离开赛位，使用文明用语，不得言语及人身攻击裁判和赛场工作人员。</w:t>
      </w:r>
    </w:p>
    <w:p>
      <w:pPr>
        <w:pStyle w:val="3"/>
        <w:spacing w:after="0" w:line="560" w:lineRule="exact"/>
        <w:ind w:firstLine="600" w:firstLineChars="200"/>
        <w:rPr>
          <w:rFonts w:ascii="仿宋_GB2312" w:hAnsi="仿宋_GB2312" w:eastAsia="仿宋_GB2312" w:cs="仿宋_GB2312"/>
        </w:rPr>
      </w:pPr>
      <w:r>
        <w:rPr>
          <w:rFonts w:hint="eastAsia" w:ascii="仿宋_GB2312" w:hAnsi="仿宋_GB2312" w:eastAsia="仿宋_GB2312" w:cs="仿宋_GB2312"/>
        </w:rPr>
        <w:t>3.参赛选手须严格遵守安全操作规程，确保人身及设备安全。参赛选手因个人误操作造成人身安全事故和设备损坏时，裁判长有权中止该参赛队比赛。</w:t>
      </w:r>
    </w:p>
    <w:p>
      <w:pPr>
        <w:pStyle w:val="3"/>
        <w:spacing w:after="0" w:line="560" w:lineRule="exact"/>
        <w:ind w:firstLine="600" w:firstLineChars="200"/>
        <w:rPr>
          <w:rFonts w:ascii="仿宋_GB2312" w:hAnsi="仿宋_GB2312" w:eastAsia="仿宋_GB2312" w:cs="仿宋_GB2312"/>
        </w:rPr>
      </w:pPr>
      <w:r>
        <w:rPr>
          <w:rFonts w:hint="eastAsia" w:ascii="仿宋_GB2312" w:hAnsi="仿宋_GB2312" w:eastAsia="仿宋_GB2312" w:cs="仿宋_GB2312"/>
        </w:rPr>
        <w:t>4.选手退场时不得将赛位物品等带出赛场。配合裁判做好赛场记录。</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（三）成绩评定</w:t>
      </w:r>
    </w:p>
    <w:p>
      <w:pPr>
        <w:pStyle w:val="3"/>
        <w:spacing w:after="0" w:line="560" w:lineRule="exact"/>
        <w:ind w:firstLine="600" w:firstLineChars="200"/>
        <w:rPr>
          <w:rFonts w:ascii="仿宋_GB2312" w:hAnsi="仿宋_GB2312" w:eastAsia="仿宋_GB2312" w:cs="仿宋_GB2312"/>
        </w:rPr>
      </w:pPr>
      <w:r>
        <w:rPr>
          <w:rFonts w:hint="eastAsia" w:ascii="仿宋_GB2312" w:hAnsi="仿宋_GB2312" w:eastAsia="仿宋_GB2312" w:cs="仿宋_GB2312"/>
        </w:rPr>
        <w:t>成绩评定过程中，选手技能操作展示竞赛成果和任务完成情况。裁判严格按照评分标准，依照选手实际技能操作及展示情况及进行评定，确保公平公正。选手不得围观和议论其他选手评定情况。裁判不得将选手表现和评定结果泄露。工作人员根据裁判要求配合评定工作，不得擅自进入赛位影响评判过程。</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（四）成绩公布</w:t>
      </w:r>
    </w:p>
    <w:p>
      <w:pPr>
        <w:pStyle w:val="3"/>
        <w:spacing w:after="0" w:line="560" w:lineRule="exact"/>
        <w:ind w:firstLine="600" w:firstLineChars="200"/>
        <w:rPr>
          <w:rFonts w:ascii="仿宋_GB2312" w:hAnsi="仿宋_GB2312" w:eastAsia="仿宋_GB2312" w:cs="仿宋_GB2312"/>
        </w:rPr>
      </w:pPr>
      <w:r>
        <w:rPr>
          <w:rFonts w:hint="eastAsia" w:ascii="仿宋_GB2312" w:hAnsi="仿宋_GB2312" w:eastAsia="仿宋_GB2312" w:cs="仿宋_GB2312"/>
        </w:rPr>
        <w:t>记分员将解密后的各参赛队伍（选手）成绩汇总成比赛成绩，经仲裁长、监督员签字后，公布比赛结果。公布2小时无异议后，将赛项总成绩的最终结果录入赛务管理系统，经仲裁长、监督员和裁判员在成绩单上审核签字，并在闭幕式上宣布。</w:t>
      </w:r>
    </w:p>
    <w:p>
      <w:pPr>
        <w:pStyle w:val="10"/>
        <w:spacing w:before="0" w:after="0" w:line="560" w:lineRule="exact"/>
        <w:ind w:firstLine="600" w:firstLineChars="200"/>
        <w:jc w:val="left"/>
        <w:rPr>
          <w:rFonts w:ascii="黑体" w:hAnsi="黑体" w:eastAsia="黑体"/>
          <w:b w:val="0"/>
          <w:color w:val="000000" w:themeColor="text1"/>
          <w:kern w:val="2"/>
          <w:sz w:val="30"/>
          <w:szCs w:val="30"/>
          <w14:textFill>
            <w14:solidFill>
              <w14:schemeClr w14:val="tx1"/>
            </w14:solidFill>
          </w14:textFill>
        </w:rPr>
      </w:pPr>
      <w:r>
        <w:rPr>
          <w:rFonts w:hint="eastAsia" w:ascii="黑体" w:hAnsi="黑体" w:eastAsia="黑体"/>
          <w:b w:val="0"/>
          <w:color w:val="000000" w:themeColor="text1"/>
          <w:kern w:val="2"/>
          <w:sz w:val="30"/>
          <w:szCs w:val="30"/>
          <w14:textFill>
            <w14:solidFill>
              <w14:schemeClr w14:val="tx1"/>
            </w14:solidFill>
          </w14:textFill>
        </w:rPr>
        <w:t>八、参赛报名及要求</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（一）参赛选手</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 xml:space="preserve">工业机器人操作与运维赛项学生组以学校为单位组队,采取“报送选手+抽取选手相结合”的方式参赛；申请参赛学校需提供报送选手参赛队2队、抽取选手参赛队2队。每支参赛队伍由2名比赛选手组成，性别不限。 </w:t>
      </w:r>
    </w:p>
    <w:p>
      <w:pPr>
        <w:pStyle w:val="3"/>
        <w:spacing w:after="0" w:line="560" w:lineRule="exact"/>
        <w:ind w:firstLine="600" w:firstLineChars="200"/>
        <w:rPr>
          <w:rFonts w:ascii="仿宋_GB2312" w:hAnsi="仿宋_GB2312" w:eastAsia="仿宋_GB2312" w:cs="仿宋_GB2312"/>
          <w:color w:val="000000" w:themeColor="text1"/>
          <w14:textFill>
            <w14:solidFill>
              <w14:schemeClr w14:val="tx1"/>
            </w14:solidFill>
          </w14:textFill>
        </w:rPr>
      </w:pPr>
      <w:r>
        <w:rPr>
          <w:rFonts w:ascii="仿宋_GB2312" w:hAnsi="仿宋_GB2312" w:eastAsia="仿宋_GB2312" w:cs="仿宋_GB2312"/>
          <w:color w:val="000000" w:themeColor="text1"/>
          <w14:textFill>
            <w14:solidFill>
              <w14:schemeClr w14:val="tx1"/>
            </w14:solidFill>
          </w14:textFill>
        </w:rPr>
        <w:t>在承办学校公开进行抽取参赛选手，由赛项仲裁长主持，从各学校推荐的赛项备选“抽取选手”中，抽取20%作为正式参赛选手。凡推荐的备选“抽取选手”不足规定的，按推荐不足的比例，同比例减少“报送选手”名额且至少减少一个名额。</w:t>
      </w:r>
    </w:p>
    <w:p>
      <w:pPr>
        <w:pStyle w:val="3"/>
        <w:spacing w:after="0" w:line="560" w:lineRule="exact"/>
        <w:ind w:firstLine="600" w:firstLineChars="200"/>
        <w:rPr>
          <w:rFonts w:ascii="仿宋_GB2312" w:hAnsi="仿宋_GB2312" w:eastAsia="仿宋_GB2312" w:cs="仿宋_GB2312"/>
        </w:rPr>
      </w:pPr>
      <w:r>
        <w:rPr>
          <w:rFonts w:hint="eastAsia" w:ascii="仿宋_GB2312" w:hAnsi="仿宋_GB2312" w:eastAsia="仿宋_GB2312" w:cs="仿宋_GB2312"/>
        </w:rPr>
        <w:t>工业机器人操作与运维赛项教师组</w:t>
      </w:r>
      <w:bookmarkStart w:id="4" w:name="OLE_LINK1"/>
      <w:bookmarkStart w:id="5" w:name="OLE_LINK2"/>
      <w:r>
        <w:rPr>
          <w:rFonts w:hint="eastAsia" w:ascii="仿宋_GB2312" w:hAnsi="仿宋_GB2312" w:eastAsia="仿宋_GB2312" w:cs="仿宋_GB2312"/>
        </w:rPr>
        <w:t>以学校为单位组队</w:t>
      </w:r>
      <w:bookmarkEnd w:id="4"/>
      <w:bookmarkEnd w:id="5"/>
      <w:r>
        <w:rPr>
          <w:rFonts w:hint="eastAsia" w:ascii="仿宋_GB2312" w:hAnsi="仿宋_GB2312" w:eastAsia="仿宋_GB2312" w:cs="仿宋_GB2312"/>
        </w:rPr>
        <w:t>，采取报送参赛选手办法参赛。参赛队数根据教育教学实际和各学校相关专业教师情况，每赛项每学校可报2个代表队。每支参赛队伍由2名比赛选手组成，性别不限。省赛的教师组竞赛与学生组竞赛同校同时不同场进行。</w:t>
      </w:r>
    </w:p>
    <w:p>
      <w:pPr>
        <w:pStyle w:val="3"/>
        <w:spacing w:after="0" w:line="560" w:lineRule="exact"/>
        <w:ind w:firstLine="600" w:firstLineChars="200"/>
        <w:rPr>
          <w:rFonts w:ascii="仿宋_GB2312" w:hAnsi="仿宋_GB2312" w:eastAsia="仿宋_GB2312" w:cs="仿宋_GB2312"/>
        </w:rPr>
      </w:pPr>
      <w:r>
        <w:rPr>
          <w:rFonts w:hint="eastAsia" w:ascii="仿宋_GB2312" w:hAnsi="仿宋_GB2312" w:eastAsia="仿宋_GB2312" w:cs="仿宋_GB2312"/>
        </w:rPr>
        <w:t>参赛学生须是2024年在籍全日制高职高专</w:t>
      </w:r>
      <w:r>
        <w:rPr>
          <w:rFonts w:hint="eastAsia" w:ascii="仿宋_GB2312" w:hAnsi="微软雅黑" w:eastAsia="仿宋_GB2312" w:cs="微软雅黑"/>
        </w:rPr>
        <w:t>装备制造大类相关</w:t>
      </w:r>
      <w:r>
        <w:rPr>
          <w:rFonts w:hint="eastAsia" w:ascii="仿宋_GB2312" w:hAnsi="仿宋_GB2312" w:eastAsia="仿宋_GB2312" w:cs="仿宋_GB2312"/>
        </w:rPr>
        <w:t>学生，指导教师与学生为同校在籍。参赛教师为在职教师（包括在编在岗教师、签订正式聘用合同并连续全职在参赛学校工作一年以上的在聘教师）。在往届全国职业院校技能大赛高职组、教师组竞赛中获得一等奖的选手，不能再参加2024 年同一专业类赛项的省赛。鼓励参与高等职业学校教育教学的行业企业人员参加竞赛活动。</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（二）参赛人员变更</w:t>
      </w:r>
    </w:p>
    <w:p>
      <w:pPr>
        <w:pStyle w:val="3"/>
        <w:spacing w:after="0" w:line="240" w:lineRule="auto"/>
        <w:ind w:firstLine="601"/>
        <w:rPr>
          <w:rFonts w:ascii="仿宋_GB2312" w:hAnsi="仿宋_GB2312" w:eastAsia="仿宋_GB2312" w:cs="仿宋_GB2312"/>
        </w:rPr>
      </w:pPr>
      <w:r>
        <w:rPr>
          <w:rFonts w:ascii="仿宋_GB2312" w:hAnsi="仿宋_GB2312" w:eastAsia="仿宋_GB2312" w:cs="仿宋_GB2312"/>
        </w:rPr>
        <w:t>参与抽取的备选“抽取选手”推荐后不得随意更换。如赛前参赛选手因故无法参赛，原则上不得更换，视为放弃参赛，并同比例减少参赛学校“报送选手”名额。特殊原因须由学校出具正式文件后，正式竞赛前2个小时之前，在赛项仲裁长主持下，由赛项工作组共同研究确定；研究结果在竞赛场地明显处公示，同时通过相关方式告知全部参赛学校，相关材料留档备查。</w:t>
      </w:r>
    </w:p>
    <w:p>
      <w:pPr>
        <w:pStyle w:val="3"/>
        <w:spacing w:after="0" w:line="240" w:lineRule="auto"/>
        <w:ind w:firstLine="601"/>
        <w:rPr>
          <w:rFonts w:ascii="仿宋_GB2312" w:hAnsi="仿宋_GB2312" w:eastAsia="仿宋_GB2312" w:cs="仿宋_GB2312"/>
        </w:rPr>
      </w:pPr>
      <w:r>
        <w:rPr>
          <w:rFonts w:ascii="仿宋_GB2312" w:hAnsi="仿宋_GB2312" w:eastAsia="仿宋_GB2312" w:cs="仿宋_GB2312"/>
        </w:rPr>
        <w:t>对竞赛过程中的弄虚作假者，取消其参赛资格。已经参赛者取消获得奖项，收回获奖证书，并予以通报。</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（三）参赛报名</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1.参赛院校须于</w:t>
      </w:r>
      <w:r>
        <w:rPr>
          <w:rFonts w:hint="eastAsia" w:ascii="仿宋_GB2312" w:hAnsi="仿宋_GB2312" w:eastAsia="仿宋_GB2312" w:cs="仿宋_GB2312"/>
        </w:rPr>
        <w:t>12</w:t>
      </w:r>
      <w:r>
        <w:rPr>
          <w:rFonts w:hint="eastAsia" w:ascii="仿宋_GB2312" w:hAnsi="仿宋_GB2312" w:eastAsia="仿宋_GB2312" w:cs="仿宋_GB2312"/>
          <w:lang w:eastAsia="zh-TW"/>
        </w:rPr>
        <w:t>月</w:t>
      </w:r>
      <w:r>
        <w:rPr>
          <w:rFonts w:hint="eastAsia" w:ascii="仿宋_GB2312" w:hAnsi="仿宋_GB2312" w:eastAsia="仿宋_GB2312" w:cs="仿宋_GB2312"/>
        </w:rPr>
        <w:t>19</w:t>
      </w:r>
      <w:r>
        <w:rPr>
          <w:rFonts w:hint="eastAsia" w:ascii="仿宋_GB2312" w:hAnsi="仿宋_GB2312" w:eastAsia="仿宋_GB2312" w:cs="仿宋_GB2312"/>
          <w:lang w:eastAsia="zh-TW"/>
        </w:rPr>
        <w:t>日</w:t>
      </w:r>
      <w:r>
        <w:rPr>
          <w:rFonts w:hint="eastAsia" w:ascii="仿宋_GB2312" w:hAnsi="仿宋_GB2312" w:eastAsia="仿宋_GB2312" w:cs="仿宋_GB2312"/>
          <w:lang w:val="en-US" w:eastAsia="zh-CN"/>
        </w:rPr>
        <w:t>24</w:t>
      </w:r>
      <w:r>
        <w:rPr>
          <w:rFonts w:hint="eastAsia" w:ascii="仿宋_GB2312" w:hAnsi="仿宋_GB2312" w:eastAsia="仿宋_GB2312" w:cs="仿宋_GB2312"/>
        </w:rPr>
        <w:t>点</w:t>
      </w:r>
      <w:r>
        <w:rPr>
          <w:rFonts w:hint="eastAsia" w:ascii="仿宋_GB2312" w:hAnsi="仿宋_GB2312" w:eastAsia="仿宋_GB2312" w:cs="仿宋_GB2312"/>
          <w:lang w:eastAsia="zh-TW"/>
        </w:rPr>
        <w:t>前登录河南省高职院校技能大赛报名系统（http://39.105.49.188/），按要求填报并提交</w:t>
      </w:r>
      <w:r>
        <w:rPr>
          <w:rFonts w:hint="eastAsia" w:ascii="仿宋_GB2312" w:hAnsi="仿宋_GB2312" w:eastAsia="仿宋_GB2312" w:cs="仿宋_GB2312"/>
        </w:rPr>
        <w:t>“报送选手”“抽取选手”“教师组”</w:t>
      </w:r>
      <w:r>
        <w:rPr>
          <w:rFonts w:hint="eastAsia" w:ascii="仿宋_GB2312" w:hAnsi="仿宋_GB2312" w:eastAsia="仿宋_GB2312" w:cs="仿宋_GB2312"/>
          <w:lang w:eastAsia="zh-TW"/>
        </w:rPr>
        <w:t>参赛信息。</w:t>
      </w:r>
    </w:p>
    <w:p>
      <w:pPr>
        <w:pStyle w:val="3"/>
        <w:spacing w:after="0" w:line="560" w:lineRule="exact"/>
        <w:ind w:firstLine="600" w:firstLineChars="200"/>
        <w:rPr>
          <w:rFonts w:ascii="仿宋_GB2312" w:hAnsi="仿宋_GB2312" w:eastAsia="仿宋_GB2312" w:cs="仿宋_GB2312"/>
        </w:rPr>
      </w:pPr>
      <w:r>
        <w:rPr>
          <w:rFonts w:hint="eastAsia" w:ascii="仿宋_GB2312" w:hAnsi="仿宋_GB2312" w:eastAsia="仿宋_GB2312" w:cs="仿宋_GB2312"/>
        </w:rPr>
        <w:t>2.各参赛校以学校为单位注册报名平台，专人负责报名工作。（</w:t>
      </w:r>
      <w:r>
        <w:rPr>
          <w:rFonts w:hint="eastAsia" w:ascii="仿宋_GB2312" w:hAnsi="仿宋_GB2312" w:eastAsia="仿宋_GB2312" w:cs="仿宋_GB2312"/>
          <w:lang w:eastAsia="zh-TW"/>
        </w:rPr>
        <w:t>技术支持：</w:t>
      </w:r>
      <w:r>
        <w:rPr>
          <w:rFonts w:hint="eastAsia" w:ascii="仿宋_GB2312" w:hAnsi="仿宋_GB2312" w:eastAsia="仿宋_GB2312" w:cs="仿宋_GB2312"/>
        </w:rPr>
        <w:t>王晗</w:t>
      </w:r>
      <w:r>
        <w:rPr>
          <w:rFonts w:hint="eastAsia" w:ascii="仿宋_GB2312" w:hAnsi="仿宋_GB2312" w:eastAsia="仿宋_GB2312" w:cs="仿宋_GB2312"/>
          <w:lang w:eastAsia="zh-TW"/>
        </w:rPr>
        <w:t>，电话：</w:t>
      </w:r>
      <w:r>
        <w:rPr>
          <w:rFonts w:hint="eastAsia" w:ascii="仿宋_GB2312" w:hAnsi="仿宋_GB2312" w:eastAsia="仿宋_GB2312" w:cs="仿宋_GB2312"/>
        </w:rPr>
        <w:t>18338338901）。</w:t>
      </w:r>
    </w:p>
    <w:p>
      <w:pPr>
        <w:pStyle w:val="3"/>
        <w:spacing w:after="0" w:line="560" w:lineRule="exact"/>
        <w:ind w:firstLine="600" w:firstLineChars="200"/>
        <w:rPr>
          <w:rFonts w:ascii="仿宋_GB2312" w:hAnsi="仿宋_GB2312" w:eastAsia="仿宋_GB2312" w:cs="仿宋_GB2312"/>
        </w:rPr>
      </w:pPr>
      <w:r>
        <w:rPr>
          <w:rFonts w:hint="eastAsia" w:ascii="仿宋_GB2312" w:hAnsi="仿宋_GB2312" w:eastAsia="仿宋_GB2312" w:cs="仿宋_GB2312"/>
        </w:rPr>
        <w:t>3.提交报名信息后，参赛院校从系统导出参赛选手报名表、参赛信息汇总表后，连同参赛选手身份证复印件和学信网“教育部学籍在线验证报告”或省招办录取名册复印件各1份，均加盖院校公章。</w:t>
      </w:r>
    </w:p>
    <w:p>
      <w:pPr>
        <w:pStyle w:val="3"/>
        <w:spacing w:after="0" w:line="560" w:lineRule="exact"/>
        <w:ind w:firstLine="600" w:firstLineChars="200"/>
        <w:rPr>
          <w:rFonts w:ascii="仿宋_GB2312" w:hAnsi="仿宋_GB2312" w:eastAsia="仿宋_GB2312" w:cs="仿宋_GB2312"/>
        </w:rPr>
      </w:pPr>
      <w:r>
        <w:rPr>
          <w:rFonts w:hint="eastAsia" w:ascii="仿宋_GB2312" w:hAnsi="仿宋_GB2312" w:eastAsia="仿宋_GB2312" w:cs="仿宋_GB2312"/>
        </w:rPr>
        <w:t>教师组参赛选手，在编在岗的教师提供身份证复印件和“河南社会保险网上业务大厅”下载打印的社保证明；在聘教师提供身份证复印件和正式聘用合同复印件。以上所有复印件需加盖学校公章或人事部门公章，无章视为无效。</w:t>
      </w:r>
    </w:p>
    <w:p>
      <w:pPr>
        <w:pStyle w:val="3"/>
        <w:spacing w:after="0" w:line="560" w:lineRule="exact"/>
        <w:ind w:firstLine="600" w:firstLineChars="200"/>
        <w:rPr>
          <w:rFonts w:ascii="仿宋_GB2312" w:hAnsi="仿宋_GB2312" w:eastAsia="仿宋_GB2312" w:cs="仿宋_GB2312"/>
        </w:rPr>
      </w:pPr>
      <w:r>
        <w:rPr>
          <w:rFonts w:hint="eastAsia" w:ascii="仿宋_GB2312" w:hAnsi="仿宋_GB2312" w:eastAsia="仿宋_GB2312" w:cs="仿宋_GB2312"/>
        </w:rPr>
        <w:t>以上纸质报名材料报送或邮寄到赛项承办院校（郑州铁路职业技术学院）。纸质报名材料接收截止时间为</w:t>
      </w:r>
      <w:r>
        <w:rPr>
          <w:rFonts w:ascii="仿宋_GB2312" w:hAnsi="仿宋_GB2312" w:eastAsia="仿宋_GB2312" w:cs="仿宋_GB2312"/>
        </w:rPr>
        <w:t>12</w:t>
      </w:r>
      <w:r>
        <w:rPr>
          <w:rFonts w:hint="eastAsia" w:ascii="仿宋_GB2312" w:hAnsi="仿宋_GB2312" w:eastAsia="仿宋_GB2312" w:cs="仿宋_GB2312"/>
        </w:rPr>
        <w:t>月</w:t>
      </w:r>
      <w:r>
        <w:rPr>
          <w:rFonts w:hint="eastAsia" w:ascii="仿宋_GB2312" w:hAnsi="仿宋_GB2312" w:eastAsia="仿宋_GB2312" w:cs="仿宋_GB2312"/>
          <w:lang w:val="en-US" w:eastAsia="zh-CN"/>
        </w:rPr>
        <w:t>20</w:t>
      </w:r>
      <w:r>
        <w:rPr>
          <w:rFonts w:hint="eastAsia" w:ascii="仿宋_GB2312" w:hAnsi="仿宋_GB2312" w:eastAsia="仿宋_GB2312" w:cs="仿宋_GB2312"/>
        </w:rPr>
        <w:t>日，以邮戳时间为准。</w:t>
      </w:r>
    </w:p>
    <w:p>
      <w:pPr>
        <w:pStyle w:val="3"/>
        <w:spacing w:after="0" w:line="560" w:lineRule="exact"/>
        <w:ind w:firstLine="600" w:firstLineChars="200"/>
        <w:rPr>
          <w:rFonts w:ascii="仿宋_GB2312" w:hAnsi="仿宋_GB2312" w:eastAsia="仿宋_GB2312" w:cs="仿宋_GB2312"/>
        </w:rPr>
      </w:pPr>
      <w:r>
        <w:rPr>
          <w:rFonts w:hint="eastAsia" w:ascii="仿宋_GB2312" w:hAnsi="仿宋_GB2312" w:eastAsia="仿宋_GB2312" w:cs="仿宋_GB2312"/>
        </w:rPr>
        <w:t>邮寄地址：</w:t>
      </w:r>
      <w:r>
        <w:rPr>
          <w:rFonts w:ascii="仿宋_GB2312" w:hAnsi="仿宋_GB2312" w:eastAsia="仿宋_GB2312" w:cs="仿宋_GB2312"/>
        </w:rPr>
        <w:t>河南省</w:t>
      </w:r>
      <w:r>
        <w:rPr>
          <w:rFonts w:hint="eastAsia" w:ascii="仿宋_GB2312" w:hAnsi="仿宋_GB2312" w:eastAsia="仿宋_GB2312" w:cs="仿宋_GB2312"/>
        </w:rPr>
        <w:t>郑州市郑东新区通惠路</w:t>
      </w:r>
      <w:r>
        <w:rPr>
          <w:rFonts w:ascii="仿宋_GB2312" w:hAnsi="仿宋_GB2312" w:eastAsia="仿宋_GB2312" w:cs="仿宋_GB2312"/>
        </w:rPr>
        <w:t>298号</w:t>
      </w:r>
      <w:r>
        <w:rPr>
          <w:rFonts w:hint="eastAsia" w:ascii="仿宋_GB2312" w:hAnsi="仿宋_GB2312" w:eastAsia="仿宋_GB2312" w:cs="仿宋_GB2312"/>
        </w:rPr>
        <w:t>郑州铁路职业技术学院，联系人：张娜，联系电话：18595835061。</w:t>
      </w:r>
    </w:p>
    <w:p>
      <w:pPr>
        <w:pStyle w:val="3"/>
        <w:spacing w:after="0" w:line="560" w:lineRule="exact"/>
        <w:ind w:firstLine="600" w:firstLineChars="200"/>
        <w:rPr>
          <w:rFonts w:ascii="仿宋_GB2312" w:hAnsi="仿宋_GB2312" w:eastAsia="仿宋_GB2312" w:cs="仿宋_GB2312"/>
        </w:rPr>
      </w:pPr>
      <w:r>
        <w:rPr>
          <w:rFonts w:hint="eastAsia" w:ascii="仿宋_GB2312" w:hAnsi="仿宋_GB2312" w:eastAsia="仿宋_GB2312" w:cs="仿宋_GB2312"/>
        </w:rPr>
        <w:t>4.承办学校收到纸质报名材料，按参赛条件的要求认真审核参赛选手和指导教师资格，审核通过报名成功。</w:t>
      </w:r>
    </w:p>
    <w:p>
      <w:pPr>
        <w:pStyle w:val="10"/>
        <w:spacing w:before="0" w:after="0" w:line="560" w:lineRule="exact"/>
        <w:ind w:firstLine="600" w:firstLineChars="200"/>
        <w:jc w:val="left"/>
        <w:rPr>
          <w:rFonts w:ascii="黑体" w:hAnsi="黑体" w:eastAsia="黑体"/>
          <w:b w:val="0"/>
          <w:color w:val="000000" w:themeColor="text1"/>
          <w:kern w:val="2"/>
          <w:sz w:val="30"/>
          <w:szCs w:val="30"/>
          <w14:textFill>
            <w14:solidFill>
              <w14:schemeClr w14:val="tx1"/>
            </w14:solidFill>
          </w14:textFill>
        </w:rPr>
      </w:pPr>
      <w:r>
        <w:rPr>
          <w:rFonts w:hint="eastAsia" w:ascii="黑体" w:hAnsi="黑体" w:eastAsia="黑体"/>
          <w:b w:val="0"/>
          <w:color w:val="000000" w:themeColor="text1"/>
          <w:kern w:val="2"/>
          <w:sz w:val="30"/>
          <w:szCs w:val="30"/>
          <w14:textFill>
            <w14:solidFill>
              <w14:schemeClr w14:val="tx1"/>
            </w14:solidFill>
          </w14:textFill>
        </w:rPr>
        <w:t>九、竞赛评判与奖励</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（一）竞赛评判组成</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根据参赛队报名情况，将各学校推荐的评判人员中符合条件的人员组成裁判专家库。</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按照专业核心基本技能赛项实施方案，依据裁判专家库组织裁判组。一般由抽取方式进行。裁判组设召集人1</w:t>
      </w:r>
      <w:r>
        <w:rPr>
          <w:rFonts w:ascii="仿宋_GB2312" w:hAnsi="仿宋_GB2312" w:eastAsia="仿宋_GB2312" w:cs="仿宋_GB2312"/>
          <w:lang w:eastAsia="zh-TW"/>
        </w:rPr>
        <w:t>-2</w:t>
      </w:r>
      <w:r>
        <w:rPr>
          <w:rFonts w:hint="eastAsia" w:ascii="仿宋_GB2312" w:hAnsi="仿宋_GB2312" w:eastAsia="仿宋_GB2312" w:cs="仿宋_GB2312"/>
          <w:lang w:eastAsia="zh-TW"/>
        </w:rPr>
        <w:t>人，负责组织竞赛期间的裁判工作，但与各评分裁判具有同等评判职责或不参与评判。</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（二）现场评判</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现场评分由1</w:t>
      </w:r>
      <w:r>
        <w:rPr>
          <w:rFonts w:ascii="仿宋_GB2312" w:hAnsi="仿宋_GB2312" w:eastAsia="仿宋_GB2312" w:cs="仿宋_GB2312"/>
          <w:lang w:eastAsia="zh-TW"/>
        </w:rPr>
        <w:t>-2</w:t>
      </w:r>
      <w:r>
        <w:rPr>
          <w:rFonts w:hint="eastAsia" w:ascii="仿宋_GB2312" w:hAnsi="仿宋_GB2312" w:eastAsia="仿宋_GB2312" w:cs="仿宋_GB2312"/>
          <w:lang w:eastAsia="zh-TW"/>
        </w:rPr>
        <w:t>名评分裁判根据评分标准，对选手的操作进行现场评分；若现场评分裁判对选手的评分有分歧时，由现场裁判长裁决。评分依据参照附件5工业机器人操作与运维赛项评分要素，具体评分详见评分标准。</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（三）奖项设置</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按照《河南省教育厅办公室关于举办2024年河南省高等职业教育技能大赛的通知》（教办职成〔2024〕331号）文件规定执行。</w:t>
      </w:r>
    </w:p>
    <w:p>
      <w:pPr>
        <w:pStyle w:val="10"/>
        <w:spacing w:before="0" w:after="0" w:line="560" w:lineRule="exact"/>
        <w:ind w:firstLine="600" w:firstLineChars="200"/>
        <w:jc w:val="left"/>
        <w:rPr>
          <w:rFonts w:ascii="黑体" w:hAnsi="黑体" w:eastAsia="黑体"/>
          <w:b w:val="0"/>
          <w:color w:val="000000" w:themeColor="text1"/>
          <w:kern w:val="2"/>
          <w:sz w:val="30"/>
          <w:szCs w:val="30"/>
          <w14:textFill>
            <w14:solidFill>
              <w14:schemeClr w14:val="tx1"/>
            </w14:solidFill>
          </w14:textFill>
        </w:rPr>
      </w:pPr>
      <w:r>
        <w:rPr>
          <w:rFonts w:hint="eastAsia" w:ascii="黑体" w:hAnsi="黑体" w:eastAsia="黑体"/>
          <w:b w:val="0"/>
          <w:color w:val="000000" w:themeColor="text1"/>
          <w:kern w:val="2"/>
          <w:sz w:val="30"/>
          <w:szCs w:val="30"/>
          <w14:textFill>
            <w14:solidFill>
              <w14:schemeClr w14:val="tx1"/>
            </w14:solidFill>
          </w14:textFill>
        </w:rPr>
        <w:t>十、申诉与仲裁</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1.各参赛队对不符合赛项规程规定的事项，可向赛项监督仲裁组提出申诉。申诉主体为参赛队领队。</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2.监督仲裁人员的姓名、联系方式在竞赛期间向参赛队和工作人员公示，确保信息畅通并同时接受大众监督。</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3.申诉启动时，参赛队领队向赛项监督仲裁组递交亲笔签字同意的书面申报报告。申报报告应对申诉事件的现象、发生时间、涉及人员、申诉依据等进行充分、实事求是的叙述。非书面申诉不予受理。</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4.提出申诉的时间应在比赛结束后（选手赛场比赛内容全部完成）2 小时内。超过时效不予受理。</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5.赛项监督仲裁组在接到申诉报告后的 2 小时内组织复议，并及时将复议结果以书面形式告知申诉方。申诉方对复议结果仍有异议，可由学校领队向大赛仲裁委员会提出申诉。大赛仲裁委员会的仲裁结果为最终结果。</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6.仲裁结果由申诉人签收，不能代收；如在约定时间和地点申诉人离开，视为自行放弃申诉。</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7.申诉方可随时提出放弃申诉。</w:t>
      </w:r>
    </w:p>
    <w:p>
      <w:pPr>
        <w:pStyle w:val="10"/>
        <w:spacing w:before="0" w:after="0" w:line="560" w:lineRule="exact"/>
        <w:ind w:firstLine="600" w:firstLineChars="200"/>
        <w:jc w:val="left"/>
        <w:rPr>
          <w:rFonts w:ascii="黑体" w:hAnsi="黑体" w:eastAsia="黑体"/>
          <w:b w:val="0"/>
          <w:color w:val="000000" w:themeColor="text1"/>
          <w:kern w:val="2"/>
          <w:sz w:val="30"/>
          <w:szCs w:val="30"/>
          <w14:textFill>
            <w14:solidFill>
              <w14:schemeClr w14:val="tx1"/>
            </w14:solidFill>
          </w14:textFill>
        </w:rPr>
      </w:pPr>
      <w:r>
        <w:rPr>
          <w:rFonts w:hint="eastAsia" w:ascii="黑体" w:hAnsi="黑体" w:eastAsia="黑体"/>
          <w:b w:val="0"/>
          <w:color w:val="000000" w:themeColor="text1"/>
          <w:kern w:val="2"/>
          <w:sz w:val="30"/>
          <w:szCs w:val="30"/>
          <w14:textFill>
            <w14:solidFill>
              <w14:schemeClr w14:val="tx1"/>
            </w14:solidFill>
          </w14:textFill>
        </w:rPr>
        <w:t>十一、赛项预案</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（一）消防预案</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1.赛区建立与公安、消防部门的协调机制，保证比赛安全，制定应急预案，及时处置突发事件。</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2.赛场平面图上应标明安全出口、消防通道、警戒区、紧急事件发生时的疏散通道。</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（二）供电预案</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1.指定安全用电保障责任人，保证比赛期间电力供应正常，及出现异常情况时及时解决问题。</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2.实行双重双电源保障措施：</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（1）除正常市电外，增加备用不间断电源（UPS）。</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（2）赛场各比赛工位设备电源与电脑电源分离，保证电脑用电不受选手对设备误操作影响。</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（3）设备本身带有配电箱，配备隔离变压器，具有漏电保护、过压、过电流保护等功能，各单元独立供电互不干扰。</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（三）医疗预案</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赛场提供应急医疗措施和消防措施，设置医护人员的专线联系，确定对方联系人，由场地安全负责人对口联系。</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（四）设备预案</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1.赛场至少提供1套备用设备，预防比赛过程中可能出现的技术故障。</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2.赛场内配备一定数量的设备维护工程技术人员，处置设备可能出现的问题。</w:t>
      </w:r>
    </w:p>
    <w:p>
      <w:pPr>
        <w:pStyle w:val="10"/>
        <w:spacing w:before="0" w:after="0" w:line="560" w:lineRule="exact"/>
        <w:ind w:firstLine="600" w:firstLineChars="200"/>
        <w:jc w:val="left"/>
        <w:rPr>
          <w:rFonts w:ascii="黑体" w:hAnsi="黑体" w:eastAsia="黑体"/>
          <w:b w:val="0"/>
          <w:color w:val="000000" w:themeColor="text1"/>
          <w:kern w:val="2"/>
          <w:sz w:val="30"/>
          <w:szCs w:val="30"/>
          <w14:textFill>
            <w14:solidFill>
              <w14:schemeClr w14:val="tx1"/>
            </w14:solidFill>
          </w14:textFill>
        </w:rPr>
      </w:pPr>
      <w:r>
        <w:rPr>
          <w:rFonts w:hint="eastAsia" w:ascii="黑体" w:hAnsi="黑体" w:eastAsia="黑体"/>
          <w:b w:val="0"/>
          <w:color w:val="000000" w:themeColor="text1"/>
          <w:kern w:val="2"/>
          <w:sz w:val="30"/>
          <w:szCs w:val="30"/>
          <w14:textFill>
            <w14:solidFill>
              <w14:schemeClr w14:val="tx1"/>
            </w14:solidFill>
          </w14:textFill>
        </w:rPr>
        <w:t>十二、赛项安全</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（一）比赛环境</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1.赛前组织专人对比赛现场、住宿场所和交通保障进行考察，并对安全工作提出明确要求。赛场的布置，赛场内的器材、设备，符合国家有关安全规定。协办单位赛前将按照执委会要求排除安全隐患。</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2.赛场周围设立警戒线，防止无关人员进入发生意外事件。比赛现场内的每个工位安全操作规范。选手进场后开赛前，裁判长将统一进行告知。</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3.协办院校制定赛场用电预案。现场提供医疗和消防安全保障。</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4.严格控制与参赛无关的易燃易爆以及各类危险品进入比赛场地， 不许随便携带书包进入赛场。</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5.大赛期间工作组须在比赛管理的关键岗位增加力量，建立安全管理机制。</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（二）组队责任</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1.各学校组织代表队时，须为参赛选手购买大赛期间的人身意外伤害保险，有效期必须为大赛举行期间，不得以其他长期保险代替。</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2.各学校代表队组成后，须制定相关管理制度，并对所有选手、指导教师进行安全教育。</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3.各参赛队伍须加强对参与比赛人员的安全管理，实现与赛场安全管理的对接。</w:t>
      </w:r>
    </w:p>
    <w:p>
      <w:pPr>
        <w:pStyle w:val="10"/>
        <w:spacing w:before="0" w:after="0" w:line="560" w:lineRule="exact"/>
        <w:ind w:firstLine="600" w:firstLineChars="200"/>
        <w:jc w:val="left"/>
        <w:rPr>
          <w:rFonts w:ascii="黑体" w:hAnsi="黑体" w:eastAsia="黑体"/>
          <w:b w:val="0"/>
          <w:color w:val="000000" w:themeColor="text1"/>
          <w:kern w:val="2"/>
          <w:sz w:val="30"/>
          <w:szCs w:val="30"/>
          <w14:textFill>
            <w14:solidFill>
              <w14:schemeClr w14:val="tx1"/>
            </w14:solidFill>
          </w14:textFill>
        </w:rPr>
      </w:pPr>
      <w:r>
        <w:rPr>
          <w:rFonts w:hint="eastAsia" w:ascii="黑体" w:hAnsi="黑体" w:eastAsia="黑体"/>
          <w:b w:val="0"/>
          <w:color w:val="000000" w:themeColor="text1"/>
          <w:kern w:val="2"/>
          <w:sz w:val="30"/>
          <w:szCs w:val="30"/>
          <w14:textFill>
            <w14:solidFill>
              <w14:schemeClr w14:val="tx1"/>
            </w14:solidFill>
          </w14:textFill>
        </w:rPr>
        <w:t>十三、相关事项</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（一）其他规定事项</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赛事其他规定事项，按照本次大赛《通知》实施。</w:t>
      </w:r>
    </w:p>
    <w:p>
      <w:pPr>
        <w:pStyle w:val="3"/>
        <w:spacing w:after="0" w:line="560" w:lineRule="exact"/>
        <w:ind w:firstLine="600" w:firstLineChars="200"/>
        <w:rPr>
          <w:rFonts w:ascii="方正楷体_GBK" w:hAnsi="方正楷体_GBK" w:eastAsia="方正楷体_GBK" w:cs="方正楷体_GBK"/>
        </w:rPr>
      </w:pPr>
      <w:r>
        <w:rPr>
          <w:rFonts w:hint="eastAsia" w:ascii="方正楷体_GBK" w:hAnsi="方正楷体_GBK" w:eastAsia="方正楷体_GBK" w:cs="方正楷体_GBK"/>
        </w:rPr>
        <w:t>（二）未规定事项</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在省赛期间发生的相关问题，如果本次大赛《通知》没有相关规定，则在赛项仲裁长主持下，由监督员、裁判组召集人、承办学校负责人、参赛队代表等共同研究，由赛项仲裁长最终确定，按照相关规定进行处理并留档。</w:t>
      </w:r>
    </w:p>
    <w:p>
      <w:pPr>
        <w:pStyle w:val="3"/>
        <w:spacing w:after="0" w:line="240" w:lineRule="auto"/>
        <w:ind w:firstLine="601"/>
        <w:rPr>
          <w:rFonts w:ascii="方正楷体_GBK" w:hAnsi="方正楷体_GBK" w:cs="方正楷体_GBK" w:eastAsiaTheme="minorEastAsia"/>
          <w:color w:val="000000" w:themeColor="text1"/>
          <w14:textFill>
            <w14:solidFill>
              <w14:schemeClr w14:val="tx1"/>
            </w14:solidFill>
          </w14:textFill>
        </w:rPr>
      </w:pPr>
      <w:r>
        <w:rPr>
          <w:rFonts w:hint="eastAsia" w:ascii="方正楷体_GBK" w:hAnsi="方正楷体_GBK" w:eastAsia="方正楷体_GBK" w:cs="方正楷体_GBK"/>
        </w:rPr>
        <w:t>（三）选手自备下列工具：</w:t>
      </w:r>
      <w:r>
        <w:rPr>
          <w:rFonts w:hint="eastAsia" w:ascii="仿宋_GB2312" w:hAnsi="仿宋_GB2312" w:eastAsia="仿宋_GB2312" w:cs="仿宋_GB2312"/>
          <w:lang w:eastAsia="zh-TW"/>
        </w:rPr>
        <w:t>电工用螺丝刀、防滑手套、壁纸刀、电工剪、尖嘴钳 /剥线钳 、斜口钳 、万用表、9件套公制球头内六</w:t>
      </w:r>
      <w:r>
        <w:rPr>
          <w:rFonts w:hint="eastAsia" w:ascii="仿宋_GB2312" w:hAnsi="仿宋_GB2312" w:eastAsia="仿宋_GB2312" w:cs="仿宋_GB2312"/>
          <w:color w:val="000000" w:themeColor="text1"/>
          <w:lang w:eastAsia="zh-TW"/>
          <w14:textFill>
            <w14:solidFill>
              <w14:schemeClr w14:val="tx1"/>
            </w14:solidFill>
          </w14:textFill>
        </w:rPr>
        <w:t>角扳手、强力绝缘端子压著钳等工具等（详见附件2）。参赛选手自备劳动保护用品（安全帽、绝缘手套、绝缘鞋等）。参赛院校统一工作服进入赛场，不得在参赛服饰上作任何标识，具体事项见后续通知。</w:t>
      </w:r>
    </w:p>
    <w:p>
      <w:pPr>
        <w:pStyle w:val="3"/>
        <w:spacing w:after="0" w:line="560" w:lineRule="exact"/>
        <w:ind w:firstLine="600" w:firstLineChars="200"/>
        <w:rPr>
          <w:rFonts w:ascii="仿宋_GB2312" w:hAnsi="仿宋_GB2312" w:eastAsia="PMingLiU" w:cs="仿宋_GB2312"/>
          <w:color w:val="000000" w:themeColor="text1"/>
          <w:lang w:eastAsia="zh-TW"/>
          <w14:textFill>
            <w14:solidFill>
              <w14:schemeClr w14:val="tx1"/>
            </w14:solidFill>
          </w14:textFill>
        </w:rPr>
      </w:pPr>
      <w:r>
        <w:rPr>
          <w:rFonts w:hint="eastAsia" w:ascii="方正楷体_GBK" w:hAnsi="方正楷体_GBK" w:eastAsia="方正楷体_GBK" w:cs="方正楷体_GBK"/>
          <w:color w:val="000000" w:themeColor="text1"/>
          <w14:textFill>
            <w14:solidFill>
              <w14:schemeClr w14:val="tx1"/>
            </w14:solidFill>
          </w14:textFill>
        </w:rPr>
        <w:t>（四）竞赛时间地点安排。</w:t>
      </w:r>
      <w:r>
        <w:rPr>
          <w:rFonts w:hint="eastAsia" w:ascii="仿宋_GB2312" w:hAnsi="仿宋_GB2312" w:eastAsia="仿宋_GB2312" w:cs="仿宋_GB2312"/>
          <w:color w:val="000000" w:themeColor="text1"/>
          <w:lang w:eastAsia="zh-TW"/>
          <w14:textFill>
            <w14:solidFill>
              <w14:schemeClr w14:val="tx1"/>
            </w14:solidFill>
          </w14:textFill>
        </w:rPr>
        <w:t>竞赛时间为2024年12月</w:t>
      </w:r>
      <w:r>
        <w:rPr>
          <w:rFonts w:ascii="仿宋_GB2312" w:hAnsi="仿宋_GB2312" w:eastAsia="仿宋_GB2312" w:cs="仿宋_GB2312"/>
          <w:color w:val="000000" w:themeColor="text1"/>
          <w:lang w:eastAsia="zh-TW"/>
          <w14:textFill>
            <w14:solidFill>
              <w14:schemeClr w14:val="tx1"/>
            </w14:solidFill>
          </w14:textFill>
        </w:rPr>
        <w:t>26</w:t>
      </w:r>
      <w:r>
        <w:rPr>
          <w:rFonts w:hint="eastAsia" w:ascii="仿宋_GB2312" w:hAnsi="仿宋_GB2312" w:eastAsia="仿宋_GB2312" w:cs="仿宋_GB2312"/>
          <w:color w:val="000000" w:themeColor="text1"/>
          <w:lang w:eastAsia="zh-TW"/>
          <w14:textFill>
            <w14:solidFill>
              <w14:schemeClr w14:val="tx1"/>
            </w14:solidFill>
          </w14:textFill>
        </w:rPr>
        <w:t>日至</w:t>
      </w:r>
      <w:r>
        <w:rPr>
          <w:rFonts w:ascii="仿宋_GB2312" w:hAnsi="仿宋_GB2312" w:eastAsia="仿宋_GB2312" w:cs="仿宋_GB2312"/>
          <w:color w:val="000000" w:themeColor="text1"/>
          <w:lang w:eastAsia="zh-TW"/>
          <w14:textFill>
            <w14:solidFill>
              <w14:schemeClr w14:val="tx1"/>
            </w14:solidFill>
          </w14:textFill>
        </w:rPr>
        <w:t>28</w:t>
      </w:r>
      <w:r>
        <w:rPr>
          <w:rFonts w:hint="eastAsia" w:ascii="仿宋_GB2312" w:hAnsi="仿宋_GB2312" w:eastAsia="仿宋_GB2312" w:cs="仿宋_GB2312"/>
          <w:color w:val="000000" w:themeColor="text1"/>
          <w:lang w:eastAsia="zh-TW"/>
          <w14:textFill>
            <w14:solidFill>
              <w14:schemeClr w14:val="tx1"/>
            </w14:solidFill>
          </w14:textFill>
        </w:rPr>
        <w:t>日，竞赛地点为郑州铁路职业技术学院（郑州市郑东新区通惠298号），</w:t>
      </w:r>
      <w:r>
        <w:rPr>
          <w:rFonts w:hint="eastAsia" w:ascii="仿宋_GB2312" w:hAnsi="仿宋_GB2312" w:eastAsia="仿宋_GB2312" w:cs="仿宋_GB2312"/>
          <w:color w:val="000000" w:themeColor="text1"/>
          <w14:textFill>
            <w14:solidFill>
              <w14:schemeClr w14:val="tx1"/>
            </w14:solidFill>
          </w14:textFill>
        </w:rPr>
        <w:t>报到</w:t>
      </w:r>
      <w:r>
        <w:rPr>
          <w:rFonts w:hint="eastAsia" w:ascii="仿宋_GB2312" w:hAnsi="仿宋_GB2312" w:eastAsia="仿宋_GB2312" w:cs="仿宋_GB2312"/>
          <w:color w:val="000000" w:themeColor="text1"/>
          <w:lang w:eastAsia="zh-TW"/>
          <w14:textFill>
            <w14:solidFill>
              <w14:schemeClr w14:val="tx1"/>
            </w14:solidFill>
          </w14:textFill>
        </w:rPr>
        <w:t>联系人：张娜，电话18595835061</w:t>
      </w:r>
      <w:r>
        <w:rPr>
          <w:rFonts w:hint="eastAsia" w:ascii="仿宋_GB2312" w:hAnsi="仿宋_GB2312" w:eastAsia="仿宋_GB2312" w:cs="仿宋_GB2312"/>
          <w:color w:val="000000" w:themeColor="text1"/>
          <w14:textFill>
            <w14:solidFill>
              <w14:schemeClr w14:val="tx1"/>
            </w14:solidFill>
          </w14:textFill>
        </w:rPr>
        <w:t>。</w:t>
      </w:r>
      <w:r>
        <w:rPr>
          <w:rFonts w:hint="eastAsia" w:ascii="仿宋_GB2312" w:hAnsi="仿宋_GB2312" w:eastAsia="仿宋_GB2312" w:cs="仿宋_GB2312"/>
          <w:color w:val="000000" w:themeColor="text1"/>
          <w:lang w:eastAsia="zh-TW"/>
          <w14:textFill>
            <w14:solidFill>
              <w14:schemeClr w14:val="tx1"/>
            </w14:solidFill>
          </w14:textFill>
        </w:rPr>
        <w:t>报名院校请加入QQ群187353281，</w:t>
      </w:r>
      <w:bookmarkStart w:id="6" w:name="_Hlk184386220"/>
      <w:r>
        <w:rPr>
          <w:rFonts w:hint="eastAsia" w:ascii="仿宋_GB2312" w:hAnsi="仿宋_GB2312" w:eastAsia="仿宋_GB2312" w:cs="仿宋_GB2312"/>
          <w:color w:val="000000" w:themeColor="text1"/>
          <w:lang w:eastAsia="zh-TW"/>
          <w14:textFill>
            <w14:solidFill>
              <w14:schemeClr w14:val="tx1"/>
            </w14:solidFill>
          </w14:textFill>
        </w:rPr>
        <w:t>根据上级要求</w:t>
      </w:r>
      <w:r>
        <w:rPr>
          <w:rFonts w:hint="eastAsia" w:ascii="仿宋_GB2312" w:hAnsi="仿宋_GB2312" w:eastAsia="仿宋_GB2312" w:cs="仿宋_GB2312"/>
          <w:color w:val="000000" w:themeColor="text1"/>
          <w14:textFill>
            <w14:solidFill>
              <w14:schemeClr w14:val="tx1"/>
            </w14:solidFill>
          </w14:textFill>
        </w:rPr>
        <w:t>，</w:t>
      </w:r>
      <w:r>
        <w:rPr>
          <w:rFonts w:hint="eastAsia" w:ascii="仿宋_GB2312" w:hAnsi="仿宋_GB2312" w:eastAsia="仿宋_GB2312" w:cs="仿宋_GB2312"/>
          <w:color w:val="000000" w:themeColor="text1"/>
          <w:lang w:eastAsia="zh-TW"/>
          <w14:textFill>
            <w14:solidFill>
              <w14:schemeClr w14:val="tx1"/>
            </w14:solidFill>
          </w14:textFill>
        </w:rPr>
        <w:t>比赛具体安排如有变动将在群里发布</w:t>
      </w:r>
      <w:bookmarkEnd w:id="6"/>
      <w:r>
        <w:rPr>
          <w:rFonts w:hint="eastAsia" w:ascii="仿宋_GB2312" w:hAnsi="仿宋_GB2312" w:eastAsia="仿宋_GB2312" w:cs="仿宋_GB2312"/>
          <w:color w:val="000000" w:themeColor="text1"/>
          <w:lang w:eastAsia="zh-TW"/>
          <w14:textFill>
            <w14:solidFill>
              <w14:schemeClr w14:val="tx1"/>
            </w14:solidFill>
          </w14:textFill>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60" w:lineRule="exact"/>
        <w:ind w:firstLine="600" w:firstLineChars="200"/>
        <w:rPr>
          <w:rFonts w:ascii="方正楷体_GBK" w:hAnsi="方正楷体_GBK" w:eastAsia="方正楷体_GBK" w:cs="方正楷体_GBK"/>
          <w:color w:val="000000" w:themeColor="text1"/>
          <w14:textFill>
            <w14:solidFill>
              <w14:schemeClr w14:val="tx1"/>
            </w14:solidFill>
          </w14:textFill>
        </w:rPr>
      </w:pPr>
      <w:r>
        <w:rPr>
          <w:rFonts w:hint="eastAsia" w:ascii="方正楷体_GBK" w:hAnsi="方正楷体_GBK" w:eastAsia="方正楷体_GBK" w:cs="方正楷体_GBK"/>
          <w:color w:val="000000" w:themeColor="text1"/>
          <w14:textFill>
            <w14:solidFill>
              <w14:schemeClr w14:val="tx1"/>
            </w14:solidFill>
          </w14:textFill>
        </w:rPr>
        <w:t>（五）交通指导</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60" w:lineRule="exact"/>
        <w:ind w:firstLine="600" w:firstLineChars="200"/>
        <w:rPr>
          <w:rFonts w:ascii="仿宋_GB2312" w:hAnsi="仿宋_GB2312" w:cs="仿宋_GB2312"/>
          <w:color w:val="000000" w:themeColor="text1"/>
          <w:lang w:eastAsia="zh-TW"/>
          <w14:textFill>
            <w14:solidFill>
              <w14:schemeClr w14:val="tx1"/>
            </w14:solidFill>
          </w14:textFill>
        </w:rPr>
      </w:pPr>
      <w:r>
        <w:rPr>
          <w:rFonts w:ascii="仿宋_GB2312" w:hAnsi="仿宋_GB2312" w:cs="仿宋_GB2312"/>
          <w:color w:val="000000" w:themeColor="text1"/>
          <w:lang w:eastAsia="zh-TW"/>
          <w14:textFill>
            <w14:solidFill>
              <w14:schemeClr w14:val="tx1"/>
            </w14:solidFill>
          </w14:textFill>
        </w:rPr>
        <w:t>本次竞赛不安排接送</w:t>
      </w:r>
      <w:r>
        <w:rPr>
          <w:rFonts w:hint="eastAsia" w:ascii="仿宋_GB2312" w:hAnsi="仿宋_GB2312" w:cs="仿宋_GB2312"/>
          <w:color w:val="000000" w:themeColor="text1"/>
          <w:lang w:eastAsia="zh-TW"/>
          <w14:textFill>
            <w14:solidFill>
              <w14:schemeClr w14:val="tx1"/>
            </w14:solidFill>
          </w14:textFill>
        </w:rPr>
        <w:t>站，请参赛队按照指定位置，自行报到。</w:t>
      </w:r>
      <w:r>
        <w:rPr>
          <w:rFonts w:ascii="仿宋_GB2312" w:hAnsi="仿宋_GB2312" w:cs="仿宋_GB2312"/>
          <w:color w:val="000000" w:themeColor="text1"/>
          <w:lang w:eastAsia="zh-TW"/>
          <w14:textFill>
            <w14:solidFill>
              <w14:schemeClr w14:val="tx1"/>
            </w14:solidFill>
          </w14:textFill>
        </w:rPr>
        <w:t>报到地点:</w:t>
      </w:r>
      <w:r>
        <w:rPr>
          <w:rFonts w:hint="eastAsia" w:ascii="仿宋_GB2312" w:hAnsi="仿宋_GB2312" w:cs="仿宋_GB2312"/>
          <w:color w:val="000000" w:themeColor="text1"/>
          <w:lang w:eastAsia="zh-TW"/>
          <w14:textFill>
            <w14:solidFill>
              <w14:schemeClr w14:val="tx1"/>
            </w14:solidFill>
          </w14:textFill>
        </w:rPr>
        <w:t>郑州铁路职业技术学院前程路校区6号楼1楼大厅</w:t>
      </w:r>
      <w:r>
        <w:rPr>
          <w:rFonts w:ascii="仿宋_GB2312" w:hAnsi="仿宋_GB2312" w:cs="仿宋_GB2312"/>
          <w:color w:val="000000" w:themeColor="text1"/>
          <w:lang w:eastAsia="zh-TW"/>
          <w14:textFill>
            <w14:solidFill>
              <w14:schemeClr w14:val="tx1"/>
            </w14:solidFill>
          </w14:textFill>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60" w:lineRule="exact"/>
        <w:ind w:firstLine="600" w:firstLineChars="200"/>
        <w:rPr>
          <w:rFonts w:ascii="仿宋_GB2312" w:hAnsi="仿宋_GB2312" w:cs="仿宋_GB2312"/>
          <w:color w:val="FF0000"/>
          <w:lang w:eastAsia="zh-TW"/>
        </w:rPr>
      </w:pPr>
      <w:r>
        <w:rPr>
          <w:rFonts w:ascii="仿宋_GB2312" w:hAnsi="仿宋_GB2312" w:cs="仿宋_GB2312"/>
          <w:color w:val="000000" w:themeColor="text1"/>
          <w:lang w:eastAsia="zh-TW"/>
          <w14:textFill>
            <w14:solidFill>
              <w14:schemeClr w14:val="tx1"/>
            </w14:solidFill>
          </w14:textFill>
        </w:rPr>
        <w:t xml:space="preserve">交通路线1:G4 </w:t>
      </w:r>
      <w:r>
        <w:rPr>
          <w:rFonts w:hint="eastAsia" w:ascii="仿宋_GB2312" w:hAnsi="仿宋_GB2312" w:cs="仿宋_GB2312"/>
          <w:color w:val="000000" w:themeColor="text1"/>
          <w:lang w:eastAsia="zh-TW"/>
          <w14:textFill>
            <w14:solidFill>
              <w14:schemeClr w14:val="tx1"/>
            </w14:solidFill>
          </w14:textFill>
        </w:rPr>
        <w:t>京港澳高速郑州新区收费站出口开封方向-</w:t>
      </w:r>
      <w:r>
        <w:rPr>
          <w:rFonts w:ascii="仿宋_GB2312" w:hAnsi="仿宋_GB2312" w:cs="仿宋_GB2312"/>
          <w:color w:val="000000" w:themeColor="text1"/>
          <w:lang w:eastAsia="zh-TW"/>
          <w14:textFill>
            <w14:solidFill>
              <w14:schemeClr w14:val="tx1"/>
            </w14:solidFill>
          </w14:textFill>
        </w:rPr>
        <w:t>---</w:t>
      </w:r>
      <w:r>
        <w:rPr>
          <w:rFonts w:hint="eastAsia" w:ascii="仿宋_GB2312" w:hAnsi="仿宋_GB2312" w:cs="仿宋_GB2312"/>
          <w:color w:val="000000" w:themeColor="text1"/>
          <w:lang w:eastAsia="zh-TW"/>
          <w14:textFill>
            <w14:solidFill>
              <w14:schemeClr w14:val="tx1"/>
            </w14:solidFill>
          </w14:textFill>
        </w:rPr>
        <w:t>郑州铁路职业技术学院新校区东大</w:t>
      </w:r>
      <w:r>
        <w:rPr>
          <w:rFonts w:hint="eastAsia" w:ascii="微软雅黑" w:hAnsi="微软雅黑" w:eastAsia="微软雅黑" w:cs="微软雅黑"/>
          <w:color w:val="000000" w:themeColor="text1"/>
          <w:lang w:eastAsia="zh-TW"/>
          <w14:textFill>
            <w14:solidFill>
              <w14:schemeClr w14:val="tx1"/>
            </w14:solidFill>
          </w14:textFill>
        </w:rPr>
        <w:t>⻔</w:t>
      </w:r>
      <w:r>
        <w:rPr>
          <w:rFonts w:hint="eastAsia" w:ascii="仿宋_GB2312" w:hAnsi="仿宋_GB2312" w:cs="仿宋_GB2312"/>
          <w:color w:val="000000" w:themeColor="text1"/>
          <w:lang w:eastAsia="zh-TW"/>
          <w14:textFill>
            <w14:solidFill>
              <w14:schemeClr w14:val="tx1"/>
            </w14:solidFill>
          </w14:textFill>
        </w:rPr>
        <w:t>，约</w:t>
      </w:r>
      <w:r>
        <w:rPr>
          <w:rFonts w:ascii="仿宋_GB2312" w:hAnsi="仿宋_GB2312" w:cs="仿宋_GB2312"/>
          <w:color w:val="000000" w:themeColor="text1"/>
          <w:lang w:eastAsia="zh-TW"/>
          <w14:textFill>
            <w14:solidFill>
              <w14:schemeClr w14:val="tx1"/>
            </w14:solidFill>
          </w14:textFill>
        </w:rPr>
        <w:t>7.3公</w:t>
      </w:r>
      <w:r>
        <w:rPr>
          <w:rFonts w:hint="eastAsia" w:ascii="仿宋_GB2312" w:hAnsi="仿宋_GB2312" w:cs="仿宋_GB2312"/>
          <w:color w:val="000000" w:themeColor="text1"/>
          <w:lang w:eastAsia="zh-TW"/>
          <w14:textFill>
            <w14:solidFill>
              <w14:schemeClr w14:val="tx1"/>
            </w14:solidFill>
          </w14:textFill>
        </w:rPr>
        <w:t>里，需</w:t>
      </w:r>
      <w:r>
        <w:rPr>
          <w:rFonts w:ascii="仿宋_GB2312" w:hAnsi="仿宋_GB2312" w:cs="仿宋_GB2312"/>
          <w:color w:val="000000" w:themeColor="text1"/>
          <w:lang w:eastAsia="zh-TW"/>
          <w14:textFill>
            <w14:solidFill>
              <w14:schemeClr w14:val="tx1"/>
            </w14:solidFill>
          </w14:textFill>
        </w:rPr>
        <w:t>20分钟</w:t>
      </w:r>
      <w:r>
        <w:rPr>
          <w:rFonts w:hint="eastAsia" w:ascii="仿宋_GB2312" w:hAnsi="仿宋_GB2312" w:cs="仿宋_GB2312"/>
          <w:color w:val="000000" w:themeColor="text1"/>
          <w:lang w:eastAsia="zh-TW"/>
          <w14:textFill>
            <w14:solidFill>
              <w14:schemeClr w14:val="tx1"/>
            </w14:solidFill>
          </w14:textFill>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仿宋_GB2312" w:hAnsi="仿宋_GB2312" w:cs="仿宋_GB2312"/>
          <w:color w:val="FF0000"/>
          <w:lang w:eastAsia="zh-TW"/>
        </w:rPr>
      </w:pPr>
      <w:r>
        <w:rPr>
          <w:rFonts w:ascii="仿宋_GB2312" w:hAnsi="仿宋_GB2312" w:cs="仿宋_GB2312"/>
          <w:color w:val="FF0000"/>
          <w:lang w:eastAsia="zh-TW"/>
        </w:rPr>
        <w:drawing>
          <wp:inline distT="0" distB="0" distL="0" distR="0">
            <wp:extent cx="5943600" cy="2374265"/>
            <wp:effectExtent l="0" t="0" r="0" b="6985"/>
            <wp:docPr id="4" name="图片 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true" noChangeArrowheads="true"/>
                    </pic:cNvPicPr>
                  </pic:nvPicPr>
                  <pic:blipFill>
                    <a:blip r:embed="rId8" cstate="print">
                      <a:extLst>
                        <a:ext uri="{28A0092B-C50C-407E-A947-70E740481C1C}">
                          <a14:useLocalDpi xmlns:a14="http://schemas.microsoft.com/office/drawing/2010/main" val="false"/>
                        </a:ext>
                      </a:extLst>
                    </a:blip>
                    <a:srcRect/>
                    <a:stretch>
                      <a:fillRect/>
                    </a:stretch>
                  </pic:blipFill>
                  <pic:spPr>
                    <a:xfrm>
                      <a:off x="0" y="0"/>
                      <a:ext cx="5943600" cy="2374265"/>
                    </a:xfrm>
                    <a:prstGeom prst="rect">
                      <a:avLst/>
                    </a:prstGeom>
                    <a:noFill/>
                    <a:ln>
                      <a:noFill/>
                    </a:ln>
                  </pic:spPr>
                </pic:pic>
              </a:graphicData>
            </a:graphic>
          </wp:inline>
        </w:drawing>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60" w:lineRule="exact"/>
        <w:ind w:firstLine="600" w:firstLineChars="200"/>
        <w:rPr>
          <w:rFonts w:ascii="仿宋_GB2312" w:hAnsi="仿宋_GB2312" w:cs="仿宋_GB2312"/>
          <w:color w:val="000000" w:themeColor="text1"/>
          <w:lang w:eastAsia="zh-TW"/>
          <w14:textFill>
            <w14:solidFill>
              <w14:schemeClr w14:val="tx1"/>
            </w14:solidFill>
          </w14:textFill>
        </w:rPr>
      </w:pPr>
      <w:r>
        <w:rPr>
          <w:rFonts w:ascii="仿宋_GB2312" w:hAnsi="仿宋_GB2312" w:cs="仿宋_GB2312"/>
          <w:color w:val="000000" w:themeColor="text1"/>
          <w:lang w:eastAsia="zh-TW"/>
          <w14:textFill>
            <w14:solidFill>
              <w14:schemeClr w14:val="tx1"/>
            </w14:solidFill>
          </w14:textFill>
        </w:rPr>
        <w:t>交通路线2:</w:t>
      </w:r>
      <w:r>
        <w:rPr>
          <w:rFonts w:hint="eastAsia" w:ascii="仿宋_GB2312" w:hAnsi="仿宋_GB2312" w:cs="仿宋_GB2312"/>
          <w:color w:val="000000" w:themeColor="text1"/>
          <w:lang w:eastAsia="zh-TW"/>
          <w14:textFill>
            <w14:solidFill>
              <w14:schemeClr w14:val="tx1"/>
            </w14:solidFill>
          </w14:textFill>
        </w:rPr>
        <w:t>郑州东站（或郑州火车站）-</w:t>
      </w:r>
      <w:r>
        <w:rPr>
          <w:rFonts w:ascii="仿宋_GB2312" w:hAnsi="仿宋_GB2312" w:cs="仿宋_GB2312"/>
          <w:color w:val="000000" w:themeColor="text1"/>
          <w:lang w:eastAsia="zh-TW"/>
          <w14:textFill>
            <w14:solidFill>
              <w14:schemeClr w14:val="tx1"/>
            </w14:solidFill>
          </w14:textFill>
        </w:rPr>
        <w:t>---</w:t>
      </w:r>
      <w:r>
        <w:rPr>
          <w:rFonts w:hint="eastAsia" w:ascii="仿宋_GB2312" w:hAnsi="仿宋_GB2312" w:cs="仿宋_GB2312"/>
          <w:color w:val="000000" w:themeColor="text1"/>
          <w:lang w:eastAsia="zh-TW"/>
          <w14:textFill>
            <w14:solidFill>
              <w14:schemeClr w14:val="tx1"/>
            </w14:solidFill>
          </w14:textFill>
        </w:rPr>
        <w:t>郑州铁路职业技术学院新校区东大</w:t>
      </w:r>
      <w:r>
        <w:rPr>
          <w:rFonts w:hint="eastAsia" w:ascii="微软雅黑" w:hAnsi="微软雅黑" w:eastAsia="微软雅黑" w:cs="微软雅黑"/>
          <w:color w:val="000000" w:themeColor="text1"/>
          <w:lang w:eastAsia="zh-TW"/>
          <w14:textFill>
            <w14:solidFill>
              <w14:schemeClr w14:val="tx1"/>
            </w14:solidFill>
          </w14:textFill>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60" w:lineRule="exact"/>
        <w:ind w:firstLine="600" w:firstLineChars="200"/>
        <w:rPr>
          <w:rFonts w:ascii="仿宋_GB2312" w:hAnsi="仿宋_GB2312" w:cs="仿宋_GB2312"/>
          <w:color w:val="FF0000"/>
          <w:lang w:eastAsia="zh-TW"/>
        </w:rPr>
      </w:pPr>
      <w:r>
        <w:rPr>
          <w:rFonts w:hint="eastAsia" w:ascii="仿宋_GB2312" w:hAnsi="仿宋_GB2312" w:cs="仿宋_GB2312"/>
          <w:color w:val="000000" w:themeColor="text1"/>
          <w:lang w:eastAsia="zh-TW"/>
          <w14:textFill>
            <w14:solidFill>
              <w14:schemeClr w14:val="tx1"/>
            </w14:solidFill>
          </w14:textFill>
        </w:rPr>
        <w:t>乘坐地铁1号线市体育中心站出口→</w:t>
      </w:r>
      <w:r>
        <w:rPr>
          <w:rFonts w:ascii="仿宋_GB2312" w:hAnsi="仿宋_GB2312" w:cs="仿宋_GB2312"/>
          <w:color w:val="000000" w:themeColor="text1"/>
          <w:lang w:eastAsia="zh-TW"/>
          <w14:textFill>
            <w14:solidFill>
              <w14:schemeClr w14:val="tx1"/>
            </w14:solidFill>
          </w14:textFill>
        </w:rPr>
        <w:t>308</w:t>
      </w:r>
      <w:r>
        <w:rPr>
          <w:rFonts w:hint="eastAsia" w:ascii="仿宋_GB2312" w:hAnsi="仿宋_GB2312" w:cs="仿宋_GB2312"/>
          <w:color w:val="000000" w:themeColor="text1"/>
          <w:lang w:eastAsia="zh-TW"/>
          <w14:textFill>
            <w14:solidFill>
              <w14:schemeClr w14:val="tx1"/>
            </w14:solidFill>
          </w14:textFill>
        </w:rPr>
        <w:t>路公交车终点站下车约</w:t>
      </w:r>
      <w:r>
        <w:rPr>
          <w:rFonts w:ascii="仿宋_GB2312" w:hAnsi="仿宋_GB2312" w:cs="仿宋_GB2312"/>
          <w:color w:val="000000" w:themeColor="text1"/>
          <w:lang w:eastAsia="zh-TW"/>
          <w14:textFill>
            <w14:solidFill>
              <w14:schemeClr w14:val="tx1"/>
            </w14:solidFill>
          </w14:textFill>
        </w:rPr>
        <w:t>9.9公</w:t>
      </w:r>
      <w:r>
        <w:rPr>
          <w:rFonts w:hint="eastAsia" w:ascii="仿宋_GB2312" w:hAnsi="仿宋_GB2312" w:cs="仿宋_GB2312"/>
          <w:color w:val="000000" w:themeColor="text1"/>
          <w:lang w:eastAsia="zh-TW"/>
          <w14:textFill>
            <w14:solidFill>
              <w14:schemeClr w14:val="tx1"/>
            </w14:solidFill>
          </w14:textFill>
        </w:rPr>
        <w:t>里，需</w:t>
      </w:r>
      <w:r>
        <w:rPr>
          <w:rFonts w:ascii="仿宋_GB2312" w:hAnsi="仿宋_GB2312" w:cs="仿宋_GB2312"/>
          <w:color w:val="000000" w:themeColor="text1"/>
          <w:lang w:eastAsia="zh-TW"/>
          <w14:textFill>
            <w14:solidFill>
              <w14:schemeClr w14:val="tx1"/>
            </w14:solidFill>
          </w14:textFill>
        </w:rPr>
        <w:t>50分钟</w:t>
      </w:r>
      <w:r>
        <w:rPr>
          <w:rFonts w:hint="eastAsia" w:ascii="仿宋_GB2312" w:hAnsi="仿宋_GB2312" w:cs="仿宋_GB2312"/>
          <w:color w:val="000000" w:themeColor="text1"/>
          <w:lang w:eastAsia="zh-TW"/>
          <w14:textFill>
            <w14:solidFill>
              <w14:schemeClr w14:val="tx1"/>
            </w14:solidFill>
          </w14:textFill>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仿宋_GB2312" w:hAnsi="仿宋_GB2312" w:cs="仿宋_GB2312"/>
          <w:color w:val="FF0000"/>
          <w:lang w:eastAsia="zh-TW"/>
        </w:rPr>
      </w:pPr>
      <w:r>
        <w:rPr>
          <w:rFonts w:ascii="仿宋_GB2312" w:hAnsi="仿宋_GB2312" w:cs="仿宋_GB2312"/>
          <w:color w:val="FF0000"/>
          <w:lang w:eastAsia="zh-TW"/>
        </w:rPr>
        <w:drawing>
          <wp:inline distT="0" distB="0" distL="0" distR="0">
            <wp:extent cx="5943600" cy="2414905"/>
            <wp:effectExtent l="0" t="0" r="0" b="4445"/>
            <wp:docPr id="5" name="图片 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true" noChangeArrowheads="true"/>
                    </pic:cNvPicPr>
                  </pic:nvPicPr>
                  <pic:blipFill>
                    <a:blip r:embed="rId9" cstate="print">
                      <a:extLst>
                        <a:ext uri="{28A0092B-C50C-407E-A947-70E740481C1C}">
                          <a14:useLocalDpi xmlns:a14="http://schemas.microsoft.com/office/drawing/2010/main" val="false"/>
                        </a:ext>
                      </a:extLst>
                    </a:blip>
                    <a:srcRect/>
                    <a:stretch>
                      <a:fillRect/>
                    </a:stretch>
                  </pic:blipFill>
                  <pic:spPr>
                    <a:xfrm>
                      <a:off x="0" y="0"/>
                      <a:ext cx="5943600" cy="2414905"/>
                    </a:xfrm>
                    <a:prstGeom prst="rect">
                      <a:avLst/>
                    </a:prstGeom>
                    <a:noFill/>
                    <a:ln>
                      <a:noFill/>
                    </a:ln>
                  </pic:spPr>
                </pic:pic>
              </a:graphicData>
            </a:graphic>
          </wp:inline>
        </w:drawing>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60" w:lineRule="exact"/>
        <w:ind w:firstLine="600" w:firstLineChars="200"/>
        <w:rPr>
          <w:rFonts w:ascii="仿宋_GB2312" w:hAnsi="仿宋_GB2312" w:cs="仿宋_GB2312"/>
          <w:color w:val="000000" w:themeColor="text1"/>
          <w:lang w:eastAsia="zh-TW"/>
          <w14:textFill>
            <w14:solidFill>
              <w14:schemeClr w14:val="tx1"/>
            </w14:solidFill>
          </w14:textFill>
        </w:rPr>
      </w:pPr>
      <w:r>
        <w:rPr>
          <w:rFonts w:ascii="仿宋_GB2312" w:hAnsi="仿宋_GB2312" w:cs="仿宋_GB2312"/>
          <w:color w:val="000000" w:themeColor="text1"/>
          <w:lang w:eastAsia="zh-TW"/>
          <w14:textFill>
            <w14:solidFill>
              <w14:schemeClr w14:val="tx1"/>
            </w14:solidFill>
          </w14:textFill>
        </w:rPr>
        <w:t>交通路线3:</w:t>
      </w:r>
      <w:r>
        <w:rPr>
          <w:rFonts w:hint="eastAsia" w:ascii="仿宋_GB2312" w:hAnsi="仿宋_GB2312" w:cs="仿宋_GB2312"/>
          <w:color w:val="000000" w:themeColor="text1"/>
          <w:lang w:eastAsia="zh-TW"/>
          <w14:textFill>
            <w14:solidFill>
              <w14:schemeClr w14:val="tx1"/>
            </w14:solidFill>
          </w14:textFill>
        </w:rPr>
        <w:t>郑州新郑国际机场-</w:t>
      </w:r>
      <w:r>
        <w:rPr>
          <w:rFonts w:ascii="仿宋_GB2312" w:hAnsi="仿宋_GB2312" w:cs="仿宋_GB2312"/>
          <w:color w:val="000000" w:themeColor="text1"/>
          <w:lang w:eastAsia="zh-TW"/>
          <w14:textFill>
            <w14:solidFill>
              <w14:schemeClr w14:val="tx1"/>
            </w14:solidFill>
          </w14:textFill>
        </w:rPr>
        <w:t>---</w:t>
      </w:r>
      <w:r>
        <w:rPr>
          <w:rFonts w:hint="eastAsia" w:ascii="仿宋_GB2312" w:hAnsi="仿宋_GB2312" w:cs="仿宋_GB2312"/>
          <w:color w:val="000000" w:themeColor="text1"/>
          <w:lang w:eastAsia="zh-TW"/>
          <w14:textFill>
            <w14:solidFill>
              <w14:schemeClr w14:val="tx1"/>
            </w14:solidFill>
          </w14:textFill>
        </w:rPr>
        <w:t>郑州铁路职业技术学院新校区东大</w:t>
      </w:r>
      <w:r>
        <w:rPr>
          <w:rFonts w:hint="eastAsia" w:ascii="微软雅黑" w:hAnsi="微软雅黑" w:eastAsia="微软雅黑" w:cs="微软雅黑"/>
          <w:color w:val="000000" w:themeColor="text1"/>
          <w:lang w:eastAsia="zh-TW"/>
          <w14:textFill>
            <w14:solidFill>
              <w14:schemeClr w14:val="tx1"/>
            </w14:solidFill>
          </w14:textFill>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60" w:lineRule="exact"/>
        <w:ind w:firstLine="600" w:firstLineChars="200"/>
        <w:rPr>
          <w:rFonts w:ascii="仿宋_GB2312" w:hAnsi="仿宋_GB2312" w:cs="仿宋_GB2312"/>
          <w:color w:val="000000" w:themeColor="text1"/>
          <w:lang w:eastAsia="zh-TW"/>
          <w14:textFill>
            <w14:solidFill>
              <w14:schemeClr w14:val="tx1"/>
            </w14:solidFill>
          </w14:textFill>
        </w:rPr>
      </w:pPr>
      <w:r>
        <w:rPr>
          <w:rFonts w:hint="eastAsia" w:ascii="仿宋_GB2312" w:hAnsi="仿宋_GB2312" w:cs="仿宋_GB2312"/>
          <w:color w:val="000000" w:themeColor="text1"/>
          <w:lang w:eastAsia="zh-TW"/>
          <w14:textFill>
            <w14:solidFill>
              <w14:schemeClr w14:val="tx1"/>
            </w14:solidFill>
          </w14:textFill>
        </w:rPr>
        <w:t>乘坐地铁</w:t>
      </w:r>
      <w:r>
        <w:rPr>
          <w:rFonts w:ascii="仿宋_GB2312" w:hAnsi="仿宋_GB2312" w:cs="仿宋_GB2312"/>
          <w:color w:val="000000" w:themeColor="text1"/>
          <w:lang w:eastAsia="zh-TW"/>
          <w14:textFill>
            <w14:solidFill>
              <w14:schemeClr w14:val="tx1"/>
            </w14:solidFill>
          </w14:textFill>
        </w:rPr>
        <w:t>2 号线(</w:t>
      </w:r>
      <w:r>
        <w:rPr>
          <w:rFonts w:hint="eastAsia" w:ascii="仿宋_GB2312" w:hAnsi="仿宋_GB2312" w:cs="仿宋_GB2312"/>
          <w:color w:val="000000" w:themeColor="text1"/>
          <w:lang w:eastAsia="zh-TW"/>
          <w14:textFill>
            <w14:solidFill>
              <w14:schemeClr w14:val="tx1"/>
            </w14:solidFill>
          </w14:textFill>
        </w:rPr>
        <w:t>贾河方向</w:t>
      </w:r>
      <w:r>
        <w:rPr>
          <w:rFonts w:ascii="仿宋_GB2312" w:hAnsi="仿宋_GB2312" w:cs="仿宋_GB2312"/>
          <w:color w:val="000000" w:themeColor="text1"/>
          <w:lang w:eastAsia="zh-TW"/>
          <w14:textFill>
            <w14:solidFill>
              <w14:schemeClr w14:val="tx1"/>
            </w14:solidFill>
          </w14:textFill>
        </w:rPr>
        <w:t>)</w:t>
      </w:r>
      <w:r>
        <w:rPr>
          <w:rFonts w:hint="eastAsia" w:ascii="仿宋_GB2312" w:hAnsi="仿宋_GB2312" w:cs="仿宋_GB2312"/>
          <w:color w:val="000000" w:themeColor="text1"/>
          <w:lang w:eastAsia="zh-TW"/>
          <w14:textFill>
            <w14:solidFill>
              <w14:schemeClr w14:val="tx1"/>
            </w14:solidFill>
          </w14:textFill>
        </w:rPr>
        <w:t xml:space="preserve"> →紫荆山地铁站换乘</w:t>
      </w:r>
      <w:r>
        <w:rPr>
          <w:rFonts w:ascii="仿宋_GB2312" w:hAnsi="仿宋_GB2312" w:cs="仿宋_GB2312"/>
          <w:color w:val="000000" w:themeColor="text1"/>
          <w:lang w:eastAsia="zh-TW"/>
          <w14:textFill>
            <w14:solidFill>
              <w14:schemeClr w14:val="tx1"/>
            </w14:solidFill>
          </w14:textFill>
        </w:rPr>
        <w:t xml:space="preserve"> 1</w:t>
      </w:r>
      <w:r>
        <w:rPr>
          <w:rFonts w:hint="eastAsia" w:ascii="仿宋_GB2312" w:hAnsi="仿宋_GB2312" w:cs="仿宋_GB2312"/>
          <w:color w:val="000000" w:themeColor="text1"/>
          <w:lang w:eastAsia="zh-TW"/>
          <w14:textFill>
            <w14:solidFill>
              <w14:schemeClr w14:val="tx1"/>
            </w14:solidFill>
          </w14:textFill>
        </w:rPr>
        <w:t>号线（体育中心方向）→</w:t>
      </w:r>
      <w:r>
        <w:rPr>
          <w:rFonts w:ascii="仿宋_GB2312" w:hAnsi="仿宋_GB2312" w:cs="仿宋_GB2312"/>
          <w:color w:val="000000" w:themeColor="text1"/>
          <w:lang w:eastAsia="zh-TW"/>
          <w14:textFill>
            <w14:solidFill>
              <w14:schemeClr w14:val="tx1"/>
            </w14:solidFill>
          </w14:textFill>
        </w:rPr>
        <w:t>市体育中心</w:t>
      </w:r>
      <w:r>
        <w:rPr>
          <w:rFonts w:hint="eastAsia" w:ascii="仿宋_GB2312" w:hAnsi="仿宋_GB2312" w:cs="仿宋_GB2312"/>
          <w:color w:val="000000" w:themeColor="text1"/>
          <w:lang w:eastAsia="zh-TW"/>
          <w14:textFill>
            <w14:solidFill>
              <w14:schemeClr w14:val="tx1"/>
            </w14:solidFill>
          </w14:textFill>
        </w:rPr>
        <w:t>站</w:t>
      </w:r>
      <w:r>
        <w:rPr>
          <w:rFonts w:ascii="仿宋_GB2312" w:hAnsi="仿宋_GB2312" w:cs="仿宋_GB2312"/>
          <w:color w:val="000000" w:themeColor="text1"/>
          <w:lang w:eastAsia="zh-TW"/>
          <w14:textFill>
            <w14:solidFill>
              <w14:schemeClr w14:val="tx1"/>
            </w14:solidFill>
          </w14:textFill>
        </w:rPr>
        <w:t>B口</w:t>
      </w:r>
      <w:r>
        <w:rPr>
          <w:rFonts w:hint="eastAsia" w:ascii="仿宋_GB2312" w:hAnsi="仿宋_GB2312" w:cs="仿宋_GB2312"/>
          <w:color w:val="000000" w:themeColor="text1"/>
          <w:lang w:eastAsia="zh-TW"/>
          <w14:textFill>
            <w14:solidFill>
              <w14:schemeClr w14:val="tx1"/>
            </w14:solidFill>
          </w14:textFill>
        </w:rPr>
        <w:t>→</w:t>
      </w:r>
      <w:r>
        <w:rPr>
          <w:rFonts w:ascii="仿宋_GB2312" w:hAnsi="仿宋_GB2312" w:cs="仿宋_GB2312"/>
          <w:color w:val="000000" w:themeColor="text1"/>
          <w:lang w:eastAsia="zh-TW"/>
          <w14:textFill>
            <w14:solidFill>
              <w14:schemeClr w14:val="tx1"/>
            </w14:solidFill>
          </w14:textFill>
        </w:rPr>
        <w:t>308路公交</w:t>
      </w:r>
      <w:r>
        <w:rPr>
          <w:rFonts w:hint="eastAsia" w:ascii="微软雅黑" w:hAnsi="微软雅黑" w:eastAsia="微软雅黑" w:cs="微软雅黑"/>
          <w:color w:val="000000" w:themeColor="text1"/>
          <w:lang w:eastAsia="zh-TW"/>
          <w14:textFill>
            <w14:solidFill>
              <w14:schemeClr w14:val="tx1"/>
            </w14:solidFill>
          </w14:textFill>
        </w:rPr>
        <w:t>⻋</w:t>
      </w:r>
      <w:r>
        <w:rPr>
          <w:rFonts w:hint="eastAsia" w:ascii="仿宋_GB2312" w:hAnsi="仿宋_GB2312" w:cs="仿宋_GB2312"/>
          <w:color w:val="000000" w:themeColor="text1"/>
          <w:lang w:eastAsia="zh-TW"/>
          <w14:textFill>
            <w14:solidFill>
              <w14:schemeClr w14:val="tx1"/>
            </w14:solidFill>
          </w14:textFill>
        </w:rPr>
        <w:t>终点站下</w:t>
      </w:r>
      <w:r>
        <w:rPr>
          <w:rFonts w:hint="eastAsia" w:ascii="微软雅黑" w:hAnsi="微软雅黑" w:eastAsia="微软雅黑" w:cs="微软雅黑"/>
          <w:color w:val="000000" w:themeColor="text1"/>
          <w:lang w:eastAsia="zh-TW"/>
          <w14:textFill>
            <w14:solidFill>
              <w14:schemeClr w14:val="tx1"/>
            </w14:solidFill>
          </w14:textFill>
        </w:rPr>
        <w:t>⻋</w:t>
      </w:r>
      <w:r>
        <w:rPr>
          <w:rFonts w:ascii="仿宋_GB2312" w:hAnsi="仿宋_GB2312" w:cs="仿宋_GB2312"/>
          <w:color w:val="000000" w:themeColor="text1"/>
          <w:lang w:eastAsia="zh-TW"/>
          <w14:textFill>
            <w14:solidFill>
              <w14:schemeClr w14:val="tx1"/>
            </w14:solidFill>
          </w14:textFill>
        </w:rPr>
        <w:t>(</w:t>
      </w:r>
      <w:r>
        <w:rPr>
          <w:rFonts w:hint="eastAsia" w:ascii="仿宋_GB2312" w:hAnsi="仿宋_GB2312" w:cs="仿宋_GB2312"/>
          <w:color w:val="000000" w:themeColor="text1"/>
          <w:lang w:eastAsia="zh-TW"/>
          <w14:textFill>
            <w14:solidFill>
              <w14:schemeClr w14:val="tx1"/>
            </w14:solidFill>
          </w14:textFill>
        </w:rPr>
        <w:t>约</w:t>
      </w:r>
      <w:r>
        <w:rPr>
          <w:rFonts w:ascii="仿宋_GB2312" w:hAnsi="仿宋_GB2312" w:cs="仿宋_GB2312"/>
          <w:color w:val="000000" w:themeColor="text1"/>
          <w:lang w:eastAsia="zh-TW"/>
          <w14:textFill>
            <w14:solidFill>
              <w14:schemeClr w14:val="tx1"/>
            </w14:solidFill>
          </w14:textFill>
        </w:rPr>
        <w:t>47公</w:t>
      </w:r>
      <w:r>
        <w:rPr>
          <w:rFonts w:hint="eastAsia" w:ascii="仿宋_GB2312" w:hAnsi="仿宋_GB2312" w:cs="仿宋_GB2312"/>
          <w:color w:val="000000" w:themeColor="text1"/>
          <w:lang w:eastAsia="zh-TW"/>
          <w14:textFill>
            <w14:solidFill>
              <w14:schemeClr w14:val="tx1"/>
            </w14:solidFill>
          </w14:textFill>
        </w:rPr>
        <w:t>里，全程需</w:t>
      </w:r>
      <w:r>
        <w:rPr>
          <w:rFonts w:ascii="仿宋_GB2312" w:hAnsi="仿宋_GB2312" w:cs="仿宋_GB2312"/>
          <w:color w:val="000000" w:themeColor="text1"/>
          <w:lang w:eastAsia="zh-TW"/>
          <w14:textFill>
            <w14:solidFill>
              <w14:schemeClr w14:val="tx1"/>
            </w14:solidFill>
          </w14:textFill>
        </w:rPr>
        <w:t>2小时30分钟)</w:t>
      </w:r>
      <w:r>
        <w:rPr>
          <w:rFonts w:hint="eastAsia" w:ascii="仿宋_GB2312" w:hAnsi="仿宋_GB2312" w:cs="仿宋_GB2312"/>
          <w:color w:val="000000" w:themeColor="text1"/>
          <w:lang w:eastAsia="zh-TW"/>
          <w14:textFill>
            <w14:solidFill>
              <w14:schemeClr w14:val="tx1"/>
            </w14:solidFill>
          </w14:textFill>
        </w:rPr>
        <w:t>。</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ascii="仿宋_GB2312" w:hAnsi="仿宋_GB2312" w:cs="仿宋_GB2312"/>
          <w:color w:val="FF0000"/>
          <w:lang w:eastAsia="zh-TW"/>
        </w:rPr>
      </w:pPr>
      <w:r>
        <w:rPr>
          <w:rFonts w:ascii="仿宋_GB2312" w:hAnsi="仿宋_GB2312" w:cs="仿宋_GB2312"/>
          <w:color w:val="FF0000"/>
          <w:lang w:eastAsia="zh-TW"/>
        </w:rPr>
        <w:drawing>
          <wp:inline distT="0" distB="0" distL="0" distR="0">
            <wp:extent cx="5943600" cy="4109085"/>
            <wp:effectExtent l="0" t="0" r="0" b="5715"/>
            <wp:docPr id="3"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true" noChangeArrowheads="true"/>
                    </pic:cNvPicPr>
                  </pic:nvPicPr>
                  <pic:blipFill>
                    <a:blip r:embed="rId10" cstate="print">
                      <a:extLst>
                        <a:ext uri="{28A0092B-C50C-407E-A947-70E740481C1C}">
                          <a14:useLocalDpi xmlns:a14="http://schemas.microsoft.com/office/drawing/2010/main" val="false"/>
                        </a:ext>
                      </a:extLst>
                    </a:blip>
                    <a:srcRect/>
                    <a:stretch>
                      <a:fillRect/>
                    </a:stretch>
                  </pic:blipFill>
                  <pic:spPr>
                    <a:xfrm>
                      <a:off x="0" y="0"/>
                      <a:ext cx="5943600" cy="4109085"/>
                    </a:xfrm>
                    <a:prstGeom prst="rect">
                      <a:avLst/>
                    </a:prstGeom>
                    <a:noFill/>
                    <a:ln>
                      <a:noFill/>
                    </a:ln>
                  </pic:spPr>
                </pic:pic>
              </a:graphicData>
            </a:graphic>
          </wp:inline>
        </w:drawing>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60" w:lineRule="exact"/>
        <w:ind w:firstLine="600" w:firstLineChars="200"/>
        <w:rPr>
          <w:rFonts w:ascii="仿宋_GB2312" w:hAnsi="仿宋_GB2312" w:cs="仿宋_GB2312"/>
          <w:color w:val="000000" w:themeColor="text1"/>
          <w:lang w:eastAsia="zh-TW"/>
          <w14:textFill>
            <w14:solidFill>
              <w14:schemeClr w14:val="tx1"/>
            </w14:solidFill>
          </w14:textFill>
        </w:rPr>
      </w:pPr>
      <w:r>
        <w:rPr>
          <w:rFonts w:ascii="仿宋_GB2312" w:hAnsi="仿宋_GB2312" w:cs="仿宋_GB2312"/>
          <w:color w:val="000000" w:themeColor="text1"/>
          <w:lang w:eastAsia="zh-TW"/>
          <w14:textFill>
            <w14:solidFill>
              <w14:schemeClr w14:val="tx1"/>
            </w14:solidFill>
          </w14:textFill>
        </w:rPr>
        <w:t>1</w:t>
      </w:r>
      <w:r>
        <w:rPr>
          <w:rFonts w:hint="eastAsia" w:ascii="仿宋_GB2312" w:hAnsi="仿宋_GB2312" w:cs="仿宋_GB2312"/>
          <w:color w:val="000000" w:themeColor="text1"/>
          <w:lang w:eastAsia="zh-TW"/>
          <w14:textFill>
            <w14:solidFill>
              <w14:schemeClr w14:val="tx1"/>
            </w14:solidFill>
          </w14:textFill>
        </w:rPr>
        <w:t>.比赛期间各参赛队需要根据实际情况，自行安排交通。</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60" w:lineRule="exact"/>
        <w:ind w:firstLine="600" w:firstLineChars="200"/>
        <w:rPr>
          <w:rFonts w:ascii="仿宋_GB2312" w:hAnsi="仿宋_GB2312" w:cs="仿宋_GB2312"/>
          <w:color w:val="000000" w:themeColor="text1"/>
          <w:lang w:eastAsia="zh-TW"/>
          <w14:textFill>
            <w14:solidFill>
              <w14:schemeClr w14:val="tx1"/>
            </w14:solidFill>
          </w14:textFill>
        </w:rPr>
      </w:pPr>
      <w:r>
        <w:rPr>
          <w:rFonts w:ascii="仿宋_GB2312" w:hAnsi="仿宋_GB2312" w:cs="仿宋_GB2312"/>
          <w:color w:val="000000" w:themeColor="text1"/>
          <w:lang w:eastAsia="zh-TW"/>
          <w14:textFill>
            <w14:solidFill>
              <w14:schemeClr w14:val="tx1"/>
            </w14:solidFill>
          </w14:textFill>
        </w:rPr>
        <w:t>2.校内安排学生</w:t>
      </w:r>
      <w:r>
        <w:rPr>
          <w:rFonts w:hint="eastAsia" w:ascii="仿宋_GB2312" w:hAnsi="仿宋_GB2312" w:cs="仿宋_GB2312"/>
          <w:color w:val="000000" w:themeColor="text1"/>
          <w:lang w:eastAsia="zh-TW"/>
          <w14:textFill>
            <w14:solidFill>
              <w14:schemeClr w14:val="tx1"/>
            </w14:solidFill>
          </w14:textFill>
        </w:rPr>
        <w:t>志愿者服务团队进行交通指引和其他服务工作。</w:t>
      </w:r>
    </w:p>
    <w:p>
      <w:pPr>
        <w:pStyle w:val="3"/>
        <w:spacing w:after="0" w:line="560" w:lineRule="exact"/>
        <w:ind w:firstLine="600" w:firstLineChars="200"/>
        <w:rPr>
          <w:rFonts w:ascii="仿宋_GB2312" w:hAnsi="仿宋_GB2312" w:eastAsia="仿宋_GB2312" w:cs="仿宋_GB2312"/>
          <w:lang w:eastAsia="zh-TW"/>
        </w:rPr>
      </w:pP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lang w:eastAsia="zh-TW"/>
        </w:rPr>
        <w:t>附件</w:t>
      </w:r>
      <w:r>
        <w:rPr>
          <w:rFonts w:hint="eastAsia" w:ascii="仿宋_GB2312" w:hAnsi="仿宋_GB2312" w:eastAsia="仿宋_GB2312" w:cs="仿宋_GB2312"/>
        </w:rPr>
        <w:t>：</w:t>
      </w:r>
      <w:r>
        <w:rPr>
          <w:rFonts w:hint="eastAsia" w:ascii="仿宋_GB2312" w:hAnsi="仿宋_GB2312" w:eastAsia="仿宋_GB2312" w:cs="仿宋_GB2312"/>
          <w:lang w:eastAsia="zh-TW"/>
        </w:rPr>
        <w:t>1</w:t>
      </w:r>
      <w:r>
        <w:rPr>
          <w:rFonts w:hint="eastAsia" w:ascii="仿宋_GB2312" w:hAnsi="仿宋_GB2312" w:eastAsia="仿宋_GB2312" w:cs="仿宋_GB2312"/>
        </w:rPr>
        <w:t>.</w:t>
      </w:r>
      <w:r>
        <w:rPr>
          <w:rFonts w:hint="eastAsia" w:ascii="仿宋_GB2312" w:hAnsi="仿宋_GB2312" w:eastAsia="仿宋_GB2312" w:cs="仿宋_GB2312"/>
          <w:lang w:eastAsia="zh-TW"/>
        </w:rPr>
        <w:t>参赛学校参赛项目信息</w:t>
      </w:r>
    </w:p>
    <w:p>
      <w:pPr>
        <w:pStyle w:val="3"/>
        <w:spacing w:after="0" w:line="560" w:lineRule="exact"/>
        <w:ind w:firstLine="1500" w:firstLineChars="500"/>
        <w:rPr>
          <w:rFonts w:ascii="仿宋_GB2312" w:hAnsi="仿宋_GB2312" w:eastAsia="仿宋_GB2312" w:cs="仿宋_GB2312"/>
          <w:lang w:eastAsia="zh-TW"/>
        </w:rPr>
      </w:pPr>
      <w:r>
        <w:rPr>
          <w:rFonts w:hint="eastAsia" w:ascii="仿宋_GB2312" w:hAnsi="仿宋_GB2312" w:eastAsia="仿宋_GB2312" w:cs="仿宋_GB2312"/>
          <w:lang w:eastAsia="zh-TW"/>
        </w:rPr>
        <w:t>2</w:t>
      </w:r>
      <w:r>
        <w:rPr>
          <w:rFonts w:hint="eastAsia" w:ascii="仿宋_GB2312" w:hAnsi="仿宋_GB2312" w:eastAsia="仿宋_GB2312" w:cs="仿宋_GB2312"/>
        </w:rPr>
        <w:t>.</w:t>
      </w:r>
      <w:r>
        <w:rPr>
          <w:rFonts w:hint="eastAsia" w:ascii="仿宋_GB2312" w:hAnsi="仿宋_GB2312" w:eastAsia="仿宋_GB2312" w:cs="仿宋_GB2312"/>
          <w:lang w:eastAsia="zh-TW"/>
        </w:rPr>
        <w:t>承办学校提供的设备和场地信息清单</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rPr>
        <w:t xml:space="preserve">      </w:t>
      </w:r>
      <w:r>
        <w:rPr>
          <w:rFonts w:hint="eastAsia" w:ascii="仿宋_GB2312" w:hAnsi="仿宋_GB2312" w:eastAsia="仿宋_GB2312" w:cs="仿宋_GB2312"/>
          <w:lang w:eastAsia="zh-TW"/>
        </w:rPr>
        <w:t>3</w:t>
      </w:r>
      <w:r>
        <w:rPr>
          <w:rFonts w:hint="eastAsia" w:ascii="仿宋_GB2312" w:hAnsi="仿宋_GB2312" w:eastAsia="仿宋_GB2312" w:cs="仿宋_GB2312"/>
        </w:rPr>
        <w:t>.</w:t>
      </w:r>
      <w:r>
        <w:rPr>
          <w:rFonts w:hint="eastAsia" w:ascii="仿宋_GB2312" w:hAnsi="仿宋_GB2312" w:eastAsia="仿宋_GB2312" w:cs="仿宋_GB2312"/>
          <w:lang w:eastAsia="zh-TW"/>
        </w:rPr>
        <w:t>参赛学校自带设备清单及赛场环境要求确认信息</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rPr>
        <w:t xml:space="preserve">      </w:t>
      </w:r>
      <w:r>
        <w:rPr>
          <w:rFonts w:hint="eastAsia" w:ascii="仿宋_GB2312" w:hAnsi="仿宋_GB2312" w:eastAsia="仿宋_GB2312" w:cs="仿宋_GB2312"/>
          <w:lang w:eastAsia="zh-TW"/>
        </w:rPr>
        <w:t>4</w:t>
      </w:r>
      <w:r>
        <w:rPr>
          <w:rFonts w:hint="eastAsia" w:ascii="仿宋_GB2312" w:hAnsi="仿宋_GB2312" w:eastAsia="仿宋_GB2312" w:cs="仿宋_GB2312"/>
        </w:rPr>
        <w:t>.</w:t>
      </w:r>
      <w:r>
        <w:rPr>
          <w:rFonts w:hint="eastAsia" w:ascii="仿宋_GB2312" w:hAnsi="仿宋_GB2312" w:eastAsia="仿宋_GB2312" w:cs="仿宋_GB2312"/>
          <w:lang w:eastAsia="zh-TW"/>
        </w:rPr>
        <w:t>参赛学校与承办学校就自带设备协商后确认书</w:t>
      </w:r>
    </w:p>
    <w:p>
      <w:pPr>
        <w:pStyle w:val="3"/>
        <w:spacing w:after="0" w:line="560" w:lineRule="exact"/>
        <w:ind w:firstLine="600" w:firstLineChars="200"/>
        <w:rPr>
          <w:rFonts w:ascii="仿宋_GB2312" w:hAnsi="仿宋_GB2312" w:eastAsia="仿宋_GB2312" w:cs="仿宋_GB2312"/>
          <w:lang w:eastAsia="zh-TW"/>
        </w:rPr>
      </w:pPr>
      <w:r>
        <w:rPr>
          <w:rFonts w:hint="eastAsia" w:ascii="仿宋_GB2312" w:hAnsi="仿宋_GB2312" w:eastAsia="仿宋_GB2312" w:cs="仿宋_GB2312"/>
        </w:rPr>
        <w:t xml:space="preserve">      </w:t>
      </w:r>
      <w:r>
        <w:rPr>
          <w:rFonts w:hint="eastAsia" w:ascii="仿宋_GB2312" w:hAnsi="仿宋_GB2312" w:eastAsia="仿宋_GB2312" w:cs="仿宋_GB2312"/>
          <w:lang w:eastAsia="zh-TW"/>
        </w:rPr>
        <w:t>5</w:t>
      </w:r>
      <w:r>
        <w:rPr>
          <w:rFonts w:hint="eastAsia" w:ascii="仿宋_GB2312" w:hAnsi="仿宋_GB2312" w:eastAsia="仿宋_GB2312" w:cs="仿宋_GB2312"/>
        </w:rPr>
        <w:t>.</w:t>
      </w:r>
      <w:r>
        <w:rPr>
          <w:rFonts w:hint="eastAsia" w:ascii="仿宋_GB2312" w:hAnsi="仿宋_GB2312" w:eastAsia="仿宋_GB2312" w:cs="仿宋_GB2312"/>
          <w:lang w:eastAsia="zh-TW"/>
        </w:rPr>
        <w:t>2024年河南省高等职业教育技能大赛工业机器人操作与运维赛项评分要素</w:t>
      </w:r>
    </w:p>
    <w:p>
      <w:pPr>
        <w:spacing w:line="240" w:lineRule="auto"/>
        <w:rPr>
          <w:rFonts w:ascii="仿宋_GB2312" w:hAnsi="仿宋" w:cs="仿宋"/>
          <w:sz w:val="28"/>
          <w:szCs w:val="28"/>
        </w:rPr>
      </w:pPr>
      <w:r>
        <w:rPr>
          <w:rFonts w:ascii="仿宋_GB2312" w:hAnsi="仿宋" w:cs="仿宋"/>
          <w:sz w:val="28"/>
          <w:szCs w:val="28"/>
        </w:rPr>
        <w:br w:type="page"/>
      </w:r>
    </w:p>
    <w:p>
      <w:pPr>
        <w:spacing w:line="240" w:lineRule="auto"/>
        <w:ind w:left="1838" w:leftChars="186" w:hanging="1280" w:hangingChars="400"/>
      </w:pPr>
      <w:r>
        <w:rPr>
          <w:rFonts w:hint="eastAsia" w:ascii="黑体" w:hAnsi="黑体" w:eastAsia="黑体"/>
          <w:sz w:val="32"/>
          <w:szCs w:val="32"/>
        </w:rPr>
        <w:t>附件1</w:t>
      </w:r>
    </w:p>
    <w:p>
      <w:pPr>
        <w:snapToGrid w:val="0"/>
        <w:spacing w:line="240" w:lineRule="auto"/>
        <w:jc w:val="center"/>
        <w:rPr>
          <w:rFonts w:ascii="黑体" w:hAnsi="黑体" w:eastAsia="黑体"/>
          <w:sz w:val="32"/>
          <w:szCs w:val="32"/>
        </w:rPr>
      </w:pPr>
      <w:r>
        <w:rPr>
          <w:rFonts w:hint="eastAsia" w:ascii="微软雅黑" w:eastAsia="微软雅黑"/>
          <w:sz w:val="44"/>
          <w:szCs w:val="44"/>
        </w:rPr>
        <w:t>参赛学校参赛项目信息</w:t>
      </w:r>
    </w:p>
    <w:tbl>
      <w:tblPr>
        <w:tblStyle w:val="13"/>
        <w:tblW w:w="95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2"/>
        <w:gridCol w:w="1263"/>
        <w:gridCol w:w="1608"/>
        <w:gridCol w:w="1984"/>
        <w:gridCol w:w="1418"/>
        <w:gridCol w:w="1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1722" w:type="dxa"/>
            <w:vAlign w:val="center"/>
          </w:tcPr>
          <w:p>
            <w:pPr>
              <w:spacing w:line="240" w:lineRule="auto"/>
              <w:jc w:val="center"/>
              <w:rPr>
                <w:rFonts w:ascii="仿宋_GB2312"/>
                <w:b/>
                <w:bCs/>
                <w:sz w:val="28"/>
                <w:szCs w:val="28"/>
              </w:rPr>
            </w:pPr>
            <w:r>
              <w:rPr>
                <w:rFonts w:hint="eastAsia" w:ascii="仿宋_GB2312"/>
                <w:b/>
                <w:bCs/>
                <w:sz w:val="28"/>
                <w:szCs w:val="28"/>
              </w:rPr>
              <w:t>组队</w:t>
            </w:r>
          </w:p>
        </w:tc>
        <w:tc>
          <w:tcPr>
            <w:tcW w:w="4855" w:type="dxa"/>
            <w:gridSpan w:val="3"/>
            <w:vAlign w:val="center"/>
          </w:tcPr>
          <w:p>
            <w:pPr>
              <w:spacing w:line="240" w:lineRule="auto"/>
              <w:jc w:val="left"/>
              <w:rPr>
                <w:rFonts w:ascii="仿宋_GB2312"/>
                <w:sz w:val="28"/>
                <w:szCs w:val="28"/>
              </w:rPr>
            </w:pPr>
            <w:r>
              <w:rPr>
                <w:rFonts w:hint="eastAsia" w:ascii="仿宋_GB2312"/>
                <w:sz w:val="28"/>
                <w:szCs w:val="28"/>
              </w:rPr>
              <w:t>□国内组          □港澳台</w:t>
            </w:r>
          </w:p>
        </w:tc>
        <w:tc>
          <w:tcPr>
            <w:tcW w:w="2978" w:type="dxa"/>
            <w:gridSpan w:val="2"/>
            <w:vAlign w:val="center"/>
          </w:tcPr>
          <w:p>
            <w:pPr>
              <w:spacing w:line="240" w:lineRule="auto"/>
              <w:jc w:val="left"/>
              <w:rPr>
                <w:rFonts w:ascii="仿宋_GB2312"/>
                <w:sz w:val="28"/>
                <w:szCs w:val="28"/>
              </w:rPr>
            </w:pPr>
            <w:r>
              <w:rPr>
                <w:rFonts w:hint="eastAsia" w:ascii="仿宋_GB2312"/>
                <w:sz w:val="28"/>
                <w:szCs w:val="28"/>
              </w:rPr>
              <w:t>□国际组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1722" w:type="dxa"/>
            <w:vAlign w:val="center"/>
          </w:tcPr>
          <w:p>
            <w:pPr>
              <w:spacing w:line="240" w:lineRule="auto"/>
              <w:jc w:val="center"/>
              <w:rPr>
                <w:rFonts w:ascii="仿宋_GB2312"/>
                <w:b/>
                <w:bCs/>
                <w:sz w:val="28"/>
                <w:szCs w:val="28"/>
              </w:rPr>
            </w:pPr>
            <w:r>
              <w:rPr>
                <w:rFonts w:hint="eastAsia" w:ascii="仿宋_GB2312"/>
                <w:b/>
                <w:bCs/>
                <w:sz w:val="28"/>
                <w:szCs w:val="28"/>
              </w:rPr>
              <w:t>组别</w:t>
            </w:r>
          </w:p>
          <w:p>
            <w:pPr>
              <w:spacing w:line="240" w:lineRule="auto"/>
              <w:jc w:val="center"/>
              <w:rPr>
                <w:rFonts w:ascii="仿宋_GB2312"/>
                <w:b/>
                <w:bCs/>
                <w:sz w:val="28"/>
                <w:szCs w:val="28"/>
              </w:rPr>
            </w:pPr>
            <w:r>
              <w:rPr>
                <w:rFonts w:hint="eastAsia" w:ascii="仿宋_GB2312"/>
                <w:b/>
                <w:bCs/>
                <w:sz w:val="28"/>
                <w:szCs w:val="28"/>
              </w:rPr>
              <w:t>（中/高职）</w:t>
            </w:r>
          </w:p>
        </w:tc>
        <w:tc>
          <w:tcPr>
            <w:tcW w:w="1263" w:type="dxa"/>
            <w:vAlign w:val="center"/>
          </w:tcPr>
          <w:p>
            <w:pPr>
              <w:spacing w:line="240" w:lineRule="auto"/>
              <w:jc w:val="center"/>
              <w:rPr>
                <w:rFonts w:ascii="仿宋_GB2312"/>
                <w:sz w:val="28"/>
                <w:szCs w:val="28"/>
              </w:rPr>
            </w:pPr>
          </w:p>
        </w:tc>
        <w:tc>
          <w:tcPr>
            <w:tcW w:w="1608" w:type="dxa"/>
            <w:vAlign w:val="center"/>
          </w:tcPr>
          <w:p>
            <w:pPr>
              <w:spacing w:line="240" w:lineRule="auto"/>
              <w:jc w:val="center"/>
              <w:rPr>
                <w:rFonts w:ascii="仿宋_GB2312"/>
                <w:b/>
                <w:bCs/>
                <w:sz w:val="28"/>
                <w:szCs w:val="28"/>
              </w:rPr>
            </w:pPr>
            <w:r>
              <w:rPr>
                <w:rFonts w:hint="eastAsia" w:ascii="仿宋_GB2312"/>
                <w:b/>
                <w:bCs/>
                <w:sz w:val="28"/>
                <w:szCs w:val="28"/>
              </w:rPr>
              <w:t>赛道</w:t>
            </w:r>
          </w:p>
        </w:tc>
        <w:tc>
          <w:tcPr>
            <w:tcW w:w="1984" w:type="dxa"/>
            <w:vAlign w:val="center"/>
          </w:tcPr>
          <w:p>
            <w:pPr>
              <w:spacing w:line="240" w:lineRule="auto"/>
              <w:jc w:val="center"/>
              <w:rPr>
                <w:rFonts w:ascii="仿宋_GB2312"/>
                <w:sz w:val="28"/>
                <w:szCs w:val="28"/>
              </w:rPr>
            </w:pPr>
          </w:p>
        </w:tc>
        <w:tc>
          <w:tcPr>
            <w:tcW w:w="1418" w:type="dxa"/>
            <w:vAlign w:val="center"/>
          </w:tcPr>
          <w:p>
            <w:pPr>
              <w:spacing w:line="240" w:lineRule="auto"/>
              <w:jc w:val="center"/>
              <w:rPr>
                <w:rFonts w:ascii="仿宋_GB2312"/>
                <w:b/>
                <w:bCs/>
                <w:sz w:val="28"/>
                <w:szCs w:val="28"/>
              </w:rPr>
            </w:pPr>
            <w:r>
              <w:rPr>
                <w:rFonts w:hint="eastAsia" w:ascii="仿宋_GB2312"/>
                <w:b/>
                <w:bCs/>
                <w:sz w:val="28"/>
                <w:szCs w:val="28"/>
              </w:rPr>
              <w:t>小组</w:t>
            </w:r>
          </w:p>
        </w:tc>
        <w:tc>
          <w:tcPr>
            <w:tcW w:w="1560" w:type="dxa"/>
            <w:vAlign w:val="center"/>
          </w:tcPr>
          <w:p>
            <w:pPr>
              <w:spacing w:line="240" w:lineRule="auto"/>
              <w:jc w:val="center"/>
              <w:rPr>
                <w:rFonts w:ascii="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22" w:type="dxa"/>
            <w:vAlign w:val="center"/>
          </w:tcPr>
          <w:p>
            <w:pPr>
              <w:spacing w:line="240" w:lineRule="auto"/>
              <w:jc w:val="center"/>
              <w:rPr>
                <w:rFonts w:ascii="仿宋_GB2312"/>
                <w:sz w:val="28"/>
                <w:szCs w:val="28"/>
              </w:rPr>
            </w:pPr>
            <w:r>
              <w:rPr>
                <w:rFonts w:hint="eastAsia" w:ascii="仿宋_GB2312"/>
                <w:sz w:val="28"/>
                <w:szCs w:val="28"/>
              </w:rPr>
              <w:t>参赛项目</w:t>
            </w:r>
          </w:p>
          <w:p>
            <w:pPr>
              <w:spacing w:line="240" w:lineRule="auto"/>
              <w:jc w:val="center"/>
              <w:rPr>
                <w:rFonts w:ascii="仿宋_GB2312"/>
                <w:sz w:val="28"/>
                <w:szCs w:val="28"/>
              </w:rPr>
            </w:pPr>
            <w:r>
              <w:rPr>
                <w:rFonts w:hint="eastAsia" w:ascii="仿宋_GB2312"/>
                <w:sz w:val="28"/>
                <w:szCs w:val="28"/>
              </w:rPr>
              <w:t>名称</w:t>
            </w:r>
          </w:p>
        </w:tc>
        <w:tc>
          <w:tcPr>
            <w:tcW w:w="2871" w:type="dxa"/>
            <w:gridSpan w:val="2"/>
            <w:vAlign w:val="center"/>
          </w:tcPr>
          <w:p>
            <w:pPr>
              <w:spacing w:line="240" w:lineRule="auto"/>
              <w:jc w:val="center"/>
              <w:rPr>
                <w:rFonts w:ascii="仿宋_GB2312"/>
                <w:sz w:val="28"/>
                <w:szCs w:val="28"/>
              </w:rPr>
            </w:pPr>
            <w:r>
              <w:rPr>
                <w:rFonts w:hint="eastAsia" w:ascii="仿宋_GB2312"/>
                <w:sz w:val="28"/>
                <w:szCs w:val="28"/>
              </w:rPr>
              <w:t>承办学校提供的设备及环境是否满足需求</w:t>
            </w:r>
          </w:p>
        </w:tc>
        <w:tc>
          <w:tcPr>
            <w:tcW w:w="1984" w:type="dxa"/>
            <w:vAlign w:val="center"/>
          </w:tcPr>
          <w:p>
            <w:pPr>
              <w:spacing w:line="240" w:lineRule="auto"/>
              <w:jc w:val="center"/>
              <w:rPr>
                <w:rFonts w:ascii="仿宋_GB2312"/>
                <w:sz w:val="28"/>
                <w:szCs w:val="28"/>
              </w:rPr>
            </w:pPr>
            <w:r>
              <w:rPr>
                <w:rFonts w:hint="eastAsia" w:ascii="仿宋_GB2312"/>
                <w:sz w:val="28"/>
                <w:szCs w:val="28"/>
              </w:rPr>
              <w:t>设备是否自带</w:t>
            </w:r>
          </w:p>
        </w:tc>
        <w:tc>
          <w:tcPr>
            <w:tcW w:w="1418" w:type="dxa"/>
            <w:vAlign w:val="center"/>
          </w:tcPr>
          <w:p>
            <w:pPr>
              <w:spacing w:line="240" w:lineRule="auto"/>
              <w:jc w:val="center"/>
              <w:rPr>
                <w:rFonts w:ascii="仿宋_GB2312"/>
                <w:sz w:val="28"/>
                <w:szCs w:val="28"/>
              </w:rPr>
            </w:pPr>
            <w:r>
              <w:rPr>
                <w:rFonts w:hint="eastAsia" w:ascii="仿宋_GB2312"/>
                <w:sz w:val="28"/>
                <w:szCs w:val="28"/>
              </w:rPr>
              <w:t>比赛时长</w:t>
            </w:r>
          </w:p>
        </w:tc>
        <w:tc>
          <w:tcPr>
            <w:tcW w:w="1560" w:type="dxa"/>
            <w:vAlign w:val="center"/>
          </w:tcPr>
          <w:p>
            <w:pPr>
              <w:spacing w:line="240" w:lineRule="auto"/>
              <w:jc w:val="center"/>
              <w:rPr>
                <w:rFonts w:ascii="仿宋_GB2312"/>
                <w:sz w:val="28"/>
                <w:szCs w:val="28"/>
              </w:rPr>
            </w:pPr>
            <w:r>
              <w:rPr>
                <w:rFonts w:hint="eastAsia" w:ascii="仿宋_GB2312"/>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jc w:val="center"/>
        </w:trPr>
        <w:tc>
          <w:tcPr>
            <w:tcW w:w="1722" w:type="dxa"/>
            <w:vAlign w:val="center"/>
          </w:tcPr>
          <w:p>
            <w:pPr>
              <w:spacing w:line="240" w:lineRule="auto"/>
              <w:jc w:val="center"/>
              <w:rPr>
                <w:rFonts w:ascii="仿宋_GB2312"/>
                <w:sz w:val="28"/>
                <w:szCs w:val="28"/>
              </w:rPr>
            </w:pPr>
          </w:p>
        </w:tc>
        <w:tc>
          <w:tcPr>
            <w:tcW w:w="2871" w:type="dxa"/>
            <w:gridSpan w:val="2"/>
            <w:vAlign w:val="center"/>
          </w:tcPr>
          <w:p>
            <w:pPr>
              <w:spacing w:line="240" w:lineRule="auto"/>
              <w:jc w:val="center"/>
              <w:rPr>
                <w:rFonts w:ascii="仿宋_GB2312"/>
                <w:sz w:val="28"/>
                <w:szCs w:val="28"/>
              </w:rPr>
            </w:pPr>
          </w:p>
        </w:tc>
        <w:tc>
          <w:tcPr>
            <w:tcW w:w="1984" w:type="dxa"/>
            <w:vAlign w:val="center"/>
          </w:tcPr>
          <w:p>
            <w:pPr>
              <w:spacing w:line="240" w:lineRule="auto"/>
              <w:jc w:val="center"/>
              <w:rPr>
                <w:rFonts w:ascii="仿宋_GB2312"/>
                <w:sz w:val="28"/>
                <w:szCs w:val="28"/>
              </w:rPr>
            </w:pPr>
          </w:p>
        </w:tc>
        <w:tc>
          <w:tcPr>
            <w:tcW w:w="1418" w:type="dxa"/>
            <w:vAlign w:val="center"/>
          </w:tcPr>
          <w:p>
            <w:pPr>
              <w:spacing w:line="240" w:lineRule="auto"/>
              <w:jc w:val="center"/>
              <w:rPr>
                <w:rFonts w:ascii="仿宋_GB2312"/>
                <w:sz w:val="28"/>
                <w:szCs w:val="28"/>
              </w:rPr>
            </w:pPr>
          </w:p>
        </w:tc>
        <w:tc>
          <w:tcPr>
            <w:tcW w:w="1560" w:type="dxa"/>
            <w:vAlign w:val="center"/>
          </w:tcPr>
          <w:p>
            <w:pPr>
              <w:spacing w:line="240" w:lineRule="auto"/>
              <w:jc w:val="center"/>
              <w:rPr>
                <w:rFonts w:ascii="仿宋_GB2312"/>
                <w:sz w:val="28"/>
                <w:szCs w:val="28"/>
              </w:rPr>
            </w:pPr>
          </w:p>
        </w:tc>
      </w:tr>
    </w:tbl>
    <w:p>
      <w:pPr>
        <w:spacing w:line="240" w:lineRule="auto"/>
        <w:rPr>
          <w:rFonts w:ascii="仿宋_GB2312" w:hAnsi="宋体"/>
          <w:sz w:val="28"/>
          <w:szCs w:val="28"/>
        </w:rPr>
      </w:pPr>
      <w:r>
        <w:rPr>
          <w:rFonts w:hint="eastAsia" w:ascii="仿宋_GB2312" w:hAnsi="宋体"/>
          <w:sz w:val="28"/>
          <w:szCs w:val="28"/>
        </w:rPr>
        <w:t>说明：</w:t>
      </w:r>
    </w:p>
    <w:p>
      <w:pPr>
        <w:spacing w:line="240" w:lineRule="auto"/>
        <w:rPr>
          <w:rFonts w:ascii="仿宋_GB2312" w:hAnsi="宋体"/>
          <w:b/>
          <w:bCs/>
          <w:sz w:val="28"/>
          <w:szCs w:val="28"/>
        </w:rPr>
      </w:pPr>
      <w:r>
        <w:rPr>
          <w:rFonts w:hint="eastAsia" w:ascii="仿宋_GB2312" w:hAnsi="宋体"/>
          <w:b/>
          <w:bCs/>
          <w:sz w:val="28"/>
          <w:szCs w:val="28"/>
        </w:rPr>
        <w:t>1</w:t>
      </w:r>
      <w:r>
        <w:rPr>
          <w:rFonts w:ascii="仿宋_GB2312" w:hAnsi="宋体"/>
          <w:b/>
          <w:bCs/>
          <w:sz w:val="28"/>
          <w:szCs w:val="28"/>
        </w:rPr>
        <w:t>.</w:t>
      </w:r>
      <w:r>
        <w:rPr>
          <w:rFonts w:hint="eastAsia" w:ascii="仿宋_GB2312" w:hAnsi="宋体"/>
          <w:b/>
          <w:bCs/>
          <w:sz w:val="28"/>
          <w:szCs w:val="28"/>
        </w:rPr>
        <w:t>学校现有2种平台，参赛队可任选一种，两平台可同时进行。</w:t>
      </w:r>
    </w:p>
    <w:p>
      <w:pPr>
        <w:pStyle w:val="7"/>
        <w:ind w:left="0" w:leftChars="0"/>
        <w:rPr>
          <w:b/>
          <w:bCs/>
        </w:rPr>
      </w:pPr>
      <w:r>
        <w:rPr>
          <w:b/>
          <w:bCs/>
        </w:rPr>
        <w:t>2.</w:t>
      </w:r>
      <w:r>
        <w:rPr>
          <w:rFonts w:hint="eastAsia" w:ascii="仿宋_GB2312" w:hAnsi="宋体"/>
          <w:b/>
          <w:bCs/>
          <w:sz w:val="28"/>
          <w:szCs w:val="28"/>
        </w:rPr>
        <w:t>若设备自带，须与承办学校积极沟通和确认。</w:t>
      </w:r>
    </w:p>
    <w:p>
      <w:pPr>
        <w:pStyle w:val="3"/>
        <w:spacing w:line="240" w:lineRule="auto"/>
      </w:pPr>
    </w:p>
    <w:p>
      <w:pPr>
        <w:spacing w:line="240" w:lineRule="auto"/>
        <w:rPr>
          <w:rFonts w:ascii="微软雅黑" w:eastAsia="微软雅黑"/>
          <w:sz w:val="32"/>
          <w:szCs w:val="32"/>
        </w:rPr>
        <w:sectPr>
          <w:footerReference r:id="rId6" w:type="first"/>
          <w:footerReference r:id="rId5" w:type="default"/>
          <w:pgSz w:w="11906" w:h="16838"/>
          <w:pgMar w:top="1361" w:right="1361" w:bottom="1361" w:left="1361" w:header="1134" w:footer="850" w:gutter="0"/>
          <w:cols w:space="0" w:num="1"/>
          <w:titlePg/>
          <w:docGrid w:type="linesAndChars" w:linePitch="587" w:charSpace="0"/>
        </w:sectPr>
      </w:pPr>
    </w:p>
    <w:p>
      <w:pPr>
        <w:spacing w:line="240" w:lineRule="auto"/>
      </w:pPr>
      <w:r>
        <w:rPr>
          <w:rFonts w:hint="eastAsia" w:ascii="黑体" w:hAnsi="黑体" w:eastAsia="黑体"/>
          <w:sz w:val="32"/>
          <w:szCs w:val="32"/>
        </w:rPr>
        <w:t>附件2</w:t>
      </w:r>
    </w:p>
    <w:p>
      <w:pPr>
        <w:snapToGrid w:val="0"/>
        <w:spacing w:line="240" w:lineRule="auto"/>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承办学校提供的设备和场地信息清单</w:t>
      </w:r>
    </w:p>
    <w:tbl>
      <w:tblPr>
        <w:tblStyle w:val="12"/>
        <w:tblW w:w="4997" w:type="pct"/>
        <w:tblInd w:w="0" w:type="dxa"/>
        <w:tblLayout w:type="fixed"/>
        <w:tblCellMar>
          <w:top w:w="0" w:type="dxa"/>
          <w:left w:w="108" w:type="dxa"/>
          <w:bottom w:w="0" w:type="dxa"/>
          <w:right w:w="108" w:type="dxa"/>
        </w:tblCellMar>
      </w:tblPr>
      <w:tblGrid>
        <w:gridCol w:w="640"/>
        <w:gridCol w:w="728"/>
        <w:gridCol w:w="829"/>
        <w:gridCol w:w="3629"/>
        <w:gridCol w:w="787"/>
        <w:gridCol w:w="688"/>
        <w:gridCol w:w="866"/>
        <w:gridCol w:w="868"/>
        <w:gridCol w:w="3844"/>
        <w:gridCol w:w="724"/>
        <w:gridCol w:w="719"/>
      </w:tblGrid>
      <w:tr>
        <w:tblPrEx>
          <w:tblCellMar>
            <w:top w:w="0" w:type="dxa"/>
            <w:left w:w="108" w:type="dxa"/>
            <w:bottom w:w="0" w:type="dxa"/>
            <w:right w:w="108" w:type="dxa"/>
          </w:tblCellMar>
        </w:tblPrEx>
        <w:tc>
          <w:tcPr>
            <w:tcW w:w="766"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center"/>
              <w:textAlignment w:val="center"/>
              <w:rPr>
                <w:rFonts w:ascii="仿宋" w:hAnsi="仿宋" w:eastAsia="仿宋" w:cs="仿宋"/>
                <w:b/>
                <w:bCs/>
                <w:color w:val="000000"/>
                <w:sz w:val="21"/>
                <w:szCs w:val="21"/>
              </w:rPr>
            </w:pPr>
            <w:r>
              <w:rPr>
                <w:rFonts w:hint="eastAsia" w:ascii="仿宋" w:hAnsi="仿宋" w:eastAsia="仿宋" w:cs="仿宋"/>
                <w:b/>
                <w:bCs/>
                <w:color w:val="000000"/>
                <w:sz w:val="21"/>
                <w:szCs w:val="21"/>
              </w:rPr>
              <w:t>承办学校</w:t>
            </w:r>
          </w:p>
        </w:tc>
        <w:tc>
          <w:tcPr>
            <w:tcW w:w="4233"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textAlignment w:val="center"/>
              <w:rPr>
                <w:rFonts w:ascii="仿宋" w:hAnsi="仿宋" w:eastAsia="仿宋" w:cs="仿宋"/>
                <w:b/>
                <w:bCs/>
                <w:color w:val="000000"/>
                <w:sz w:val="21"/>
                <w:szCs w:val="21"/>
              </w:rPr>
            </w:pPr>
            <w:r>
              <w:rPr>
                <w:rFonts w:hint="eastAsia" w:ascii="仿宋" w:hAnsi="仿宋" w:eastAsia="仿宋" w:cs="仿宋"/>
                <w:b/>
                <w:bCs/>
                <w:color w:val="000000"/>
                <w:sz w:val="21"/>
                <w:szCs w:val="21"/>
              </w:rPr>
              <w:t>郑州铁路职业技术学院</w:t>
            </w:r>
          </w:p>
        </w:tc>
      </w:tr>
      <w:tr>
        <w:tblPrEx>
          <w:tblCellMar>
            <w:top w:w="0" w:type="dxa"/>
            <w:left w:w="108" w:type="dxa"/>
            <w:bottom w:w="0" w:type="dxa"/>
            <w:right w:w="108" w:type="dxa"/>
          </w:tblCellMar>
        </w:tblPrEx>
        <w:trPr>
          <w:trHeight w:val="936" w:hRule="atLeast"/>
        </w:trPr>
        <w:tc>
          <w:tcPr>
            <w:tcW w:w="477" w:type="pct"/>
            <w:gridSpan w:val="2"/>
            <w:tcBorders>
              <w:top w:val="single" w:color="000000" w:sz="4" w:space="0"/>
              <w:left w:val="single" w:color="000000" w:sz="4" w:space="0"/>
              <w:right w:val="single" w:color="000000" w:sz="4" w:space="0"/>
            </w:tcBorders>
            <w:shd w:val="clear" w:color="auto" w:fill="auto"/>
            <w:vAlign w:val="center"/>
          </w:tcPr>
          <w:p>
            <w:pPr>
              <w:widowControl/>
              <w:spacing w:after="0" w:line="400" w:lineRule="exact"/>
              <w:jc w:val="center"/>
              <w:textAlignment w:val="center"/>
              <w:rPr>
                <w:rFonts w:ascii="仿宋" w:hAnsi="仿宋" w:eastAsia="仿宋" w:cs="仿宋"/>
                <w:b/>
                <w:bCs/>
                <w:color w:val="000000"/>
                <w:sz w:val="21"/>
                <w:szCs w:val="21"/>
              </w:rPr>
            </w:pPr>
            <w:r>
              <w:rPr>
                <w:rFonts w:hint="eastAsia" w:ascii="仿宋" w:hAnsi="仿宋" w:eastAsia="仿宋" w:cs="仿宋"/>
                <w:b/>
                <w:bCs/>
                <w:color w:val="000000"/>
                <w:sz w:val="21"/>
                <w:szCs w:val="21"/>
              </w:rPr>
              <w:t>组别</w:t>
            </w:r>
          </w:p>
          <w:p>
            <w:pPr>
              <w:widowControl/>
              <w:spacing w:after="0" w:line="400" w:lineRule="exact"/>
              <w:jc w:val="center"/>
              <w:textAlignment w:val="center"/>
              <w:rPr>
                <w:rFonts w:ascii="仿宋" w:hAnsi="仿宋" w:eastAsia="仿宋" w:cs="仿宋"/>
                <w:b/>
                <w:bCs/>
                <w:color w:val="000000"/>
                <w:sz w:val="21"/>
                <w:szCs w:val="21"/>
              </w:rPr>
            </w:pPr>
            <w:r>
              <w:rPr>
                <w:rFonts w:hint="eastAsia" w:ascii="仿宋" w:hAnsi="仿宋" w:eastAsia="仿宋" w:cs="仿宋"/>
                <w:b/>
                <w:bCs/>
                <w:color w:val="000000"/>
                <w:sz w:val="21"/>
                <w:szCs w:val="21"/>
              </w:rPr>
              <w:t>（中/高职）</w:t>
            </w:r>
          </w:p>
        </w:tc>
        <w:tc>
          <w:tcPr>
            <w:tcW w:w="289" w:type="pct"/>
            <w:tcBorders>
              <w:top w:val="single" w:color="000000" w:sz="4" w:space="0"/>
              <w:left w:val="single" w:color="000000" w:sz="4" w:space="0"/>
              <w:right w:val="single" w:color="000000" w:sz="4" w:space="0"/>
            </w:tcBorders>
            <w:shd w:val="clear" w:color="auto" w:fill="auto"/>
            <w:vAlign w:val="center"/>
          </w:tcPr>
          <w:p>
            <w:pPr>
              <w:widowControl/>
              <w:spacing w:after="0" w:line="400" w:lineRule="exact"/>
              <w:jc w:val="center"/>
              <w:textAlignment w:val="center"/>
              <w:rPr>
                <w:rFonts w:ascii="仿宋" w:hAnsi="仿宋" w:eastAsia="仿宋" w:cs="仿宋"/>
                <w:b/>
                <w:bCs/>
                <w:color w:val="000000"/>
                <w:sz w:val="21"/>
                <w:szCs w:val="21"/>
              </w:rPr>
            </w:pPr>
            <w:r>
              <w:rPr>
                <w:rFonts w:hint="eastAsia" w:ascii="仿宋" w:hAnsi="仿宋" w:eastAsia="仿宋" w:cs="仿宋"/>
                <w:b/>
                <w:bCs/>
                <w:color w:val="000000"/>
                <w:sz w:val="21"/>
                <w:szCs w:val="21"/>
              </w:rPr>
              <w:t>高职</w:t>
            </w:r>
          </w:p>
        </w:tc>
        <w:tc>
          <w:tcPr>
            <w:tcW w:w="1267" w:type="pct"/>
            <w:tcBorders>
              <w:top w:val="single" w:color="000000" w:sz="4" w:space="0"/>
              <w:left w:val="single" w:color="000000" w:sz="4" w:space="0"/>
              <w:right w:val="single" w:color="000000" w:sz="4" w:space="0"/>
            </w:tcBorders>
            <w:shd w:val="clear" w:color="auto" w:fill="auto"/>
            <w:vAlign w:val="center"/>
          </w:tcPr>
          <w:p>
            <w:pPr>
              <w:widowControl/>
              <w:spacing w:after="0" w:line="400" w:lineRule="exact"/>
              <w:jc w:val="center"/>
              <w:textAlignment w:val="center"/>
              <w:rPr>
                <w:rFonts w:ascii="仿宋" w:hAnsi="仿宋" w:eastAsia="仿宋" w:cs="仿宋"/>
                <w:b/>
                <w:bCs/>
                <w:color w:val="000000"/>
                <w:sz w:val="21"/>
                <w:szCs w:val="21"/>
              </w:rPr>
            </w:pPr>
            <w:r>
              <w:rPr>
                <w:rFonts w:hint="eastAsia" w:ascii="仿宋" w:hAnsi="仿宋" w:eastAsia="仿宋" w:cs="仿宋"/>
                <w:b/>
                <w:bCs/>
                <w:color w:val="000000"/>
                <w:sz w:val="21"/>
                <w:szCs w:val="21"/>
              </w:rPr>
              <w:t>工业机器人操作与运维</w:t>
            </w:r>
          </w:p>
        </w:tc>
        <w:tc>
          <w:tcPr>
            <w:tcW w:w="2965" w:type="pct"/>
            <w:gridSpan w:val="7"/>
            <w:tcBorders>
              <w:top w:val="single" w:color="000000" w:sz="4" w:space="0"/>
              <w:left w:val="single" w:color="000000" w:sz="4" w:space="0"/>
              <w:right w:val="single" w:color="000000" w:sz="4" w:space="0"/>
            </w:tcBorders>
            <w:shd w:val="clear" w:color="auto" w:fill="auto"/>
            <w:vAlign w:val="center"/>
          </w:tcPr>
          <w:p>
            <w:pPr>
              <w:widowControl/>
              <w:spacing w:after="0" w:line="400" w:lineRule="exact"/>
              <w:jc w:val="center"/>
              <w:textAlignment w:val="center"/>
              <w:rPr>
                <w:rFonts w:ascii="仿宋" w:hAnsi="仿宋" w:eastAsia="仿宋" w:cs="仿宋"/>
                <w:b/>
                <w:bCs/>
                <w:color w:val="000000"/>
                <w:sz w:val="21"/>
                <w:szCs w:val="21"/>
              </w:rPr>
            </w:pPr>
            <w:r>
              <w:rPr>
                <w:rFonts w:hint="eastAsia" w:ascii="仿宋" w:hAnsi="仿宋" w:eastAsia="仿宋" w:cs="仿宋"/>
                <w:b/>
                <w:bCs/>
                <w:color w:val="000000"/>
                <w:sz w:val="21"/>
                <w:szCs w:val="21"/>
              </w:rPr>
              <w:t>小组</w:t>
            </w:r>
          </w:p>
        </w:tc>
      </w:tr>
      <w:tr>
        <w:tblPrEx>
          <w:tblCellMar>
            <w:top w:w="0" w:type="dxa"/>
            <w:left w:w="108" w:type="dxa"/>
            <w:bottom w:w="0" w:type="dxa"/>
            <w:right w:w="108" w:type="dxa"/>
          </w:tblCellMar>
        </w:tblPrEx>
        <w:tc>
          <w:tcPr>
            <w:tcW w:w="22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center"/>
              <w:textAlignment w:val="center"/>
              <w:rPr>
                <w:rFonts w:ascii="仿宋" w:hAnsi="仿宋" w:eastAsia="仿宋" w:cs="仿宋"/>
                <w:b/>
                <w:bCs/>
                <w:color w:val="000000"/>
                <w:kern w:val="0"/>
                <w:sz w:val="21"/>
                <w:szCs w:val="21"/>
                <w:lang w:bidi="ar"/>
              </w:rPr>
            </w:pPr>
            <w:r>
              <w:rPr>
                <w:rFonts w:hint="eastAsia" w:ascii="仿宋" w:hAnsi="仿宋" w:eastAsia="仿宋" w:cs="仿宋"/>
                <w:b/>
                <w:bCs/>
                <w:color w:val="000000"/>
                <w:kern w:val="0"/>
                <w:sz w:val="21"/>
                <w:szCs w:val="21"/>
                <w:lang w:bidi="ar"/>
              </w:rPr>
              <w:t>名称</w:t>
            </w: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center"/>
              <w:textAlignment w:val="center"/>
              <w:rPr>
                <w:rFonts w:ascii="仿宋" w:hAnsi="仿宋" w:eastAsia="仿宋" w:cs="仿宋"/>
                <w:b/>
                <w:bCs/>
                <w:color w:val="000000"/>
                <w:kern w:val="0"/>
                <w:sz w:val="21"/>
                <w:szCs w:val="21"/>
                <w:lang w:bidi="ar"/>
              </w:rPr>
            </w:pPr>
            <w:r>
              <w:rPr>
                <w:rFonts w:hint="eastAsia" w:ascii="仿宋" w:hAnsi="仿宋" w:eastAsia="仿宋" w:cs="仿宋"/>
                <w:b/>
                <w:bCs/>
                <w:color w:val="000000"/>
                <w:kern w:val="0"/>
                <w:sz w:val="21"/>
                <w:szCs w:val="21"/>
                <w:lang w:bidi="ar"/>
              </w:rPr>
              <w:t>模块</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center"/>
              <w:textAlignment w:val="center"/>
              <w:rPr>
                <w:rFonts w:ascii="仿宋" w:hAnsi="仿宋" w:eastAsia="仿宋" w:cs="仿宋"/>
                <w:b/>
                <w:bCs/>
                <w:color w:val="000000"/>
                <w:kern w:val="0"/>
                <w:sz w:val="21"/>
                <w:szCs w:val="21"/>
                <w:lang w:bidi="ar"/>
              </w:rPr>
            </w:pPr>
            <w:r>
              <w:rPr>
                <w:rFonts w:hint="eastAsia" w:ascii="仿宋" w:hAnsi="仿宋" w:eastAsia="仿宋" w:cs="仿宋"/>
                <w:b/>
                <w:bCs/>
                <w:color w:val="000000"/>
                <w:kern w:val="0"/>
                <w:sz w:val="21"/>
                <w:szCs w:val="21"/>
                <w:lang w:bidi="ar"/>
              </w:rPr>
              <w:t>型号</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center"/>
              <w:textAlignment w:val="center"/>
              <w:rPr>
                <w:rFonts w:ascii="仿宋" w:hAnsi="仿宋" w:eastAsia="仿宋" w:cs="仿宋"/>
                <w:b/>
                <w:bCs/>
                <w:color w:val="000000"/>
                <w:kern w:val="0"/>
                <w:sz w:val="21"/>
                <w:szCs w:val="21"/>
                <w:lang w:bidi="ar"/>
              </w:rPr>
            </w:pPr>
            <w:r>
              <w:rPr>
                <w:rFonts w:hint="eastAsia" w:ascii="仿宋" w:hAnsi="仿宋" w:eastAsia="仿宋" w:cs="仿宋"/>
                <w:b/>
                <w:bCs/>
                <w:color w:val="000000"/>
                <w:kern w:val="0"/>
                <w:sz w:val="21"/>
                <w:szCs w:val="21"/>
                <w:lang w:bidi="ar"/>
              </w:rPr>
              <w:t>主要技术参数</w:t>
            </w:r>
          </w:p>
        </w:tc>
        <w:tc>
          <w:tcPr>
            <w:tcW w:w="2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center"/>
              <w:textAlignment w:val="center"/>
              <w:rPr>
                <w:rFonts w:ascii="仿宋" w:hAnsi="仿宋" w:eastAsia="仿宋" w:cs="仿宋"/>
                <w:b/>
                <w:bCs/>
                <w:color w:val="000000"/>
                <w:kern w:val="0"/>
                <w:sz w:val="21"/>
                <w:szCs w:val="21"/>
                <w:lang w:bidi="ar"/>
              </w:rPr>
            </w:pPr>
            <w:r>
              <w:rPr>
                <w:rFonts w:hint="eastAsia" w:ascii="仿宋" w:hAnsi="仿宋" w:eastAsia="仿宋" w:cs="仿宋"/>
                <w:b/>
                <w:bCs/>
                <w:color w:val="000000"/>
                <w:kern w:val="0"/>
                <w:sz w:val="21"/>
                <w:szCs w:val="21"/>
                <w:lang w:bidi="ar"/>
              </w:rPr>
              <w:t>台套数</w:t>
            </w:r>
          </w:p>
        </w:tc>
        <w:tc>
          <w:tcPr>
            <w:tcW w:w="24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center"/>
              <w:textAlignment w:val="center"/>
              <w:rPr>
                <w:rFonts w:ascii="仿宋" w:hAnsi="仿宋" w:eastAsia="仿宋" w:cs="仿宋"/>
                <w:b/>
                <w:bCs/>
                <w:color w:val="000000"/>
                <w:kern w:val="0"/>
                <w:sz w:val="21"/>
                <w:szCs w:val="21"/>
                <w:lang w:bidi="ar"/>
              </w:rPr>
            </w:pPr>
            <w:r>
              <w:rPr>
                <w:rFonts w:hint="eastAsia" w:ascii="仿宋" w:hAnsi="仿宋" w:eastAsia="仿宋" w:cs="仿宋"/>
                <w:b/>
                <w:bCs/>
                <w:color w:val="000000"/>
                <w:kern w:val="0"/>
                <w:sz w:val="21"/>
                <w:szCs w:val="21"/>
                <w:lang w:bidi="ar"/>
              </w:rPr>
              <w:t>名称</w:t>
            </w:r>
          </w:p>
        </w:tc>
        <w:tc>
          <w:tcPr>
            <w:tcW w:w="3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center"/>
              <w:textAlignment w:val="center"/>
              <w:rPr>
                <w:rFonts w:ascii="仿宋" w:hAnsi="仿宋" w:eastAsia="仿宋" w:cs="仿宋"/>
                <w:b/>
                <w:bCs/>
                <w:color w:val="000000"/>
                <w:kern w:val="0"/>
                <w:sz w:val="21"/>
                <w:szCs w:val="21"/>
                <w:lang w:bidi="ar"/>
              </w:rPr>
            </w:pPr>
            <w:r>
              <w:rPr>
                <w:rFonts w:hint="eastAsia" w:ascii="仿宋" w:hAnsi="仿宋" w:eastAsia="仿宋" w:cs="仿宋"/>
                <w:b/>
                <w:bCs/>
                <w:color w:val="000000"/>
                <w:kern w:val="0"/>
                <w:sz w:val="21"/>
                <w:szCs w:val="21"/>
                <w:lang w:bidi="ar"/>
              </w:rPr>
              <w:t>模块</w:t>
            </w: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center"/>
              <w:textAlignment w:val="center"/>
              <w:rPr>
                <w:rFonts w:ascii="仿宋" w:hAnsi="仿宋" w:eastAsia="仿宋" w:cs="仿宋"/>
                <w:b/>
                <w:bCs/>
                <w:color w:val="000000"/>
                <w:kern w:val="0"/>
                <w:sz w:val="21"/>
                <w:szCs w:val="21"/>
                <w:lang w:bidi="ar"/>
              </w:rPr>
            </w:pPr>
            <w:r>
              <w:rPr>
                <w:rFonts w:hint="eastAsia" w:ascii="仿宋" w:hAnsi="仿宋" w:eastAsia="仿宋" w:cs="仿宋"/>
                <w:b/>
                <w:bCs/>
                <w:color w:val="000000"/>
                <w:kern w:val="0"/>
                <w:sz w:val="21"/>
                <w:szCs w:val="21"/>
                <w:lang w:bidi="ar"/>
              </w:rPr>
              <w:t>型号</w:t>
            </w:r>
          </w:p>
        </w:tc>
        <w:tc>
          <w:tcPr>
            <w:tcW w:w="134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center"/>
              <w:textAlignment w:val="center"/>
              <w:rPr>
                <w:rFonts w:ascii="仿宋" w:hAnsi="仿宋" w:eastAsia="仿宋" w:cs="仿宋"/>
                <w:b/>
                <w:bCs/>
                <w:color w:val="000000"/>
                <w:kern w:val="0"/>
                <w:sz w:val="21"/>
                <w:szCs w:val="21"/>
                <w:lang w:bidi="ar"/>
              </w:rPr>
            </w:pPr>
            <w:r>
              <w:rPr>
                <w:rFonts w:hint="eastAsia" w:ascii="仿宋" w:hAnsi="仿宋" w:eastAsia="仿宋" w:cs="仿宋"/>
                <w:b/>
                <w:bCs/>
                <w:color w:val="000000"/>
                <w:kern w:val="0"/>
                <w:sz w:val="21"/>
                <w:szCs w:val="21"/>
                <w:lang w:bidi="ar"/>
              </w:rPr>
              <w:t>主要技术参数</w:t>
            </w: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center"/>
              <w:textAlignment w:val="center"/>
              <w:rPr>
                <w:rFonts w:ascii="仿宋" w:hAnsi="仿宋" w:eastAsia="仿宋" w:cs="仿宋"/>
                <w:b/>
                <w:bCs/>
                <w:color w:val="000000"/>
                <w:kern w:val="0"/>
                <w:sz w:val="21"/>
                <w:szCs w:val="21"/>
                <w:lang w:bidi="ar"/>
              </w:rPr>
            </w:pPr>
            <w:r>
              <w:rPr>
                <w:rFonts w:hint="eastAsia" w:ascii="仿宋" w:hAnsi="仿宋" w:eastAsia="仿宋" w:cs="仿宋"/>
                <w:b/>
                <w:bCs/>
                <w:color w:val="000000"/>
                <w:kern w:val="0"/>
                <w:sz w:val="21"/>
                <w:szCs w:val="21"/>
                <w:lang w:bidi="ar"/>
              </w:rPr>
              <w:t>台套数</w:t>
            </w:r>
          </w:p>
        </w:tc>
        <w:tc>
          <w:tcPr>
            <w:tcW w:w="25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center"/>
              <w:textAlignment w:val="center"/>
              <w:rPr>
                <w:rFonts w:ascii="仿宋" w:hAnsi="仿宋" w:eastAsia="仿宋" w:cs="仿宋"/>
                <w:b/>
                <w:bCs/>
                <w:color w:val="000000"/>
                <w:kern w:val="0"/>
                <w:sz w:val="21"/>
                <w:szCs w:val="21"/>
                <w:lang w:bidi="ar"/>
              </w:rPr>
            </w:pPr>
            <w:r>
              <w:rPr>
                <w:rFonts w:hint="eastAsia" w:ascii="仿宋" w:hAnsi="仿宋" w:eastAsia="仿宋" w:cs="仿宋"/>
                <w:b/>
                <w:bCs/>
                <w:color w:val="000000"/>
                <w:kern w:val="0"/>
                <w:sz w:val="21"/>
                <w:szCs w:val="21"/>
                <w:lang w:bidi="ar"/>
              </w:rPr>
              <w:t>备注</w:t>
            </w:r>
          </w:p>
        </w:tc>
      </w:tr>
      <w:tr>
        <w:tblPrEx>
          <w:tblCellMar>
            <w:top w:w="0" w:type="dxa"/>
            <w:left w:w="108" w:type="dxa"/>
            <w:bottom w:w="0" w:type="dxa"/>
            <w:right w:w="108" w:type="dxa"/>
          </w:tblCellMar>
        </w:tblPrEx>
        <w:tc>
          <w:tcPr>
            <w:tcW w:w="2308"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center"/>
              <w:textAlignment w:val="center"/>
              <w:rPr>
                <w:rFonts w:ascii="仿宋" w:hAnsi="仿宋" w:eastAsia="仿宋" w:cs="仿宋"/>
                <w:b/>
                <w:bCs/>
                <w:color w:val="000000"/>
                <w:kern w:val="0"/>
                <w:sz w:val="21"/>
                <w:szCs w:val="21"/>
                <w:lang w:bidi="ar"/>
              </w:rPr>
            </w:pPr>
            <w:r>
              <w:rPr>
                <w:rFonts w:hint="eastAsia" w:ascii="仿宋" w:hAnsi="仿宋" w:eastAsia="仿宋" w:cs="仿宋"/>
                <w:b/>
                <w:bCs/>
                <w:color w:val="000000"/>
                <w:kern w:val="0"/>
                <w:sz w:val="21"/>
                <w:szCs w:val="21"/>
                <w:lang w:bidi="ar"/>
              </w:rPr>
              <w:t>平台一</w:t>
            </w:r>
          </w:p>
        </w:tc>
        <w:tc>
          <w:tcPr>
            <w:tcW w:w="2691"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center"/>
              <w:textAlignment w:val="center"/>
              <w:rPr>
                <w:rFonts w:ascii="仿宋" w:hAnsi="仿宋" w:eastAsia="仿宋" w:cs="仿宋"/>
                <w:b/>
                <w:bCs/>
                <w:color w:val="000000"/>
                <w:kern w:val="0"/>
                <w:sz w:val="21"/>
                <w:szCs w:val="21"/>
                <w:lang w:bidi="ar"/>
              </w:rPr>
            </w:pPr>
            <w:r>
              <w:rPr>
                <w:rFonts w:hint="eastAsia" w:ascii="仿宋" w:hAnsi="仿宋" w:eastAsia="仿宋" w:cs="仿宋"/>
                <w:b/>
                <w:bCs/>
                <w:color w:val="000000"/>
                <w:kern w:val="0"/>
                <w:sz w:val="21"/>
                <w:szCs w:val="21"/>
                <w:lang w:bidi="ar"/>
              </w:rPr>
              <w:t>平台二</w:t>
            </w:r>
          </w:p>
        </w:tc>
      </w:tr>
      <w:tr>
        <w:tblPrEx>
          <w:tblCellMar>
            <w:top w:w="0" w:type="dxa"/>
            <w:left w:w="108" w:type="dxa"/>
            <w:bottom w:w="0" w:type="dxa"/>
            <w:right w:w="108" w:type="dxa"/>
          </w:tblCellMar>
        </w:tblPrEx>
        <w:tc>
          <w:tcPr>
            <w:tcW w:w="22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center"/>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硬件</w:t>
            </w: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工业机器人</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ABB 120</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numPr>
                <w:ilvl w:val="0"/>
                <w:numId w:val="2"/>
              </w:numPr>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工业机器人</w:t>
            </w:r>
          </w:p>
          <w:p>
            <w:pPr>
              <w:widowControl/>
              <w:numPr>
                <w:ilvl w:val="0"/>
                <w:numId w:val="2"/>
              </w:numPr>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1.1自由度：6；</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1.2工作范围:580mm；</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1.3有效荷重:3kg；</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1.4重复定位精度:±0.01mm；</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1.5集成信号源:手腕设10路信号</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1.6集成气源:手腕设4路空气（5 bar）</w:t>
            </w:r>
          </w:p>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1.7各轴运动范围：</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J1轴≥±165°</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J2轴≥±110°</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J3轴≥+70°/-90°</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J4轴≥±160°</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J5轴≥±120°</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J6轴≥±400°</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1.8最大单轴速度：</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J1轴≥250°/s</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J2轴≥250°/s</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J3轴≥250°/s</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J4轴≥320°/s</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J5轴≥320°/s</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J6轴≥420°/s</w:t>
            </w:r>
          </w:p>
        </w:tc>
        <w:tc>
          <w:tcPr>
            <w:tcW w:w="2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4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center"/>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硬件</w:t>
            </w:r>
          </w:p>
        </w:tc>
        <w:tc>
          <w:tcPr>
            <w:tcW w:w="3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工业机器人</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ABB</w:t>
            </w:r>
          </w:p>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120</w:t>
            </w:r>
            <w:r>
              <w:rPr>
                <w:rFonts w:hint="eastAsia" w:ascii="仿宋" w:hAnsi="仿宋" w:eastAsia="仿宋" w:cs="仿宋"/>
                <w:color w:val="000000"/>
                <w:sz w:val="21"/>
                <w:szCs w:val="21"/>
              </w:rPr>
              <w:t xml:space="preserve"> </w:t>
            </w:r>
          </w:p>
        </w:tc>
        <w:tc>
          <w:tcPr>
            <w:tcW w:w="134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机器人技术参数：</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由工业机器人、机器人底座、机器人控制柜和示教盒等组成。</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1) 自由度：6</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2) 最大负载：≥3kg</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3) 重复定位精度：≤0.01mm</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4) 最大臂展：≥580mm</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5) 各轴运动范围：</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J1轴≥±165°</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J2轴≥±110°</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J3轴≥+70°/ -90°</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J4轴≥±160°</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J5轴≥±120°</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J6轴≥±400°</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6) 最大单轴速度：</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J1轴≥250°/s</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J2轴≥250°/s</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J3轴≥250°/s</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J4轴≥320°/s</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J5轴≥320°/s</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J6轴≥420°/s</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Plc</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西门子1200</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1.电气控制系统包括PLC控制器、线槽、接线端子、电线、电气件等。</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2.总控PLC采用S7-1200控制器；集成安装在电控板，电控板采用滑道式安装在铝型材工作台内部，水平放置。</w:t>
            </w:r>
          </w:p>
        </w:tc>
        <w:tc>
          <w:tcPr>
            <w:tcW w:w="2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3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PLC</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西门子1200</w:t>
            </w:r>
          </w:p>
        </w:tc>
        <w:tc>
          <w:tcPr>
            <w:tcW w:w="134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1控制器主要技术参数：</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1）物理尺寸： 130×100×75mm</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2）工作存储器： 125KB</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3）装载存储器 ：4MB</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4）保持性存储器： 10KB</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5）数字量： 14DI/10DO</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6）模拟量 ：2AI/2AO</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7）位存储器（M区）： 8192字节</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8）高速计数器： 6路</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9）脉冲输出 ：4路</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10）以太网端口数： 2个</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11）通信协议 支持：PROFINET、TCP/IP、SNMP、DCP、LLDP、ISO-on-TCP、UDP、Modbus、S7等通信协议，PROFIBUS、AS接口通信扩展可支持</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12）数据传输率 ：10/100Mb/s</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13）布尔运算执行速度： 0.08μs/指令</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14）移动字执行速度 ：1.7μs/指令</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15）实数数学运算执行速度： 2.3μs 指令</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人机交互界面</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昆仑通态7032kt</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7英寸真彩显示屏；接口：配置10/100M自适应以太网口、USB接口、COM串行接口，设置有急停实物开关，以及启动、停止、复位按钮。</w:t>
            </w:r>
          </w:p>
        </w:tc>
        <w:tc>
          <w:tcPr>
            <w:tcW w:w="2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3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人机界面（触摸屏）</w:t>
            </w: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西门子</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TP700</w:t>
            </w:r>
          </w:p>
        </w:tc>
        <w:tc>
          <w:tcPr>
            <w:tcW w:w="134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1）显示屏≥7英寸的 TFT 显示屏，16777216 色</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2）分辨率 ≥800×480 像素</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3）操作方式  触摸屏</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4）背光无故障时间  80000H</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5）用户内存  12MB</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6）电压额定值 DC24V</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7）Interfaces 1个PROFINET接口（2个端口，带集成开关）</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8）防护等级  IP 65 (前面板，如果已安装)后面板IP20</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快换工装模块</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包括打磨、画笔、夹爪、吸盘四套末端执行工具。切换末端工装时无需任何工具，机器人可在以上四套工装间自动快换。通过机器人任意自动更换工装，可实现机器人搬运、上下料、码垛、装配、打磨、绘图、模拟喷涂及焊接等功能。</w:t>
            </w:r>
          </w:p>
        </w:tc>
        <w:tc>
          <w:tcPr>
            <w:tcW w:w="2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3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快换手爪支架</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34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机器人末端工具包括单吸盘工具、电机手爪工具、关节手爪工具、无源工具、激光笔工具。</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TCP模块</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整体规格Φ18mm、高95mm，T</w:t>
            </w:r>
          </w:p>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CP标定尖锥配有专用铝合金内螺纹护套，</w:t>
            </w:r>
          </w:p>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护套外径Φ18mm、长度Φ82mm；</w:t>
            </w:r>
          </w:p>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保护锥尖以及防止护套脱落。</w:t>
            </w:r>
          </w:p>
        </w:tc>
        <w:tc>
          <w:tcPr>
            <w:tcW w:w="2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3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样件套装</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34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工作对象，含组装套件（关节套件、电机套件）、码垛套件（码垛矩形套件、码垛方形套件），根据实训项目的不同可以单独或组合使用。</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关节套件由3种零件组成，应用时需包含电机套件共同使用，构成总计6种零件的组装套件。</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平面轨迹模块</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平面轨迹模块：铝合金材质，表面喷砂氧化处理制作。实现其循迹描图的多样化，涵盖不少于四种几何图形。整体尺寸（长*宽*高）：≥300mm*340mm*30mm。</w:t>
            </w:r>
          </w:p>
        </w:tc>
        <w:tc>
          <w:tcPr>
            <w:tcW w:w="2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3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平面绘图模块</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34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模块主要由固定底板、平面绘图板、支架、不锈钢拉手等组成。通过操作机器人利用绘图笔工具在绘图纸上进行绘图作业,可以掌握机器人基本的点示教、直线、曲线运动方法。</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立体轨迹模块</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铝合金材质，设置有亚克力板切的多个英文字母，各字母不同颜色，高度差异化。可用于模拟涂胶、焊接等多样化训练，整体尺寸（长*宽*高）：≥300mm*340mm*48mm。</w:t>
            </w:r>
          </w:p>
        </w:tc>
        <w:tc>
          <w:tcPr>
            <w:tcW w:w="2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3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曲面绘图模块</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34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模块主要由固定底板、曲面绘图板、不锈钢拉手等组成，通过操作机器人末端工具在模块曲面绘图板上进行描图作业,可以掌握机器人曲面空间运动方法。</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轨迹多样，可以使用现有轨迹练习，也可自行设计轨迹图片进行更换。</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编码装配模块</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主要由编码平台、编码工件等组成，均为铝合金材质；编码平台依样件形状加工凹槽定位，可固定摆放样件。整体尺寸（长*宽*高）：≥300mm*340mm*30mm。</w:t>
            </w:r>
          </w:p>
        </w:tc>
        <w:tc>
          <w:tcPr>
            <w:tcW w:w="2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3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搬运模块</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34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搬运模块主要由固定底板、不锈钢拉手等组成。</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电机套件各零件对应放在固定底板定位槽内，工业机器人通过选择对应工具，实现不同形状物料的搬运。模块满足平面，阵列，指定编号位置的搬运要求。</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码垛模块</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1.设置两个码垛料仓，每料仓可容纳不少于5个料块。</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2.每个仓位设计磁性底座，便于工件放置及稳固。</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3.配套实训用工件为真实产品，品类不少于两种，实现全自动柔性训练。</w:t>
            </w:r>
          </w:p>
        </w:tc>
        <w:tc>
          <w:tcPr>
            <w:tcW w:w="2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3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码垛模块</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34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机器人通过吸盘工具按要求拾取码垛套件进行码垛任务；码垛套件有长方形和正方形两种，操作者可根据需要选择摆放；可根据需要自由组合码垛出多种形状。</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井式上料模块</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用于储存多种零件，通过气动推头依次推出零件进行供料，模块适配标准电气接口套件。机器人通过数字量输入输出控制，实现料仓监控和推头的控制，完成零件的供料。通过控制该模块可掌握机器人数字IO控制相关技能。</w:t>
            </w:r>
          </w:p>
        </w:tc>
        <w:tc>
          <w:tcPr>
            <w:tcW w:w="2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3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井式上料模块</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34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用于储存多种零件，通过气动推头依次推出零件进行供料，模块适配标准电气接口套件。机器人通过数字量输入输出控制，实现料仓监控和推头的控制，完成零件的供料。通过控制该模块可掌握机器人数字IO控制相关技能。</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立体仓库模块</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1.由铝合金立体仓库与实训工件、支架组成。整体尺寸（长*宽*高）：≥300mm*110mm*540mm。</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2.立体仓库采用两层三列设计；</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3.每个仓位设计磁性底座，便于工件放置及稳固。</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4.配套实训用工件为真实产品，品类不少于两种，实现全自动柔性训练。</w:t>
            </w:r>
          </w:p>
        </w:tc>
        <w:tc>
          <w:tcPr>
            <w:tcW w:w="2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3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立体仓库模块</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34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主要由固定底板、立体仓库、以太网I/O采集模块、不锈钢拉手等组成。</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库位都有检测传感器，通过以太网I/O采集模块，将数据传输给其他设备。工业机器人通过快换工具和库位信息，进行样件的出库入库。</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变频输送模块</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整体外形尺寸860mm ×215mm ×340mm。配圆柱料块下料机构，下料口径36mm。配套输送皮带长700mm,宽60mm。</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变频器：220V 50/60Hz，750W；5位LED显示；启动转矩0.5Hz/100%，调速范围1：50；输入端子：6个数字、2个模拟量；可编程键：命令通道切换/正反转运行/点动运行功能选择/菜单模式切换；参数锁定功能：设置参数只读控制，以防误操作；运行命令通道：操作面板给定、控制端子给定、串行通讯口给定3种通道。</w:t>
            </w:r>
          </w:p>
        </w:tc>
        <w:tc>
          <w:tcPr>
            <w:tcW w:w="2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3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皮带运输模块</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34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皮带输送机由铝合金型材搭建而成，结构简单，美观大方。驱动方式采用单相交流调速电机驱动。</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输送机上安装光电传感器与阻挡装置，用以检测与阻挡工件。调速电机驱动皮带，运输多种零件，传送带可实现启停及调速控制。</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视觉检测系统</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海康威视MV-CS060-10GC</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1.包括工业级智能相机、镜头、视觉控制器、算法平台、连接电缆、补光灯等组成。</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2.算法平台：集成机器视觉多种算法组件，适用多种应用场景，可快速组合算法，实现对工件或被测物的查找、测量、缺陷检测等。具有强大的视觉分析工具库，可简单灵活的搭建机器视觉应用方案，无需编程。</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3.工业相机及镜头：≥600万像素 1/1.8" CMOS 千兆以太网工业相机</w:t>
            </w:r>
          </w:p>
        </w:tc>
        <w:tc>
          <w:tcPr>
            <w:tcW w:w="2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3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视觉检测模块</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sz w:val="21"/>
                <w:szCs w:val="21"/>
              </w:rPr>
              <w:t>康耐视Insight2000C</w:t>
            </w:r>
          </w:p>
        </w:tc>
        <w:tc>
          <w:tcPr>
            <w:tcW w:w="134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模块适配外围控制器套件和标准电气接口套件，检测零件的形状、颜色、坐标等信息，通过以太网和模拟量通道将检测结果发往机器人，配合工业机器人末端单吸盘工具将样件分拣定位抓取，使学生了解机器视觉在机器人控制系统中的应用。模块使用方法多样，教学资源包中的的实训项目提供部分典型应用，用户亦可自主进行应用拓展。</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装配模块</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1.装配模块主体支架采用铝合金制作。配置三个圆柱形固定装配套件，设置有工件卡口，便于装配拧紧工序。设置有工件放置定位销，用于装配工件定位。</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2. 整体尺寸（长*宽*高）：≥450mm*90mm*280mm。</w:t>
            </w:r>
            <w:r>
              <w:rPr>
                <w:rFonts w:hint="eastAsia" w:ascii="仿宋" w:hAnsi="仿宋" w:eastAsia="仿宋" w:cs="仿宋"/>
                <w:color w:val="000000"/>
                <w:kern w:val="0"/>
                <w:sz w:val="21"/>
                <w:szCs w:val="21"/>
                <w:lang w:bidi="ar"/>
              </w:rPr>
              <w:br w:type="textWrapping"/>
            </w:r>
            <w:r>
              <w:rPr>
                <w:rFonts w:hint="eastAsia" w:ascii="仿宋" w:hAnsi="仿宋" w:eastAsia="仿宋" w:cs="仿宋"/>
                <w:color w:val="000000"/>
                <w:kern w:val="0"/>
                <w:sz w:val="21"/>
                <w:szCs w:val="21"/>
                <w:lang w:bidi="ar"/>
              </w:rPr>
              <w:t>3.每个装配套件可至少装配两个工件。</w:t>
            </w:r>
          </w:p>
        </w:tc>
        <w:tc>
          <w:tcPr>
            <w:tcW w:w="2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3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装配模块</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34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可用于部分功能套件的固定和工作对象的固定，工业机器人按照实训要求可对不同套件进行安装，训练对工业机器人精确定位使用的学习。模块适配标准电气接口套件，工业机器人通过数字量对气动夹紧机构进行控制和监控。</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变位机模块</w:t>
            </w:r>
          </w:p>
        </w:tc>
        <w:tc>
          <w:tcPr>
            <w:tcW w:w="28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整体尺寸570mm×220mm×295mm。</w:t>
            </w:r>
          </w:p>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 xml:space="preserve">配置伺服电机：最大转速3000r/min, 输出功率0.6KW。采用伺服驱动一轴旋转变位机，与旋转台上安装气动夹具组成，可用于夹持装配工件、模拟焊接、抛光打磨等各工件，以便机器人协同模拟进行焊接、抛光及装配作业。 </w:t>
            </w:r>
          </w:p>
        </w:tc>
        <w:tc>
          <w:tcPr>
            <w:tcW w:w="2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3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变位机模块</w:t>
            </w:r>
          </w:p>
        </w:tc>
        <w:tc>
          <w:tcPr>
            <w:tcW w:w="3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平台配套</w:t>
            </w:r>
          </w:p>
        </w:tc>
        <w:tc>
          <w:tcPr>
            <w:tcW w:w="134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模块适配外围控制器套件和标准电气接口套件。机器人通过信息交互控制变位机运动，变位机有通用安装接口，可以与其他功能模块组合使用。模块实训可掌握伺服系统在工业机器人中的应用和控制方法。模块使用方法多样，教学资源包中的的实训项目提供部分典型应用，用户亦可自主进行应用拓展。</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righ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10</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软件</w:t>
            </w: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博途</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V16</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PLC编程，用于各种自动化任务，包括控制、监控和可视化等</w:t>
            </w:r>
          </w:p>
        </w:tc>
        <w:tc>
          <w:tcPr>
            <w:tcW w:w="2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r>
              <w:rPr>
                <w:rFonts w:hint="eastAsia" w:ascii="仿宋" w:hAnsi="仿宋" w:eastAsia="仿宋" w:cs="仿宋"/>
                <w:color w:val="000000"/>
                <w:sz w:val="21"/>
                <w:szCs w:val="21"/>
              </w:rPr>
              <w:t>10</w:t>
            </w:r>
          </w:p>
        </w:tc>
        <w:tc>
          <w:tcPr>
            <w:tcW w:w="240"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after="0" w:line="400" w:lineRule="exact"/>
              <w:jc w:val="center"/>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软件</w:t>
            </w:r>
          </w:p>
        </w:tc>
        <w:tc>
          <w:tcPr>
            <w:tcW w:w="3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博途</w:t>
            </w: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V16</w:t>
            </w:r>
          </w:p>
        </w:tc>
        <w:tc>
          <w:tcPr>
            <w:tcW w:w="134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博图 V16 是一款功能强大的工程软件平台。它集成了对西门子多种自动化设备的编程、组态和调试功能。博图 V16 提供了直观高效的编程环境，方便用户进行逻辑控制编程。其界面友好，操作简便，可提高工程效率。该软件支持多种编程语言，能满足不同用户的需求。</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c>
          <w:tcPr>
            <w:tcW w:w="2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视觉算法平台</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VisionMaster4.3.0</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集成机器视觉多种算法组件，适用多种应用场景，可快速组合算法，实现对工件或被测物的查找、测量、缺陷检测等。</w:t>
            </w:r>
          </w:p>
        </w:tc>
        <w:tc>
          <w:tcPr>
            <w:tcW w:w="2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3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视觉软件</w:t>
            </w: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Insight6.1.4</w:t>
            </w:r>
          </w:p>
        </w:tc>
        <w:tc>
          <w:tcPr>
            <w:tcW w:w="134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与硬件视觉配套</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tcBorders>
              <w:top w:val="single" w:color="000000" w:sz="4" w:space="0"/>
              <w:left w:val="single" w:color="000000" w:sz="4" w:space="0"/>
              <w:bottom w:val="single" w:color="auto"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r>
              <w:rPr>
                <w:rFonts w:hint="eastAsia" w:ascii="仿宋" w:hAnsi="仿宋" w:eastAsia="仿宋" w:cs="仿宋"/>
                <w:color w:val="000000"/>
                <w:kern w:val="0"/>
                <w:sz w:val="21"/>
                <w:szCs w:val="21"/>
                <w:lang w:bidi="ar"/>
              </w:rPr>
              <w:t>离线编程与仿真软件</w:t>
            </w:r>
          </w:p>
        </w:tc>
        <w:tc>
          <w:tcPr>
            <w:tcW w:w="253" w:type="pct"/>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ABB</w:t>
            </w:r>
          </w:p>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RobotStudio</w:t>
            </w:r>
          </w:p>
        </w:tc>
        <w:tc>
          <w:tcPr>
            <w:tcW w:w="28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6.08</w:t>
            </w:r>
          </w:p>
        </w:tc>
        <w:tc>
          <w:tcPr>
            <w:tcW w:w="12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仿真软件中的机器人是真实机器人的数字孪生，即机器人库中参数文件与实际机器人一致，内置虚拟示教器与真实示教器界面一致、功能一致、运动算法一致，可控制仿真环境中机器人运动。</w:t>
            </w:r>
          </w:p>
        </w:tc>
        <w:tc>
          <w:tcPr>
            <w:tcW w:w="2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r>
              <w:rPr>
                <w:rFonts w:hint="eastAsia" w:ascii="仿宋" w:hAnsi="仿宋" w:eastAsia="仿宋" w:cs="仿宋"/>
                <w:color w:val="000000"/>
                <w:sz w:val="21"/>
                <w:szCs w:val="21"/>
              </w:rPr>
              <w:t>10</w:t>
            </w:r>
          </w:p>
        </w:tc>
        <w:tc>
          <w:tcPr>
            <w:tcW w:w="240"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jc w:val="center"/>
              <w:rPr>
                <w:rFonts w:ascii="仿宋" w:hAnsi="仿宋" w:eastAsia="仿宋" w:cs="仿宋"/>
                <w:color w:val="000000"/>
                <w:sz w:val="21"/>
                <w:szCs w:val="21"/>
              </w:rPr>
            </w:pPr>
          </w:p>
        </w:tc>
        <w:tc>
          <w:tcPr>
            <w:tcW w:w="30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ABB robot studio</w:t>
            </w:r>
          </w:p>
        </w:tc>
        <w:tc>
          <w:tcPr>
            <w:tcW w:w="30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6.08</w:t>
            </w:r>
          </w:p>
        </w:tc>
        <w:tc>
          <w:tcPr>
            <w:tcW w:w="134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ABB RobotStudio 是一款功能强大的机器人编程与仿真软件。它提供直观的编程环境，方便用户进行机器人程序设计。具有强大的仿真功能，可模拟机器人在实际工作场景中的运动和操作，提前验证程序的正确性和可行性。支持多种 ABB 机器人型号，能满足不同应用需求。软件界面友好，易于操作和学习。可进行离线编程，提高编程效率，减少机器人停机时间。是工业自动化领域中进行机器人编程和仿真的重要工具。</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p>
        </w:tc>
        <w:tc>
          <w:tcPr>
            <w:tcW w:w="2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工具（选手自备）</w:t>
            </w:r>
          </w:p>
        </w:tc>
        <w:tc>
          <w:tcPr>
            <w:tcW w:w="289" w:type="pct"/>
            <w:tcBorders>
              <w:top w:val="single" w:color="000000" w:sz="4" w:space="0"/>
              <w:left w:val="single" w:color="auto"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推荐工具（推荐但不限于）</w:t>
            </w:r>
          </w:p>
        </w:tc>
        <w:tc>
          <w:tcPr>
            <w:tcW w:w="3729"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电工用螺丝刀 一字型 1 把；防滑手套 3M 1 把；壁纸刀 18*100 1 把；电工剪 138mm 1 把；尖嘴钳 7寸 1 把；剥线钳 6寸 1 把；斜口钳 6寸 1 把；万用表 数字式 1 只；9件套公制球头内六角扳手 M1.5-M10 1 套；电工胶布 18*10 1 把；一字螺丝刀 5*75 1 把；一字螺丝刀 3*75 1 把；十字螺丝刀 5*75 1 把；十字螺丝刀 3*75 1 把；螺丝批组 9 件一字/十字 1 套；强力绝缘端子压著钳 9 寸 1 把；欧式端子压著钳 8 寸 1 套；网线钳  把 1；网线测量仪  把 1</w:t>
            </w:r>
            <w:r>
              <w:rPr>
                <w:rFonts w:hint="eastAsia" w:ascii="仿宋" w:hAnsi="仿宋" w:eastAsia="仿宋" w:cs="仿宋"/>
                <w:color w:val="000000"/>
                <w:sz w:val="21"/>
                <w:szCs w:val="21"/>
                <w:lang w:bidi="ar"/>
              </w:rPr>
              <w:t>；</w:t>
            </w:r>
            <w:r>
              <w:rPr>
                <w:rFonts w:hint="eastAsia" w:ascii="仿宋" w:hAnsi="仿宋" w:eastAsia="仿宋" w:cs="仿宋"/>
                <w:color w:val="000000"/>
                <w:kern w:val="0"/>
                <w:sz w:val="21"/>
                <w:szCs w:val="21"/>
                <w:lang w:bidi="ar"/>
              </w:rPr>
              <w:t>活扳手等</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r>
              <w:rPr>
                <w:rFonts w:hint="eastAsia" w:ascii="仿宋" w:hAnsi="仿宋" w:eastAsia="仿宋" w:cs="仿宋"/>
                <w:color w:val="000000"/>
                <w:sz w:val="21"/>
                <w:szCs w:val="21"/>
              </w:rPr>
              <w:t>配套</w:t>
            </w: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p>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b/>
                <w:bCs/>
                <w:sz w:val="21"/>
                <w:szCs w:val="21"/>
              </w:rPr>
              <w:t>技术支持</w:t>
            </w:r>
          </w:p>
        </w:tc>
        <w:tc>
          <w:tcPr>
            <w:tcW w:w="4776" w:type="pct"/>
            <w:gridSpan w:val="10"/>
            <w:tcBorders>
              <w:top w:val="single" w:color="auto" w:sz="4" w:space="0"/>
              <w:left w:val="single" w:color="auto" w:sz="4" w:space="0"/>
              <w:bottom w:val="single" w:color="auto" w:sz="4" w:space="0"/>
              <w:right w:val="single" w:color="000000" w:sz="4" w:space="0"/>
            </w:tcBorders>
            <w:shd w:val="clear" w:color="auto" w:fill="auto"/>
            <w:vAlign w:val="center"/>
          </w:tcPr>
          <w:p>
            <w:pPr>
              <w:tabs>
                <w:tab w:val="left" w:pos="966"/>
              </w:tabs>
              <w:spacing w:after="0" w:line="400" w:lineRule="exact"/>
              <w:rPr>
                <w:rFonts w:ascii="仿宋" w:hAnsi="仿宋" w:eastAsia="仿宋" w:cs="仿宋"/>
                <w:b/>
                <w:bCs/>
                <w:sz w:val="21"/>
                <w:szCs w:val="21"/>
              </w:rPr>
            </w:pPr>
            <w:r>
              <w:rPr>
                <w:rFonts w:hint="eastAsia" w:ascii="仿宋" w:hAnsi="仿宋" w:eastAsia="仿宋" w:cs="仿宋"/>
                <w:b/>
                <w:bCs/>
                <w:sz w:val="21"/>
                <w:szCs w:val="21"/>
              </w:rPr>
              <w:t>一、设备技术保障</w:t>
            </w:r>
          </w:p>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1、竞赛现场组建设备技术保障团队。</w:t>
            </w:r>
          </w:p>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2、赛前，技术保障团队负责各项功能测试验证，多环节确认，保障设备运行稳定。</w:t>
            </w:r>
          </w:p>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3、竞赛现场设备如果出现技术故障，在裁判允许下，技术保障人员进行技术支持。</w:t>
            </w:r>
          </w:p>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4、竞赛软件不支持断电保持，选手需要手动操作内容进行数据保存和备份（如出现意外断电导致程序丢失责任由选手自行承担）。</w:t>
            </w:r>
          </w:p>
          <w:p>
            <w:pPr>
              <w:tabs>
                <w:tab w:val="left" w:pos="966"/>
              </w:tabs>
              <w:spacing w:after="0" w:line="400" w:lineRule="exact"/>
              <w:rPr>
                <w:rFonts w:ascii="仿宋" w:hAnsi="仿宋" w:eastAsia="仿宋" w:cs="仿宋"/>
                <w:b/>
                <w:bCs/>
                <w:sz w:val="21"/>
                <w:szCs w:val="21"/>
              </w:rPr>
            </w:pPr>
            <w:r>
              <w:rPr>
                <w:rFonts w:hint="eastAsia" w:ascii="仿宋" w:hAnsi="仿宋" w:eastAsia="仿宋" w:cs="仿宋"/>
                <w:b/>
                <w:bCs/>
                <w:sz w:val="21"/>
                <w:szCs w:val="21"/>
              </w:rPr>
              <w:t>二、安全操作规范要求</w:t>
            </w:r>
          </w:p>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1、选手安装操作时穿戴好安全帽，绝缘防砸劳保鞋，保护手套；</w:t>
            </w:r>
            <w:r>
              <w:rPr>
                <w:rFonts w:hint="eastAsia" w:ascii="仿宋" w:hAnsi="仿宋" w:eastAsia="仿宋" w:cs="仿宋"/>
                <w:color w:val="000000"/>
                <w:kern w:val="0"/>
                <w:sz w:val="21"/>
                <w:szCs w:val="21"/>
                <w:lang w:bidi="ar"/>
              </w:rPr>
              <w:cr/>
            </w:r>
            <w:r>
              <w:rPr>
                <w:rFonts w:hint="eastAsia" w:ascii="仿宋" w:hAnsi="仿宋" w:eastAsia="仿宋" w:cs="仿宋"/>
                <w:color w:val="000000"/>
                <w:kern w:val="0"/>
                <w:sz w:val="21"/>
                <w:szCs w:val="21"/>
                <w:lang w:bidi="ar"/>
              </w:rPr>
              <w:t>2、信号故障带电查找故障时需佩戴绝缘手套；</w:t>
            </w:r>
            <w:r>
              <w:rPr>
                <w:rFonts w:hint="eastAsia" w:ascii="仿宋" w:hAnsi="仿宋" w:eastAsia="仿宋" w:cs="仿宋"/>
                <w:color w:val="000000"/>
                <w:kern w:val="0"/>
                <w:sz w:val="21"/>
                <w:szCs w:val="21"/>
                <w:lang w:bidi="ar"/>
              </w:rPr>
              <w:cr/>
            </w:r>
            <w:r>
              <w:rPr>
                <w:rFonts w:hint="eastAsia" w:ascii="仿宋" w:hAnsi="仿宋" w:eastAsia="仿宋" w:cs="仿宋"/>
                <w:color w:val="000000"/>
                <w:kern w:val="0"/>
                <w:sz w:val="21"/>
                <w:szCs w:val="21"/>
                <w:lang w:bidi="ar"/>
              </w:rPr>
              <w:t>3、正确使用仪表，带电时禁止使用导通档；</w:t>
            </w:r>
            <w:r>
              <w:rPr>
                <w:rFonts w:hint="eastAsia" w:ascii="仿宋" w:hAnsi="仿宋" w:eastAsia="仿宋" w:cs="仿宋"/>
                <w:color w:val="000000"/>
                <w:kern w:val="0"/>
                <w:sz w:val="21"/>
                <w:szCs w:val="21"/>
                <w:lang w:bidi="ar"/>
              </w:rPr>
              <w:cr/>
            </w:r>
            <w:r>
              <w:rPr>
                <w:rFonts w:hint="eastAsia" w:ascii="仿宋" w:hAnsi="仿宋" w:eastAsia="仿宋" w:cs="仿宋"/>
                <w:color w:val="000000"/>
                <w:kern w:val="0"/>
                <w:sz w:val="21"/>
                <w:szCs w:val="21"/>
                <w:lang w:bidi="ar"/>
              </w:rPr>
              <w:t>4、信号设备故障处理，如需加线验证，需断电；</w:t>
            </w:r>
            <w:r>
              <w:rPr>
                <w:rFonts w:hint="eastAsia" w:ascii="仿宋" w:hAnsi="仿宋" w:eastAsia="仿宋" w:cs="仿宋"/>
                <w:color w:val="000000"/>
                <w:kern w:val="0"/>
                <w:sz w:val="21"/>
                <w:szCs w:val="21"/>
                <w:lang w:bidi="ar"/>
              </w:rPr>
              <w:cr/>
            </w:r>
            <w:r>
              <w:rPr>
                <w:rFonts w:hint="eastAsia" w:ascii="仿宋" w:hAnsi="仿宋" w:eastAsia="仿宋" w:cs="仿宋"/>
                <w:color w:val="000000"/>
                <w:kern w:val="0"/>
                <w:sz w:val="21"/>
                <w:szCs w:val="21"/>
                <w:lang w:bidi="ar"/>
              </w:rPr>
              <w:t>5、确认信号设备故障时，如使用鳄鱼夹导线进行验证时，需确保无短路；</w:t>
            </w:r>
            <w:r>
              <w:rPr>
                <w:rFonts w:hint="eastAsia" w:ascii="仿宋" w:hAnsi="仿宋" w:eastAsia="仿宋" w:cs="仿宋"/>
                <w:color w:val="000000"/>
                <w:kern w:val="0"/>
                <w:sz w:val="21"/>
                <w:szCs w:val="21"/>
                <w:lang w:bidi="ar"/>
              </w:rPr>
              <w:cr/>
            </w:r>
            <w:r>
              <w:rPr>
                <w:rFonts w:hint="eastAsia" w:ascii="仿宋" w:hAnsi="仿宋" w:eastAsia="仿宋" w:cs="仿宋"/>
                <w:color w:val="000000"/>
                <w:kern w:val="0"/>
                <w:sz w:val="21"/>
                <w:szCs w:val="21"/>
                <w:lang w:bidi="ar"/>
              </w:rPr>
              <w:t>6、严禁电脑未关机的情况下，直接断开220V总电源；</w:t>
            </w:r>
          </w:p>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7、严禁视觉控制器未关机的情况下，直接断开设备220V总电源；</w:t>
            </w:r>
          </w:p>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8、严禁使用电动工具。</w:t>
            </w:r>
          </w:p>
          <w:p>
            <w:pPr>
              <w:tabs>
                <w:tab w:val="left" w:pos="966"/>
              </w:tabs>
              <w:spacing w:after="0" w:line="400" w:lineRule="exact"/>
              <w:rPr>
                <w:rFonts w:ascii="仿宋" w:hAnsi="仿宋" w:eastAsia="仿宋" w:cs="仿宋"/>
                <w:b/>
                <w:bCs/>
                <w:color w:val="000000" w:themeColor="text1"/>
                <w:sz w:val="21"/>
                <w:szCs w:val="21"/>
                <w14:textFill>
                  <w14:solidFill>
                    <w14:schemeClr w14:val="tx1"/>
                  </w14:solidFill>
                </w14:textFill>
              </w:rPr>
            </w:pPr>
            <w:r>
              <w:rPr>
                <w:rFonts w:hint="eastAsia" w:ascii="仿宋" w:hAnsi="仿宋" w:eastAsia="仿宋" w:cs="仿宋"/>
                <w:b/>
                <w:bCs/>
                <w:color w:val="000000" w:themeColor="text1"/>
                <w:sz w:val="21"/>
                <w:szCs w:val="21"/>
                <w14:textFill>
                  <w14:solidFill>
                    <w14:schemeClr w14:val="tx1"/>
                  </w14:solidFill>
                </w14:textFill>
              </w:rPr>
              <w:t>三、其他</w:t>
            </w:r>
          </w:p>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1、各学校组织代表队时，为参赛选手及领队人员购买大赛期间的人身意外伤害保险。</w:t>
            </w:r>
          </w:p>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2、各学校代表队组成后，须制定相关管理制度，并对所有选手、领队人员进行安全教育。</w:t>
            </w:r>
          </w:p>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kern w:val="0"/>
                <w:sz w:val="21"/>
                <w:szCs w:val="21"/>
                <w:lang w:bidi="ar"/>
              </w:rPr>
              <w:t>3、比赛期间若发生意外事故，发现者应第一时间报告工作人员，同时采取措施将事故消灭在萌芽状态。</w:t>
            </w:r>
          </w:p>
        </w:tc>
      </w:tr>
      <w:tr>
        <w:tblPrEx>
          <w:tblCellMar>
            <w:top w:w="0" w:type="dxa"/>
            <w:left w:w="108" w:type="dxa"/>
            <w:bottom w:w="0" w:type="dxa"/>
            <w:right w:w="108" w:type="dxa"/>
          </w:tblCellMar>
        </w:tblPrEx>
        <w:tc>
          <w:tcPr>
            <w:tcW w:w="223"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b/>
                <w:bCs/>
                <w:sz w:val="21"/>
                <w:szCs w:val="21"/>
              </w:rPr>
              <w:t>场地及环境</w:t>
            </w:r>
          </w:p>
        </w:tc>
        <w:tc>
          <w:tcPr>
            <w:tcW w:w="4272" w:type="pct"/>
            <w:gridSpan w:val="8"/>
            <w:tcBorders>
              <w:top w:val="single" w:color="auto" w:sz="4" w:space="0"/>
              <w:left w:val="single" w:color="auto" w:sz="4" w:space="0"/>
              <w:bottom w:val="single" w:color="auto"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1、场地面积约550平方米，竞赛工位共设置20个工位，工位地面平整、明亮、通风。场地采光大于500lux，照明和通风良好，提供稳定的水、电，以及应急备用电源。场地符合消防安全规定，现场消防器材和消防栓合格有效，应急照明设施状态合格，赛场明显位置张贴紧急疏散图。并有醒目的“安全出口”指示牌。</w:t>
            </w:r>
          </w:p>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2、区域安排：竞赛场地划分为检录区、竞赛区、裁判区、现场服务与技术支持区、休息区等区域。</w:t>
            </w:r>
          </w:p>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3、设备配置：竞赛场地配备计时装置。每个工位配备带有漏电保护装置的220V（16A）单相交流电源、灭火器以及带录音功能的视频摄像装置，竞赛全程录音录像。</w:t>
            </w:r>
          </w:p>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4、竞赛场地配备专业的医疗人员，配备应急设备和药品，以确保能够及时、有效地进行医疗救治；</w:t>
            </w:r>
          </w:p>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5、赛场采用网线、交换机搭建局域网络，保障网络稳定性。准备备用交换机、网线，应对突发网络问题。</w:t>
            </w:r>
          </w:p>
          <w:p>
            <w:pPr>
              <w:widowControl/>
              <w:spacing w:after="0" w:line="400" w:lineRule="exact"/>
              <w:jc w:val="left"/>
              <w:textAlignment w:val="center"/>
              <w:rPr>
                <w:rFonts w:ascii="仿宋" w:hAnsi="仿宋" w:eastAsia="仿宋" w:cs="仿宋"/>
                <w:color w:val="000000"/>
                <w:kern w:val="0"/>
                <w:sz w:val="21"/>
                <w:szCs w:val="21"/>
                <w:lang w:bidi="ar"/>
              </w:rPr>
            </w:pPr>
            <w:r>
              <w:rPr>
                <w:rFonts w:hint="eastAsia" w:ascii="仿宋" w:hAnsi="仿宋" w:eastAsia="仿宋" w:cs="仿宋"/>
                <w:color w:val="000000"/>
                <w:kern w:val="0"/>
                <w:sz w:val="21"/>
                <w:szCs w:val="21"/>
                <w:lang w:bidi="ar"/>
              </w:rPr>
              <w:t>6、自带设备安装区域条件：5米乘7米，包含单相三线220V电源。</w:t>
            </w:r>
          </w:p>
        </w:tc>
        <w:tc>
          <w:tcPr>
            <w:tcW w:w="2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c>
          <w:tcPr>
            <w:tcW w:w="2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spacing w:after="0" w:line="400" w:lineRule="exact"/>
              <w:rPr>
                <w:rFonts w:ascii="仿宋" w:hAnsi="仿宋" w:eastAsia="仿宋" w:cs="仿宋"/>
                <w:color w:val="000000"/>
                <w:sz w:val="21"/>
                <w:szCs w:val="21"/>
              </w:rPr>
            </w:pPr>
          </w:p>
        </w:tc>
      </w:tr>
      <w:tr>
        <w:tblPrEx>
          <w:tblCellMar>
            <w:top w:w="0" w:type="dxa"/>
            <w:left w:w="108" w:type="dxa"/>
            <w:bottom w:w="0" w:type="dxa"/>
            <w:right w:w="108" w:type="dxa"/>
          </w:tblCellMar>
        </w:tblPrEx>
        <w:tc>
          <w:tcPr>
            <w:tcW w:w="223"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sz w:val="21"/>
                <w:szCs w:val="21"/>
              </w:rPr>
              <w:t>其他</w:t>
            </w:r>
          </w:p>
        </w:tc>
        <w:tc>
          <w:tcPr>
            <w:tcW w:w="4776" w:type="pct"/>
            <w:gridSpan w:val="10"/>
            <w:tcBorders>
              <w:top w:val="single" w:color="auto" w:sz="4" w:space="0"/>
              <w:left w:val="single" w:color="auto" w:sz="4" w:space="0"/>
              <w:bottom w:val="single" w:color="auto" w:sz="4" w:space="0"/>
              <w:right w:val="single" w:color="000000" w:sz="4" w:space="0"/>
            </w:tcBorders>
            <w:shd w:val="clear" w:color="auto" w:fill="auto"/>
            <w:vAlign w:val="center"/>
          </w:tcPr>
          <w:p>
            <w:pPr>
              <w:widowControl/>
              <w:spacing w:after="0" w:line="400" w:lineRule="exact"/>
              <w:jc w:val="left"/>
              <w:textAlignment w:val="center"/>
              <w:rPr>
                <w:rFonts w:ascii="仿宋" w:hAnsi="仿宋" w:eastAsia="仿宋" w:cs="仿宋"/>
                <w:color w:val="000000"/>
                <w:sz w:val="21"/>
                <w:szCs w:val="21"/>
              </w:rPr>
            </w:pPr>
            <w:r>
              <w:rPr>
                <w:rFonts w:hint="eastAsia" w:ascii="仿宋" w:hAnsi="仿宋" w:eastAsia="仿宋" w:cs="仿宋"/>
                <w:color w:val="000000"/>
                <w:sz w:val="21"/>
                <w:szCs w:val="21"/>
              </w:rPr>
              <w:t>无</w:t>
            </w:r>
          </w:p>
        </w:tc>
      </w:tr>
    </w:tbl>
    <w:p>
      <w:pPr>
        <w:pStyle w:val="7"/>
        <w:ind w:left="0" w:leftChars="0"/>
        <w:sectPr>
          <w:pgSz w:w="16838" w:h="11906" w:orient="landscape"/>
          <w:pgMar w:top="1361" w:right="1361" w:bottom="1361" w:left="1361" w:header="1134" w:footer="850" w:gutter="0"/>
          <w:cols w:space="0" w:num="1"/>
          <w:titlePg/>
          <w:docGrid w:type="lines" w:linePitch="587" w:charSpace="0"/>
        </w:sectPr>
      </w:pPr>
    </w:p>
    <w:p>
      <w:pPr>
        <w:autoSpaceDN w:val="0"/>
        <w:spacing w:line="240" w:lineRule="auto"/>
        <w:jc w:val="left"/>
        <w:rPr>
          <w:rFonts w:ascii="黑体" w:hAnsi="黑体" w:eastAsia="黑体"/>
          <w:sz w:val="32"/>
          <w:szCs w:val="32"/>
        </w:rPr>
      </w:pPr>
      <w:r>
        <w:rPr>
          <w:rFonts w:hint="eastAsia" w:ascii="黑体" w:hAnsi="黑体" w:eastAsia="黑体"/>
          <w:sz w:val="32"/>
          <w:szCs w:val="32"/>
        </w:rPr>
        <w:t>附件3</w:t>
      </w:r>
    </w:p>
    <w:p>
      <w:pPr>
        <w:keepNext w:val="0"/>
        <w:keepLines w:val="0"/>
        <w:pageBreakBefore w:val="0"/>
        <w:widowControl w:val="0"/>
        <w:kinsoku/>
        <w:wordWrap/>
        <w:overflowPunct/>
        <w:topLinePunct w:val="0"/>
        <w:autoSpaceDE/>
        <w:autoSpaceDN/>
        <w:bidi w:val="0"/>
        <w:adjustRightInd/>
        <w:snapToGrid w:val="0"/>
        <w:spacing w:after="0" w:line="60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参赛学校自带设备清单及赛场环境要求</w:t>
      </w:r>
    </w:p>
    <w:p>
      <w:pPr>
        <w:keepNext w:val="0"/>
        <w:keepLines w:val="0"/>
        <w:pageBreakBefore w:val="0"/>
        <w:widowControl w:val="0"/>
        <w:kinsoku/>
        <w:wordWrap/>
        <w:overflowPunct/>
        <w:topLinePunct w:val="0"/>
        <w:autoSpaceDE/>
        <w:autoSpaceDN/>
        <w:bidi w:val="0"/>
        <w:adjustRightInd/>
        <w:snapToGrid w:val="0"/>
        <w:spacing w:after="0" w:line="60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确认信息（模板）</w:t>
      </w:r>
    </w:p>
    <w:tbl>
      <w:tblPr>
        <w:tblStyle w:val="13"/>
        <w:tblW w:w="92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3"/>
        <w:gridCol w:w="1382"/>
        <w:gridCol w:w="1085"/>
        <w:gridCol w:w="298"/>
        <w:gridCol w:w="1383"/>
        <w:gridCol w:w="786"/>
        <w:gridCol w:w="597"/>
        <w:gridCol w:w="18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13" w:type="dxa"/>
            <w:vAlign w:val="center"/>
          </w:tcPr>
          <w:p>
            <w:pPr>
              <w:spacing w:line="240" w:lineRule="auto"/>
              <w:jc w:val="center"/>
              <w:rPr>
                <w:rFonts w:ascii="仿宋_GB2312"/>
                <w:b/>
                <w:bCs/>
                <w:sz w:val="28"/>
                <w:szCs w:val="28"/>
              </w:rPr>
            </w:pPr>
            <w:r>
              <w:rPr>
                <w:rFonts w:hint="eastAsia" w:ascii="仿宋_GB2312"/>
                <w:b/>
                <w:bCs/>
                <w:sz w:val="28"/>
                <w:szCs w:val="28"/>
              </w:rPr>
              <w:t>参赛校</w:t>
            </w:r>
          </w:p>
        </w:tc>
        <w:tc>
          <w:tcPr>
            <w:tcW w:w="7402" w:type="dxa"/>
            <w:gridSpan w:val="7"/>
            <w:vAlign w:val="center"/>
          </w:tcPr>
          <w:p>
            <w:pPr>
              <w:spacing w:line="240" w:lineRule="auto"/>
              <w:jc w:val="center"/>
              <w:rPr>
                <w:rFonts w:ascii="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1813" w:type="dxa"/>
            <w:vAlign w:val="center"/>
          </w:tcPr>
          <w:p>
            <w:pPr>
              <w:spacing w:line="240" w:lineRule="auto"/>
              <w:jc w:val="center"/>
              <w:rPr>
                <w:rFonts w:ascii="仿宋_GB2312"/>
                <w:b/>
                <w:bCs/>
                <w:sz w:val="28"/>
                <w:szCs w:val="28"/>
              </w:rPr>
            </w:pPr>
            <w:r>
              <w:rPr>
                <w:rFonts w:hint="eastAsia" w:ascii="仿宋_GB2312"/>
                <w:b/>
                <w:bCs/>
                <w:sz w:val="28"/>
                <w:szCs w:val="28"/>
              </w:rPr>
              <w:t>所属赛道</w:t>
            </w:r>
          </w:p>
        </w:tc>
        <w:tc>
          <w:tcPr>
            <w:tcW w:w="2467" w:type="dxa"/>
            <w:gridSpan w:val="2"/>
            <w:vAlign w:val="center"/>
          </w:tcPr>
          <w:p>
            <w:pPr>
              <w:spacing w:line="240" w:lineRule="auto"/>
              <w:jc w:val="center"/>
              <w:rPr>
                <w:rFonts w:ascii="仿宋_GB2312"/>
                <w:sz w:val="28"/>
                <w:szCs w:val="28"/>
              </w:rPr>
            </w:pPr>
          </w:p>
        </w:tc>
        <w:tc>
          <w:tcPr>
            <w:tcW w:w="2467" w:type="dxa"/>
            <w:gridSpan w:val="3"/>
            <w:vAlign w:val="center"/>
          </w:tcPr>
          <w:p>
            <w:pPr>
              <w:spacing w:line="240" w:lineRule="auto"/>
              <w:jc w:val="center"/>
              <w:rPr>
                <w:rFonts w:ascii="仿宋_GB2312"/>
                <w:sz w:val="28"/>
                <w:szCs w:val="28"/>
              </w:rPr>
            </w:pPr>
            <w:r>
              <w:rPr>
                <w:rFonts w:hint="eastAsia" w:ascii="仿宋_GB2312"/>
                <w:sz w:val="28"/>
                <w:szCs w:val="28"/>
              </w:rPr>
              <w:t>组别</w:t>
            </w:r>
          </w:p>
        </w:tc>
        <w:tc>
          <w:tcPr>
            <w:tcW w:w="2468" w:type="dxa"/>
            <w:gridSpan w:val="2"/>
            <w:vAlign w:val="center"/>
          </w:tcPr>
          <w:p>
            <w:pPr>
              <w:spacing w:line="240" w:lineRule="auto"/>
              <w:jc w:val="center"/>
              <w:rPr>
                <w:rFonts w:ascii="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jc w:val="center"/>
        </w:trPr>
        <w:tc>
          <w:tcPr>
            <w:tcW w:w="1813" w:type="dxa"/>
            <w:vAlign w:val="center"/>
          </w:tcPr>
          <w:p>
            <w:pPr>
              <w:spacing w:line="240" w:lineRule="auto"/>
              <w:jc w:val="center"/>
              <w:rPr>
                <w:rFonts w:ascii="仿宋_GB2312"/>
                <w:b/>
                <w:bCs/>
                <w:sz w:val="28"/>
                <w:szCs w:val="28"/>
              </w:rPr>
            </w:pPr>
            <w:r>
              <w:rPr>
                <w:rFonts w:hint="eastAsia" w:ascii="仿宋_GB2312"/>
                <w:b/>
                <w:bCs/>
                <w:sz w:val="28"/>
                <w:szCs w:val="28"/>
              </w:rPr>
              <w:t>自带设备</w:t>
            </w:r>
          </w:p>
        </w:tc>
        <w:tc>
          <w:tcPr>
            <w:tcW w:w="1382" w:type="dxa"/>
            <w:vAlign w:val="center"/>
          </w:tcPr>
          <w:p>
            <w:pPr>
              <w:spacing w:line="240" w:lineRule="auto"/>
              <w:jc w:val="center"/>
              <w:rPr>
                <w:rFonts w:ascii="仿宋_GB2312"/>
                <w:b/>
                <w:bCs/>
                <w:sz w:val="28"/>
                <w:szCs w:val="28"/>
              </w:rPr>
            </w:pPr>
            <w:r>
              <w:rPr>
                <w:rFonts w:hint="eastAsia" w:ascii="仿宋_GB2312"/>
                <w:b/>
                <w:bCs/>
                <w:sz w:val="28"/>
                <w:szCs w:val="28"/>
              </w:rPr>
              <w:t>名称</w:t>
            </w:r>
          </w:p>
        </w:tc>
        <w:tc>
          <w:tcPr>
            <w:tcW w:w="1383" w:type="dxa"/>
            <w:gridSpan w:val="2"/>
            <w:vAlign w:val="center"/>
          </w:tcPr>
          <w:p>
            <w:pPr>
              <w:spacing w:line="240" w:lineRule="auto"/>
              <w:jc w:val="center"/>
              <w:rPr>
                <w:rFonts w:ascii="仿宋_GB2312"/>
                <w:b/>
                <w:bCs/>
                <w:sz w:val="28"/>
                <w:szCs w:val="28"/>
              </w:rPr>
            </w:pPr>
            <w:r>
              <w:rPr>
                <w:rFonts w:hint="eastAsia" w:ascii="仿宋_GB2312"/>
                <w:b/>
                <w:bCs/>
                <w:sz w:val="28"/>
                <w:szCs w:val="28"/>
              </w:rPr>
              <w:t>型号</w:t>
            </w:r>
          </w:p>
        </w:tc>
        <w:tc>
          <w:tcPr>
            <w:tcW w:w="1383" w:type="dxa"/>
            <w:vAlign w:val="center"/>
          </w:tcPr>
          <w:p>
            <w:pPr>
              <w:spacing w:line="240" w:lineRule="auto"/>
              <w:jc w:val="center"/>
              <w:rPr>
                <w:rFonts w:ascii="仿宋_GB2312"/>
                <w:b/>
                <w:bCs/>
                <w:sz w:val="28"/>
                <w:szCs w:val="28"/>
              </w:rPr>
            </w:pPr>
            <w:r>
              <w:rPr>
                <w:rFonts w:hint="eastAsia" w:ascii="仿宋_GB2312"/>
                <w:b/>
                <w:bCs/>
                <w:sz w:val="28"/>
                <w:szCs w:val="28"/>
              </w:rPr>
              <w:t>主要技术参数</w:t>
            </w:r>
          </w:p>
        </w:tc>
        <w:tc>
          <w:tcPr>
            <w:tcW w:w="1383" w:type="dxa"/>
            <w:gridSpan w:val="2"/>
            <w:vAlign w:val="center"/>
          </w:tcPr>
          <w:p>
            <w:pPr>
              <w:spacing w:line="240" w:lineRule="auto"/>
              <w:jc w:val="center"/>
              <w:rPr>
                <w:rFonts w:ascii="仿宋_GB2312"/>
                <w:b/>
                <w:bCs/>
                <w:sz w:val="28"/>
                <w:szCs w:val="28"/>
              </w:rPr>
            </w:pPr>
            <w:r>
              <w:rPr>
                <w:rFonts w:hint="eastAsia" w:ascii="仿宋_GB2312"/>
                <w:b/>
                <w:bCs/>
                <w:sz w:val="28"/>
                <w:szCs w:val="28"/>
              </w:rPr>
              <w:t>台套数</w:t>
            </w:r>
          </w:p>
        </w:tc>
        <w:tc>
          <w:tcPr>
            <w:tcW w:w="1871" w:type="dxa"/>
            <w:vAlign w:val="center"/>
          </w:tcPr>
          <w:p>
            <w:pPr>
              <w:spacing w:line="240" w:lineRule="auto"/>
              <w:jc w:val="center"/>
              <w:rPr>
                <w:rFonts w:ascii="仿宋_GB2312"/>
                <w:b/>
                <w:bCs/>
                <w:sz w:val="28"/>
                <w:szCs w:val="28"/>
              </w:rPr>
            </w:pPr>
            <w:r>
              <w:rPr>
                <w:rFonts w:hint="eastAsia" w:ascii="仿宋_GB2312"/>
                <w:b/>
                <w:bCs/>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jc w:val="center"/>
        </w:trPr>
        <w:tc>
          <w:tcPr>
            <w:tcW w:w="1813" w:type="dxa"/>
            <w:vAlign w:val="center"/>
          </w:tcPr>
          <w:p>
            <w:pPr>
              <w:spacing w:line="240" w:lineRule="auto"/>
              <w:jc w:val="center"/>
              <w:rPr>
                <w:rFonts w:ascii="仿宋_GB2312"/>
                <w:b/>
                <w:bCs/>
                <w:sz w:val="28"/>
                <w:szCs w:val="28"/>
              </w:rPr>
            </w:pPr>
            <w:r>
              <w:rPr>
                <w:rFonts w:hint="eastAsia" w:ascii="仿宋_GB2312"/>
                <w:b/>
                <w:bCs/>
                <w:sz w:val="28"/>
                <w:szCs w:val="28"/>
              </w:rPr>
              <w:t>硬件</w:t>
            </w:r>
          </w:p>
        </w:tc>
        <w:tc>
          <w:tcPr>
            <w:tcW w:w="1382" w:type="dxa"/>
            <w:vAlign w:val="center"/>
          </w:tcPr>
          <w:p>
            <w:pPr>
              <w:spacing w:line="240" w:lineRule="auto"/>
              <w:jc w:val="center"/>
              <w:rPr>
                <w:rFonts w:ascii="仿宋_GB2312"/>
                <w:sz w:val="28"/>
                <w:szCs w:val="28"/>
              </w:rPr>
            </w:pPr>
          </w:p>
        </w:tc>
        <w:tc>
          <w:tcPr>
            <w:tcW w:w="1383" w:type="dxa"/>
            <w:gridSpan w:val="2"/>
            <w:vAlign w:val="center"/>
          </w:tcPr>
          <w:p>
            <w:pPr>
              <w:spacing w:line="240" w:lineRule="auto"/>
              <w:jc w:val="center"/>
              <w:rPr>
                <w:rFonts w:ascii="仿宋_GB2312"/>
                <w:sz w:val="28"/>
                <w:szCs w:val="28"/>
              </w:rPr>
            </w:pPr>
          </w:p>
        </w:tc>
        <w:tc>
          <w:tcPr>
            <w:tcW w:w="1383" w:type="dxa"/>
            <w:vAlign w:val="center"/>
          </w:tcPr>
          <w:p>
            <w:pPr>
              <w:spacing w:line="240" w:lineRule="auto"/>
              <w:jc w:val="center"/>
              <w:rPr>
                <w:rFonts w:ascii="仿宋_GB2312"/>
                <w:sz w:val="28"/>
                <w:szCs w:val="28"/>
              </w:rPr>
            </w:pPr>
          </w:p>
        </w:tc>
        <w:tc>
          <w:tcPr>
            <w:tcW w:w="1383" w:type="dxa"/>
            <w:gridSpan w:val="2"/>
            <w:vAlign w:val="center"/>
          </w:tcPr>
          <w:p>
            <w:pPr>
              <w:spacing w:line="240" w:lineRule="auto"/>
              <w:jc w:val="center"/>
              <w:rPr>
                <w:rFonts w:ascii="仿宋_GB2312"/>
                <w:sz w:val="28"/>
                <w:szCs w:val="28"/>
              </w:rPr>
            </w:pPr>
          </w:p>
        </w:tc>
        <w:tc>
          <w:tcPr>
            <w:tcW w:w="1871" w:type="dxa"/>
            <w:vAlign w:val="center"/>
          </w:tcPr>
          <w:p>
            <w:pPr>
              <w:spacing w:line="240" w:lineRule="auto"/>
              <w:jc w:val="center"/>
              <w:rPr>
                <w:rFonts w:ascii="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jc w:val="center"/>
        </w:trPr>
        <w:tc>
          <w:tcPr>
            <w:tcW w:w="1813" w:type="dxa"/>
            <w:vAlign w:val="center"/>
          </w:tcPr>
          <w:p>
            <w:pPr>
              <w:spacing w:line="240" w:lineRule="auto"/>
              <w:jc w:val="center"/>
              <w:rPr>
                <w:rFonts w:ascii="仿宋_GB2312"/>
                <w:b/>
                <w:bCs/>
                <w:sz w:val="28"/>
                <w:szCs w:val="28"/>
              </w:rPr>
            </w:pPr>
            <w:r>
              <w:rPr>
                <w:rFonts w:hint="eastAsia" w:ascii="仿宋_GB2312"/>
                <w:b/>
                <w:bCs/>
                <w:sz w:val="28"/>
                <w:szCs w:val="28"/>
              </w:rPr>
              <w:t>软件</w:t>
            </w:r>
          </w:p>
        </w:tc>
        <w:tc>
          <w:tcPr>
            <w:tcW w:w="1382" w:type="dxa"/>
            <w:vAlign w:val="center"/>
          </w:tcPr>
          <w:p>
            <w:pPr>
              <w:spacing w:line="240" w:lineRule="auto"/>
              <w:jc w:val="center"/>
              <w:rPr>
                <w:rFonts w:ascii="仿宋_GB2312"/>
                <w:sz w:val="28"/>
                <w:szCs w:val="28"/>
              </w:rPr>
            </w:pPr>
          </w:p>
        </w:tc>
        <w:tc>
          <w:tcPr>
            <w:tcW w:w="1383" w:type="dxa"/>
            <w:gridSpan w:val="2"/>
            <w:vAlign w:val="center"/>
          </w:tcPr>
          <w:p>
            <w:pPr>
              <w:spacing w:line="240" w:lineRule="auto"/>
              <w:jc w:val="center"/>
              <w:rPr>
                <w:rFonts w:ascii="仿宋_GB2312"/>
                <w:sz w:val="28"/>
                <w:szCs w:val="28"/>
              </w:rPr>
            </w:pPr>
          </w:p>
        </w:tc>
        <w:tc>
          <w:tcPr>
            <w:tcW w:w="1383" w:type="dxa"/>
            <w:vAlign w:val="center"/>
          </w:tcPr>
          <w:p>
            <w:pPr>
              <w:spacing w:line="240" w:lineRule="auto"/>
              <w:jc w:val="center"/>
              <w:rPr>
                <w:rFonts w:ascii="仿宋_GB2312"/>
                <w:sz w:val="28"/>
                <w:szCs w:val="28"/>
              </w:rPr>
            </w:pPr>
          </w:p>
        </w:tc>
        <w:tc>
          <w:tcPr>
            <w:tcW w:w="1383" w:type="dxa"/>
            <w:gridSpan w:val="2"/>
            <w:vAlign w:val="center"/>
          </w:tcPr>
          <w:p>
            <w:pPr>
              <w:spacing w:line="240" w:lineRule="auto"/>
              <w:jc w:val="center"/>
              <w:rPr>
                <w:rFonts w:ascii="仿宋_GB2312"/>
                <w:sz w:val="28"/>
                <w:szCs w:val="28"/>
              </w:rPr>
            </w:pPr>
          </w:p>
        </w:tc>
        <w:tc>
          <w:tcPr>
            <w:tcW w:w="1871" w:type="dxa"/>
            <w:vAlign w:val="center"/>
          </w:tcPr>
          <w:p>
            <w:pPr>
              <w:spacing w:line="240" w:lineRule="auto"/>
              <w:jc w:val="center"/>
              <w:rPr>
                <w:rFonts w:ascii="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1813" w:type="dxa"/>
            <w:vAlign w:val="center"/>
          </w:tcPr>
          <w:p>
            <w:pPr>
              <w:spacing w:line="240" w:lineRule="auto"/>
              <w:jc w:val="center"/>
              <w:rPr>
                <w:rFonts w:ascii="仿宋_GB2312"/>
                <w:b/>
                <w:bCs/>
                <w:sz w:val="28"/>
                <w:szCs w:val="28"/>
              </w:rPr>
            </w:pPr>
            <w:r>
              <w:rPr>
                <w:rFonts w:hint="eastAsia" w:ascii="仿宋_GB2312"/>
                <w:b/>
                <w:bCs/>
                <w:sz w:val="28"/>
                <w:szCs w:val="28"/>
              </w:rPr>
              <w:t>工具</w:t>
            </w:r>
          </w:p>
        </w:tc>
        <w:tc>
          <w:tcPr>
            <w:tcW w:w="1382" w:type="dxa"/>
            <w:vAlign w:val="center"/>
          </w:tcPr>
          <w:p>
            <w:pPr>
              <w:spacing w:line="240" w:lineRule="auto"/>
              <w:jc w:val="center"/>
              <w:rPr>
                <w:rFonts w:ascii="仿宋_GB2312"/>
                <w:sz w:val="28"/>
                <w:szCs w:val="28"/>
              </w:rPr>
            </w:pPr>
          </w:p>
        </w:tc>
        <w:tc>
          <w:tcPr>
            <w:tcW w:w="1383" w:type="dxa"/>
            <w:gridSpan w:val="2"/>
            <w:vAlign w:val="center"/>
          </w:tcPr>
          <w:p>
            <w:pPr>
              <w:spacing w:line="240" w:lineRule="auto"/>
              <w:jc w:val="center"/>
              <w:rPr>
                <w:rFonts w:ascii="仿宋_GB2312"/>
                <w:sz w:val="28"/>
                <w:szCs w:val="28"/>
              </w:rPr>
            </w:pPr>
          </w:p>
        </w:tc>
        <w:tc>
          <w:tcPr>
            <w:tcW w:w="1383" w:type="dxa"/>
            <w:vAlign w:val="center"/>
          </w:tcPr>
          <w:p>
            <w:pPr>
              <w:spacing w:line="240" w:lineRule="auto"/>
              <w:jc w:val="center"/>
              <w:rPr>
                <w:rFonts w:ascii="仿宋_GB2312"/>
                <w:sz w:val="28"/>
                <w:szCs w:val="28"/>
              </w:rPr>
            </w:pPr>
          </w:p>
        </w:tc>
        <w:tc>
          <w:tcPr>
            <w:tcW w:w="1383" w:type="dxa"/>
            <w:gridSpan w:val="2"/>
            <w:vAlign w:val="center"/>
          </w:tcPr>
          <w:p>
            <w:pPr>
              <w:spacing w:line="240" w:lineRule="auto"/>
              <w:jc w:val="center"/>
              <w:rPr>
                <w:rFonts w:ascii="仿宋_GB2312"/>
                <w:sz w:val="28"/>
                <w:szCs w:val="28"/>
              </w:rPr>
            </w:pPr>
          </w:p>
        </w:tc>
        <w:tc>
          <w:tcPr>
            <w:tcW w:w="1871" w:type="dxa"/>
            <w:vAlign w:val="center"/>
          </w:tcPr>
          <w:p>
            <w:pPr>
              <w:spacing w:line="240" w:lineRule="auto"/>
              <w:jc w:val="center"/>
              <w:rPr>
                <w:rFonts w:ascii="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jc w:val="center"/>
        </w:trPr>
        <w:tc>
          <w:tcPr>
            <w:tcW w:w="1813" w:type="dxa"/>
            <w:vAlign w:val="center"/>
          </w:tcPr>
          <w:p>
            <w:pPr>
              <w:spacing w:line="240" w:lineRule="auto"/>
              <w:jc w:val="center"/>
              <w:rPr>
                <w:rFonts w:ascii="仿宋_GB2312"/>
                <w:b/>
                <w:bCs/>
                <w:sz w:val="28"/>
                <w:szCs w:val="28"/>
              </w:rPr>
            </w:pPr>
            <w:r>
              <w:rPr>
                <w:rFonts w:hint="eastAsia" w:ascii="仿宋_GB2312"/>
                <w:b/>
                <w:bCs/>
                <w:sz w:val="28"/>
                <w:szCs w:val="28"/>
              </w:rPr>
              <w:t>……</w:t>
            </w:r>
          </w:p>
        </w:tc>
        <w:tc>
          <w:tcPr>
            <w:tcW w:w="1382" w:type="dxa"/>
            <w:vAlign w:val="center"/>
          </w:tcPr>
          <w:p>
            <w:pPr>
              <w:spacing w:line="240" w:lineRule="auto"/>
              <w:jc w:val="center"/>
              <w:rPr>
                <w:rFonts w:ascii="仿宋_GB2312"/>
                <w:sz w:val="28"/>
                <w:szCs w:val="28"/>
              </w:rPr>
            </w:pPr>
          </w:p>
        </w:tc>
        <w:tc>
          <w:tcPr>
            <w:tcW w:w="1383" w:type="dxa"/>
            <w:gridSpan w:val="2"/>
            <w:vAlign w:val="center"/>
          </w:tcPr>
          <w:p>
            <w:pPr>
              <w:spacing w:line="240" w:lineRule="auto"/>
              <w:jc w:val="center"/>
              <w:rPr>
                <w:rFonts w:ascii="仿宋_GB2312"/>
                <w:sz w:val="28"/>
                <w:szCs w:val="28"/>
              </w:rPr>
            </w:pPr>
          </w:p>
        </w:tc>
        <w:tc>
          <w:tcPr>
            <w:tcW w:w="1383" w:type="dxa"/>
            <w:vAlign w:val="center"/>
          </w:tcPr>
          <w:p>
            <w:pPr>
              <w:spacing w:line="240" w:lineRule="auto"/>
              <w:jc w:val="center"/>
              <w:rPr>
                <w:rFonts w:ascii="仿宋_GB2312"/>
                <w:sz w:val="28"/>
                <w:szCs w:val="28"/>
              </w:rPr>
            </w:pPr>
          </w:p>
        </w:tc>
        <w:tc>
          <w:tcPr>
            <w:tcW w:w="1383" w:type="dxa"/>
            <w:gridSpan w:val="2"/>
            <w:vAlign w:val="center"/>
          </w:tcPr>
          <w:p>
            <w:pPr>
              <w:spacing w:line="240" w:lineRule="auto"/>
              <w:jc w:val="center"/>
              <w:rPr>
                <w:rFonts w:ascii="仿宋_GB2312"/>
                <w:sz w:val="28"/>
                <w:szCs w:val="28"/>
              </w:rPr>
            </w:pPr>
          </w:p>
        </w:tc>
        <w:tc>
          <w:tcPr>
            <w:tcW w:w="1871" w:type="dxa"/>
            <w:vAlign w:val="center"/>
          </w:tcPr>
          <w:p>
            <w:pPr>
              <w:spacing w:line="240" w:lineRule="auto"/>
              <w:jc w:val="center"/>
              <w:rPr>
                <w:rFonts w:ascii="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9" w:hRule="atLeast"/>
          <w:jc w:val="center"/>
        </w:trPr>
        <w:tc>
          <w:tcPr>
            <w:tcW w:w="1813" w:type="dxa"/>
            <w:vAlign w:val="center"/>
          </w:tcPr>
          <w:p>
            <w:pPr>
              <w:spacing w:line="240" w:lineRule="auto"/>
              <w:jc w:val="center"/>
              <w:rPr>
                <w:rFonts w:ascii="仿宋_GB2312"/>
                <w:b/>
                <w:bCs/>
                <w:sz w:val="28"/>
                <w:szCs w:val="28"/>
              </w:rPr>
            </w:pPr>
            <w:r>
              <w:rPr>
                <w:rFonts w:hint="eastAsia" w:ascii="仿宋_GB2312"/>
                <w:b/>
                <w:bCs/>
                <w:sz w:val="28"/>
                <w:szCs w:val="28"/>
              </w:rPr>
              <w:t>技术支持</w:t>
            </w:r>
          </w:p>
        </w:tc>
        <w:tc>
          <w:tcPr>
            <w:tcW w:w="7402" w:type="dxa"/>
            <w:gridSpan w:val="7"/>
            <w:vAlign w:val="center"/>
          </w:tcPr>
          <w:p>
            <w:pPr>
              <w:spacing w:line="240" w:lineRule="auto"/>
              <w:rPr>
                <w:rFonts w:ascii="仿宋_GB2312"/>
                <w:sz w:val="28"/>
                <w:szCs w:val="28"/>
              </w:rPr>
            </w:pPr>
            <w:r>
              <w:rPr>
                <w:rFonts w:hint="eastAsia" w:ascii="仿宋_GB2312"/>
                <w:sz w:val="28"/>
                <w:szCs w:val="28"/>
              </w:rPr>
              <w:t>（情况概述包括设备技术保障、安全操作要求等）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4" w:hRule="atLeast"/>
          <w:jc w:val="center"/>
        </w:trPr>
        <w:tc>
          <w:tcPr>
            <w:tcW w:w="1813" w:type="dxa"/>
            <w:vAlign w:val="center"/>
          </w:tcPr>
          <w:p>
            <w:pPr>
              <w:spacing w:line="240" w:lineRule="auto"/>
              <w:jc w:val="center"/>
              <w:rPr>
                <w:rFonts w:ascii="仿宋_GB2312"/>
                <w:b/>
                <w:bCs/>
                <w:sz w:val="28"/>
                <w:szCs w:val="28"/>
              </w:rPr>
            </w:pPr>
            <w:r>
              <w:rPr>
                <w:rFonts w:hint="eastAsia" w:ascii="仿宋_GB2312"/>
                <w:b/>
                <w:bCs/>
                <w:sz w:val="28"/>
                <w:szCs w:val="28"/>
              </w:rPr>
              <w:t>场地及环境</w:t>
            </w:r>
          </w:p>
          <w:p>
            <w:pPr>
              <w:spacing w:line="240" w:lineRule="auto"/>
              <w:jc w:val="center"/>
              <w:rPr>
                <w:rFonts w:ascii="仿宋_GB2312"/>
                <w:b/>
                <w:bCs/>
                <w:sz w:val="28"/>
                <w:szCs w:val="28"/>
              </w:rPr>
            </w:pPr>
            <w:r>
              <w:rPr>
                <w:rFonts w:hint="eastAsia" w:ascii="仿宋_GB2312"/>
                <w:b/>
                <w:bCs/>
                <w:sz w:val="28"/>
                <w:szCs w:val="28"/>
              </w:rPr>
              <w:t>要求</w:t>
            </w:r>
          </w:p>
        </w:tc>
        <w:tc>
          <w:tcPr>
            <w:tcW w:w="7402" w:type="dxa"/>
            <w:gridSpan w:val="7"/>
          </w:tcPr>
          <w:p>
            <w:pPr>
              <w:spacing w:line="240" w:lineRule="auto"/>
              <w:jc w:val="left"/>
              <w:rPr>
                <w:rFonts w:ascii="仿宋_GB2312"/>
                <w:sz w:val="28"/>
                <w:szCs w:val="28"/>
              </w:rPr>
            </w:pPr>
            <w:r>
              <w:rPr>
                <w:rFonts w:hint="eastAsia" w:ascii="仿宋_GB2312"/>
                <w:sz w:val="28"/>
                <w:szCs w:val="28"/>
              </w:rPr>
              <w:t>（场地、承重、水、气、电、网等）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1" w:hRule="atLeast"/>
          <w:jc w:val="center"/>
        </w:trPr>
        <w:tc>
          <w:tcPr>
            <w:tcW w:w="1813" w:type="dxa"/>
            <w:vAlign w:val="center"/>
          </w:tcPr>
          <w:p>
            <w:pPr>
              <w:spacing w:line="240" w:lineRule="auto"/>
              <w:jc w:val="center"/>
              <w:rPr>
                <w:rFonts w:hint="eastAsia" w:ascii="仿宋_GB2312" w:eastAsia="仿宋_GB2312"/>
                <w:b/>
                <w:bCs/>
                <w:sz w:val="28"/>
                <w:szCs w:val="28"/>
                <w:lang w:eastAsia="zh-CN"/>
              </w:rPr>
            </w:pPr>
            <w:r>
              <w:rPr>
                <w:rFonts w:hint="eastAsia" w:ascii="仿宋_GB2312"/>
                <w:b/>
                <w:bCs/>
                <w:sz w:val="28"/>
                <w:szCs w:val="28"/>
                <w:lang w:eastAsia="zh-CN"/>
              </w:rPr>
              <w:t>其他</w:t>
            </w:r>
          </w:p>
        </w:tc>
        <w:tc>
          <w:tcPr>
            <w:tcW w:w="7402" w:type="dxa"/>
            <w:gridSpan w:val="7"/>
          </w:tcPr>
          <w:p>
            <w:pPr>
              <w:spacing w:line="240" w:lineRule="auto"/>
              <w:jc w:val="left"/>
              <w:rPr>
                <w:rFonts w:hint="eastAsia" w:ascii="仿宋_GB2312"/>
                <w:sz w:val="28"/>
                <w:szCs w:val="28"/>
              </w:rPr>
            </w:pPr>
            <w:bookmarkStart w:id="7" w:name="_GoBack"/>
            <w:bookmarkEnd w:id="7"/>
          </w:p>
        </w:tc>
      </w:tr>
    </w:tbl>
    <w:p>
      <w:pPr>
        <w:widowControl/>
        <w:spacing w:line="240" w:lineRule="auto"/>
        <w:jc w:val="left"/>
        <w:rPr>
          <w:rFonts w:ascii="黑体" w:hAnsi="黑体" w:eastAsia="黑体"/>
          <w:sz w:val="32"/>
          <w:szCs w:val="32"/>
        </w:rPr>
      </w:pPr>
      <w:r>
        <w:rPr>
          <w:rFonts w:hint="eastAsia" w:ascii="黑体" w:hAnsi="黑体" w:eastAsia="黑体"/>
          <w:sz w:val="32"/>
          <w:szCs w:val="32"/>
        </w:rPr>
        <w:br w:type="page"/>
      </w:r>
      <w:r>
        <w:rPr>
          <w:rFonts w:hint="eastAsia" w:ascii="黑体" w:hAnsi="黑体" w:eastAsia="黑体"/>
          <w:sz w:val="32"/>
          <w:szCs w:val="32"/>
        </w:rPr>
        <w:t>附件4</w:t>
      </w:r>
    </w:p>
    <w:p>
      <w:pPr>
        <w:keepNext w:val="0"/>
        <w:keepLines w:val="0"/>
        <w:pageBreakBefore w:val="0"/>
        <w:widowControl w:val="0"/>
        <w:kinsoku/>
        <w:wordWrap/>
        <w:overflowPunct/>
        <w:topLinePunct w:val="0"/>
        <w:autoSpaceDE/>
        <w:autoSpaceDN/>
        <w:bidi w:val="0"/>
        <w:adjustRightInd/>
        <w:snapToGrid w:val="0"/>
        <w:spacing w:after="0" w:line="600" w:lineRule="exact"/>
        <w:jc w:val="center"/>
        <w:textAlignment w:val="auto"/>
        <w:rPr>
          <w:rFonts w:hint="eastAsia" w:ascii="方正小标宋_GBK" w:hAnsi="方正小标宋_GBK" w:eastAsia="方正小标宋_GBK" w:cs="方正小标宋_GBK"/>
          <w:sz w:val="44"/>
          <w:szCs w:val="44"/>
        </w:rPr>
      </w:pPr>
    </w:p>
    <w:p>
      <w:pPr>
        <w:keepNext w:val="0"/>
        <w:keepLines w:val="0"/>
        <w:pageBreakBefore w:val="0"/>
        <w:widowControl w:val="0"/>
        <w:kinsoku/>
        <w:wordWrap/>
        <w:overflowPunct/>
        <w:topLinePunct w:val="0"/>
        <w:autoSpaceDE/>
        <w:autoSpaceDN/>
        <w:bidi w:val="0"/>
        <w:adjustRightInd/>
        <w:snapToGrid w:val="0"/>
        <w:spacing w:after="0" w:line="60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参赛学校与承办学校就自带设备协商后确认书</w:t>
      </w:r>
    </w:p>
    <w:p>
      <w:pPr>
        <w:keepNext w:val="0"/>
        <w:keepLines w:val="0"/>
        <w:pageBreakBefore w:val="0"/>
        <w:widowControl w:val="0"/>
        <w:kinsoku/>
        <w:wordWrap/>
        <w:overflowPunct/>
        <w:topLinePunct w:val="0"/>
        <w:autoSpaceDE/>
        <w:autoSpaceDN/>
        <w:bidi w:val="0"/>
        <w:adjustRightInd/>
        <w:snapToGrid w:val="0"/>
        <w:spacing w:after="0" w:line="60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（模板）</w:t>
      </w:r>
    </w:p>
    <w:p>
      <w:pPr>
        <w:pStyle w:val="3"/>
        <w:spacing w:after="0" w:line="240" w:lineRule="auto"/>
        <w:rPr>
          <w:rFonts w:hint="eastAsia" w:ascii="仿宋" w:hAnsi="仿宋" w:cs="仿宋"/>
          <w:color w:val="000000" w:themeColor="text1"/>
          <w:sz w:val="28"/>
          <w:szCs w:val="28"/>
          <w14:textFill>
            <w14:solidFill>
              <w14:schemeClr w14:val="tx1"/>
            </w14:solidFill>
          </w14:textFill>
        </w:rPr>
      </w:pPr>
    </w:p>
    <w:p>
      <w:pPr>
        <w:pStyle w:val="3"/>
        <w:spacing w:after="0" w:line="240" w:lineRule="auto"/>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甲方：（承办学校）</w:t>
      </w:r>
    </w:p>
    <w:p>
      <w:pPr>
        <w:pStyle w:val="3"/>
        <w:spacing w:after="0" w:line="240" w:lineRule="auto"/>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乙方：（参赛队所在学校）</w:t>
      </w:r>
    </w:p>
    <w:p>
      <w:pPr>
        <w:pStyle w:val="3"/>
        <w:spacing w:after="0" w:line="240" w:lineRule="auto"/>
        <w:ind w:firstLine="601"/>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乙方参加XXX组别XXX赛道XXXX小组比赛。在比赛过程中，决定自带比赛设备，现与甲方协商沟通后，确定以下事宜。</w:t>
      </w:r>
    </w:p>
    <w:p>
      <w:pPr>
        <w:pStyle w:val="3"/>
        <w:spacing w:after="0" w:line="240" w:lineRule="auto"/>
        <w:ind w:firstLine="601"/>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一、需要甲方提供</w:t>
      </w:r>
    </w:p>
    <w:p>
      <w:pPr>
        <w:pStyle w:val="3"/>
        <w:spacing w:after="0" w:line="240" w:lineRule="auto"/>
        <w:ind w:firstLine="601"/>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（一）场地（包括：工位的面积、水、电、气、网、照明、场地承重等环境要求及实时录像要求等）</w:t>
      </w:r>
    </w:p>
    <w:p>
      <w:pPr>
        <w:pStyle w:val="3"/>
        <w:spacing w:after="0" w:line="240" w:lineRule="auto"/>
        <w:ind w:firstLine="601"/>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（二）设备进场对接（包括：进场时间、撤离时间；安装、调试等需要承办学校的配合及帮助事项等）</w:t>
      </w:r>
    </w:p>
    <w:p>
      <w:pPr>
        <w:pStyle w:val="3"/>
        <w:spacing w:after="0" w:line="240" w:lineRule="auto"/>
        <w:ind w:firstLine="601"/>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（三）开赛前的设备封存要求</w:t>
      </w:r>
    </w:p>
    <w:p>
      <w:pPr>
        <w:pStyle w:val="3"/>
        <w:spacing w:after="0" w:line="240" w:lineRule="auto"/>
        <w:ind w:firstLine="601"/>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……（其他）</w:t>
      </w:r>
    </w:p>
    <w:p>
      <w:pPr>
        <w:pStyle w:val="3"/>
        <w:spacing w:after="0" w:line="240" w:lineRule="auto"/>
        <w:ind w:firstLine="601"/>
        <w:rPr>
          <w:rFonts w:ascii="仿宋" w:hAnsi="仿宋" w:cs="仿宋"/>
          <w:color w:val="000000" w:themeColor="text1"/>
          <w:sz w:val="28"/>
          <w:szCs w:val="28"/>
          <w14:textFill>
            <w14:solidFill>
              <w14:schemeClr w14:val="tx1"/>
            </w14:solidFill>
          </w14:textFill>
        </w:rPr>
      </w:pPr>
    </w:p>
    <w:p>
      <w:pPr>
        <w:pStyle w:val="3"/>
        <w:spacing w:after="0" w:line="240" w:lineRule="auto"/>
        <w:ind w:firstLine="601"/>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二、乙方须自行承担</w:t>
      </w:r>
    </w:p>
    <w:p>
      <w:pPr>
        <w:pStyle w:val="3"/>
        <w:spacing w:after="0" w:line="240" w:lineRule="auto"/>
        <w:ind w:firstLine="601"/>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（一）进场设备清单</w:t>
      </w:r>
    </w:p>
    <w:p>
      <w:pPr>
        <w:pStyle w:val="3"/>
        <w:spacing w:after="0" w:line="240" w:lineRule="auto"/>
        <w:ind w:firstLine="601"/>
        <w:rPr>
          <w:rFonts w:ascii="仿宋" w:hAnsi="仿宋" w:cs="仿宋"/>
          <w:color w:val="000000" w:themeColor="text1"/>
          <w:sz w:val="28"/>
          <w:szCs w:val="28"/>
          <w14:textFill>
            <w14:solidFill>
              <w14:schemeClr w14:val="tx1"/>
            </w14:solidFill>
          </w14:textFill>
        </w:rPr>
      </w:pPr>
    </w:p>
    <w:p>
      <w:pPr>
        <w:pStyle w:val="3"/>
        <w:spacing w:after="0" w:line="240" w:lineRule="auto"/>
        <w:ind w:firstLine="601"/>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（二）设备的往来运输</w:t>
      </w:r>
    </w:p>
    <w:p>
      <w:pPr>
        <w:pStyle w:val="3"/>
        <w:spacing w:after="0" w:line="240" w:lineRule="auto"/>
        <w:ind w:firstLine="601"/>
        <w:rPr>
          <w:rFonts w:ascii="仿宋" w:hAnsi="仿宋" w:cs="仿宋"/>
          <w:color w:val="000000" w:themeColor="text1"/>
          <w:sz w:val="28"/>
          <w:szCs w:val="28"/>
          <w14:textFill>
            <w14:solidFill>
              <w14:schemeClr w14:val="tx1"/>
            </w14:solidFill>
          </w14:textFill>
        </w:rPr>
      </w:pPr>
    </w:p>
    <w:p>
      <w:pPr>
        <w:pStyle w:val="3"/>
        <w:spacing w:after="0" w:line="240" w:lineRule="auto"/>
        <w:ind w:firstLine="601"/>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（三）设备的安装、调试</w:t>
      </w:r>
    </w:p>
    <w:p>
      <w:pPr>
        <w:pStyle w:val="3"/>
        <w:spacing w:after="0" w:line="240" w:lineRule="auto"/>
        <w:ind w:firstLine="601"/>
        <w:rPr>
          <w:rFonts w:ascii="仿宋" w:hAnsi="仿宋" w:cs="仿宋"/>
          <w:color w:val="000000" w:themeColor="text1"/>
          <w:sz w:val="28"/>
          <w:szCs w:val="28"/>
          <w14:textFill>
            <w14:solidFill>
              <w14:schemeClr w14:val="tx1"/>
            </w14:solidFill>
          </w14:textFill>
        </w:rPr>
      </w:pPr>
    </w:p>
    <w:p>
      <w:pPr>
        <w:pStyle w:val="3"/>
        <w:spacing w:after="0" w:line="240" w:lineRule="auto"/>
        <w:ind w:firstLine="601"/>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（四）设备现场保障及技术支持等</w:t>
      </w:r>
    </w:p>
    <w:p>
      <w:pPr>
        <w:pStyle w:val="3"/>
        <w:spacing w:after="0" w:line="240" w:lineRule="auto"/>
        <w:ind w:firstLine="601"/>
        <w:rPr>
          <w:rFonts w:ascii="仿宋" w:hAnsi="仿宋" w:cs="仿宋"/>
          <w:color w:val="000000" w:themeColor="text1"/>
          <w:sz w:val="28"/>
          <w:szCs w:val="28"/>
          <w14:textFill>
            <w14:solidFill>
              <w14:schemeClr w14:val="tx1"/>
            </w14:solidFill>
          </w14:textFill>
        </w:rPr>
      </w:pPr>
    </w:p>
    <w:p>
      <w:pPr>
        <w:pStyle w:val="3"/>
        <w:spacing w:after="0" w:line="240" w:lineRule="auto"/>
        <w:ind w:firstLine="601"/>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（五）工位上所需材料</w:t>
      </w:r>
    </w:p>
    <w:p>
      <w:pPr>
        <w:pStyle w:val="3"/>
        <w:spacing w:after="0" w:line="240" w:lineRule="auto"/>
        <w:ind w:firstLine="601"/>
        <w:rPr>
          <w:rFonts w:ascii="仿宋" w:hAnsi="仿宋" w:cs="仿宋"/>
          <w:color w:val="000000" w:themeColor="text1"/>
          <w:sz w:val="28"/>
          <w:szCs w:val="28"/>
          <w14:textFill>
            <w14:solidFill>
              <w14:schemeClr w14:val="tx1"/>
            </w14:solidFill>
          </w14:textFill>
        </w:rPr>
      </w:pPr>
    </w:p>
    <w:p>
      <w:pPr>
        <w:pStyle w:val="3"/>
        <w:spacing w:after="0" w:line="240" w:lineRule="auto"/>
        <w:ind w:firstLine="601"/>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（六）……（其他）</w:t>
      </w:r>
    </w:p>
    <w:p>
      <w:pPr>
        <w:pStyle w:val="3"/>
        <w:spacing w:after="0" w:line="240" w:lineRule="auto"/>
        <w:rPr>
          <w:rFonts w:ascii="仿宋" w:hAnsi="仿宋" w:cs="仿宋"/>
          <w:color w:val="000000" w:themeColor="text1"/>
          <w:sz w:val="28"/>
          <w:szCs w:val="28"/>
          <w14:textFill>
            <w14:solidFill>
              <w14:schemeClr w14:val="tx1"/>
            </w14:solidFill>
          </w14:textFill>
        </w:rPr>
      </w:pPr>
    </w:p>
    <w:p>
      <w:pPr>
        <w:pStyle w:val="3"/>
        <w:spacing w:after="0" w:line="240" w:lineRule="auto"/>
        <w:ind w:firstLine="601"/>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三、其他商议确定的事项</w:t>
      </w:r>
    </w:p>
    <w:p>
      <w:pPr>
        <w:pStyle w:val="3"/>
        <w:spacing w:after="0" w:line="240" w:lineRule="auto"/>
        <w:ind w:firstLine="601"/>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……（根据实际双方自行协商确定，包括设备使用安全等内容）</w:t>
      </w:r>
    </w:p>
    <w:p>
      <w:pPr>
        <w:pStyle w:val="3"/>
        <w:spacing w:after="0" w:line="240" w:lineRule="auto"/>
        <w:ind w:firstLine="601"/>
        <w:rPr>
          <w:rFonts w:ascii="仿宋" w:hAnsi="仿宋" w:cs="仿宋"/>
          <w:color w:val="000000" w:themeColor="text1"/>
          <w:sz w:val="28"/>
          <w:szCs w:val="28"/>
          <w14:textFill>
            <w14:solidFill>
              <w14:schemeClr w14:val="tx1"/>
            </w14:solidFill>
          </w14:textFill>
        </w:rPr>
      </w:pPr>
    </w:p>
    <w:p>
      <w:pPr>
        <w:pStyle w:val="3"/>
        <w:spacing w:after="0" w:line="240" w:lineRule="auto"/>
        <w:ind w:firstLine="601"/>
        <w:rPr>
          <w:rFonts w:ascii="仿宋" w:hAnsi="仿宋" w:cs="仿宋"/>
          <w:color w:val="000000" w:themeColor="text1"/>
          <w:sz w:val="28"/>
          <w:szCs w:val="28"/>
          <w14:textFill>
            <w14:solidFill>
              <w14:schemeClr w14:val="tx1"/>
            </w14:solidFill>
          </w14:textFill>
        </w:rPr>
      </w:pPr>
    </w:p>
    <w:p>
      <w:pPr>
        <w:pStyle w:val="3"/>
        <w:spacing w:after="0" w:line="240" w:lineRule="auto"/>
        <w:ind w:firstLine="601"/>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 xml:space="preserve"> 甲方：                        乙方：              </w:t>
      </w:r>
    </w:p>
    <w:p>
      <w:pPr>
        <w:pStyle w:val="3"/>
        <w:spacing w:after="0" w:line="240" w:lineRule="auto"/>
        <w:ind w:firstLine="601"/>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（盖章）                       （盖章）</w:t>
      </w:r>
    </w:p>
    <w:p>
      <w:pPr>
        <w:pStyle w:val="3"/>
        <w:spacing w:after="0" w:line="240" w:lineRule="auto"/>
        <w:ind w:firstLine="601"/>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法定代表人/代表：              法定代表人/代表</w:t>
      </w:r>
    </w:p>
    <w:p>
      <w:pPr>
        <w:pStyle w:val="3"/>
        <w:spacing w:after="0" w:line="240" w:lineRule="auto"/>
        <w:ind w:firstLine="601"/>
        <w:rPr>
          <w:rFonts w:ascii="仿宋" w:hAnsi="仿宋" w:cs="仿宋"/>
          <w:color w:val="000000" w:themeColor="text1"/>
          <w:sz w:val="28"/>
          <w:szCs w:val="28"/>
          <w14:textFill>
            <w14:solidFill>
              <w14:schemeClr w14:val="tx1"/>
            </w14:solidFill>
          </w14:textFill>
        </w:rPr>
      </w:pPr>
      <w:r>
        <w:rPr>
          <w:rFonts w:hint="eastAsia" w:ascii="仿宋" w:hAnsi="仿宋" w:cs="仿宋"/>
          <w:color w:val="000000" w:themeColor="text1"/>
          <w:sz w:val="28"/>
          <w:szCs w:val="28"/>
          <w14:textFill>
            <w14:solidFill>
              <w14:schemeClr w14:val="tx1"/>
            </w14:solidFill>
          </w14:textFill>
        </w:rPr>
        <w:t>时间：2024年    月    日      时间：2024年   月   日</w:t>
      </w:r>
    </w:p>
    <w:p>
      <w:pPr>
        <w:spacing w:line="240" w:lineRule="auto"/>
      </w:pPr>
      <w:r>
        <w:br w:type="page"/>
      </w:r>
    </w:p>
    <w:p>
      <w:pPr>
        <w:widowControl/>
        <w:spacing w:line="240" w:lineRule="auto"/>
        <w:jc w:val="left"/>
        <w:rPr>
          <w:rFonts w:ascii="黑体" w:hAnsi="黑体" w:eastAsia="黑体"/>
          <w:sz w:val="32"/>
          <w:szCs w:val="32"/>
        </w:rPr>
      </w:pPr>
      <w:r>
        <w:rPr>
          <w:rFonts w:hint="eastAsia" w:ascii="黑体" w:hAnsi="黑体" w:eastAsia="黑体"/>
          <w:sz w:val="32"/>
          <w:szCs w:val="32"/>
        </w:rPr>
        <w:t>附件5</w:t>
      </w:r>
    </w:p>
    <w:p>
      <w:pPr>
        <w:keepNext w:val="0"/>
        <w:keepLines w:val="0"/>
        <w:pageBreakBefore w:val="0"/>
        <w:widowControl w:val="0"/>
        <w:kinsoku/>
        <w:wordWrap/>
        <w:overflowPunct/>
        <w:topLinePunct w:val="0"/>
        <w:autoSpaceDE/>
        <w:autoSpaceDN/>
        <w:bidi w:val="0"/>
        <w:adjustRightInd/>
        <w:snapToGrid w:val="0"/>
        <w:spacing w:after="0" w:line="60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2024年河南省高等职业教育技能大赛</w:t>
      </w:r>
    </w:p>
    <w:p>
      <w:pPr>
        <w:keepNext w:val="0"/>
        <w:keepLines w:val="0"/>
        <w:pageBreakBefore w:val="0"/>
        <w:widowControl w:val="0"/>
        <w:kinsoku/>
        <w:wordWrap/>
        <w:overflowPunct/>
        <w:topLinePunct w:val="0"/>
        <w:autoSpaceDE/>
        <w:autoSpaceDN/>
        <w:bidi w:val="0"/>
        <w:adjustRightInd/>
        <w:snapToGrid w:val="0"/>
        <w:spacing w:after="0" w:line="60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工业机器人操作与运维赛项评分要素</w:t>
      </w:r>
    </w:p>
    <w:tbl>
      <w:tblPr>
        <w:tblStyle w:val="13"/>
        <w:tblW w:w="4972" w:type="pct"/>
        <w:tblInd w:w="-2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6"/>
        <w:gridCol w:w="2762"/>
        <w:gridCol w:w="4937"/>
        <w:gridCol w:w="8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5"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hint="eastAsia" w:ascii="方正黑体_GBK" w:hAnsi="方正黑体_GBK" w:eastAsia="方正黑体_GBK" w:cs="方正黑体_GBK"/>
                <w:b w:val="0"/>
                <w:bCs w:val="0"/>
                <w:color w:val="000000" w:themeColor="text1"/>
                <w:sz w:val="24"/>
                <w:szCs w:val="24"/>
                <w14:textFill>
                  <w14:solidFill>
                    <w14:schemeClr w14:val="tx1"/>
                  </w14:solidFill>
                </w14:textFill>
              </w:rPr>
            </w:pPr>
            <w:r>
              <w:rPr>
                <w:rFonts w:hint="eastAsia" w:ascii="方正黑体_GBK" w:hAnsi="方正黑体_GBK" w:eastAsia="方正黑体_GBK" w:cs="方正黑体_GBK"/>
                <w:b w:val="0"/>
                <w:bCs w:val="0"/>
                <w:color w:val="000000" w:themeColor="text1"/>
                <w:sz w:val="24"/>
                <w:szCs w:val="24"/>
                <w14:textFill>
                  <w14:solidFill>
                    <w14:schemeClr w14:val="tx1"/>
                  </w14:solidFill>
                </w14:textFill>
              </w:rPr>
              <w:t>序号</w:t>
            </w:r>
          </w:p>
        </w:tc>
        <w:tc>
          <w:tcPr>
            <w:tcW w:w="1477"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hint="eastAsia" w:ascii="方正黑体_GBK" w:hAnsi="方正黑体_GBK" w:eastAsia="方正黑体_GBK" w:cs="方正黑体_GBK"/>
                <w:b w:val="0"/>
                <w:bCs w:val="0"/>
                <w:color w:val="000000" w:themeColor="text1"/>
                <w:sz w:val="24"/>
                <w:szCs w:val="24"/>
                <w14:textFill>
                  <w14:solidFill>
                    <w14:schemeClr w14:val="tx1"/>
                  </w14:solidFill>
                </w14:textFill>
              </w:rPr>
            </w:pPr>
            <w:r>
              <w:rPr>
                <w:rFonts w:hint="eastAsia" w:ascii="方正黑体_GBK" w:hAnsi="方正黑体_GBK" w:eastAsia="方正黑体_GBK" w:cs="方正黑体_GBK"/>
                <w:b w:val="0"/>
                <w:bCs w:val="0"/>
                <w:color w:val="000000" w:themeColor="text1"/>
                <w:sz w:val="24"/>
                <w:szCs w:val="24"/>
                <w14:textFill>
                  <w14:solidFill>
                    <w14:schemeClr w14:val="tx1"/>
                  </w14:solidFill>
                </w14:textFill>
              </w:rPr>
              <w:t>模块</w:t>
            </w:r>
          </w:p>
        </w:tc>
        <w:tc>
          <w:tcPr>
            <w:tcW w:w="2640"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hint="eastAsia" w:ascii="方正黑体_GBK" w:hAnsi="方正黑体_GBK" w:eastAsia="方正黑体_GBK" w:cs="方正黑体_GBK"/>
                <w:b w:val="0"/>
                <w:bCs w:val="0"/>
                <w:color w:val="000000" w:themeColor="text1"/>
                <w:sz w:val="24"/>
                <w:szCs w:val="24"/>
                <w14:textFill>
                  <w14:solidFill>
                    <w14:schemeClr w14:val="tx1"/>
                  </w14:solidFill>
                </w14:textFill>
              </w:rPr>
            </w:pPr>
            <w:r>
              <w:rPr>
                <w:rFonts w:hint="eastAsia" w:ascii="方正黑体_GBK" w:hAnsi="方正黑体_GBK" w:eastAsia="方正黑体_GBK" w:cs="方正黑体_GBK"/>
                <w:b w:val="0"/>
                <w:bCs w:val="0"/>
                <w:color w:val="000000" w:themeColor="text1"/>
                <w:sz w:val="24"/>
                <w:szCs w:val="24"/>
                <w14:textFill>
                  <w14:solidFill>
                    <w14:schemeClr w14:val="tx1"/>
                  </w14:solidFill>
                </w14:textFill>
              </w:rPr>
              <w:t>任务</w:t>
            </w:r>
          </w:p>
        </w:tc>
        <w:tc>
          <w:tcPr>
            <w:tcW w:w="466"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hint="eastAsia" w:ascii="方正黑体_GBK" w:hAnsi="方正黑体_GBK" w:eastAsia="方正黑体_GBK" w:cs="方正黑体_GBK"/>
                <w:b w:val="0"/>
                <w:bCs w:val="0"/>
                <w:color w:val="000000" w:themeColor="text1"/>
                <w:sz w:val="24"/>
                <w:szCs w:val="24"/>
                <w14:textFill>
                  <w14:solidFill>
                    <w14:schemeClr w14:val="tx1"/>
                  </w14:solidFill>
                </w14:textFill>
              </w:rPr>
            </w:pPr>
            <w:r>
              <w:rPr>
                <w:rFonts w:hint="eastAsia" w:ascii="方正黑体_GBK" w:hAnsi="方正黑体_GBK" w:eastAsia="方正黑体_GBK" w:cs="方正黑体_GBK"/>
                <w:b w:val="0"/>
                <w:bCs w:val="0"/>
                <w:color w:val="000000" w:themeColor="text1"/>
                <w:sz w:val="24"/>
                <w:szCs w:val="24"/>
                <w14:textFill>
                  <w14:solidFill>
                    <w14:schemeClr w14:val="tx1"/>
                  </w14:solidFill>
                </w14:textFill>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5" w:type="pct"/>
            <w:vMerge w:val="restar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sz w:val="24"/>
                <w:szCs w:val="24"/>
              </w:rPr>
            </w:pPr>
            <w:r>
              <w:rPr>
                <w:rFonts w:hint="eastAsia"/>
                <w:sz w:val="24"/>
                <w:szCs w:val="24"/>
              </w:rPr>
              <w:t>1</w:t>
            </w:r>
          </w:p>
        </w:tc>
        <w:tc>
          <w:tcPr>
            <w:tcW w:w="1477" w:type="pct"/>
            <w:vMerge w:val="restar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模块一：</w:t>
            </w:r>
          </w:p>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工业</w:t>
            </w:r>
            <w:r>
              <w:rPr>
                <w:rFonts w:hint="eastAsia" w:ascii="仿宋" w:hAnsi="仿宋" w:eastAsia="仿宋" w:cs="仿宋"/>
                <w:color w:val="000000" w:themeColor="text1"/>
                <w:sz w:val="24"/>
                <w:szCs w:val="24"/>
                <w14:textFill>
                  <w14:solidFill>
                    <w14:schemeClr w14:val="tx1"/>
                  </w14:solidFill>
                </w14:textFill>
              </w:rPr>
              <w:t>机器人系统安装与调试（15分）</w:t>
            </w:r>
          </w:p>
        </w:tc>
        <w:tc>
          <w:tcPr>
            <w:tcW w:w="2640" w:type="pct"/>
            <w:tcBorders>
              <w:top w:val="single" w:color="auto" w:sz="4" w:space="0"/>
              <w:left w:val="single" w:color="auto" w:sz="4" w:space="0"/>
              <w:bottom w:val="single" w:color="auto" w:sz="4" w:space="0"/>
              <w:right w:val="single" w:color="auto" w:sz="4" w:space="0"/>
            </w:tcBorders>
            <w:vAlign w:val="center"/>
          </w:tcPr>
          <w:p>
            <w:pPr>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1.机械系统装调</w:t>
            </w:r>
          </w:p>
        </w:tc>
        <w:tc>
          <w:tcPr>
            <w:tcW w:w="466"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5"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center"/>
              <w:rPr>
                <w:sz w:val="24"/>
                <w:szCs w:val="24"/>
              </w:rPr>
            </w:pPr>
          </w:p>
        </w:tc>
        <w:tc>
          <w:tcPr>
            <w:tcW w:w="1477"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640" w:type="pct"/>
            <w:tcBorders>
              <w:top w:val="single" w:color="auto" w:sz="4" w:space="0"/>
              <w:left w:val="single" w:color="auto" w:sz="4" w:space="0"/>
              <w:bottom w:val="single" w:color="auto" w:sz="4" w:space="0"/>
              <w:right w:val="single" w:color="auto" w:sz="4" w:space="0"/>
            </w:tcBorders>
            <w:vAlign w:val="center"/>
          </w:tcPr>
          <w:p>
            <w:pPr>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2.电气系统装调</w:t>
            </w:r>
          </w:p>
        </w:tc>
        <w:tc>
          <w:tcPr>
            <w:tcW w:w="466"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5"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center"/>
              <w:rPr>
                <w:sz w:val="24"/>
                <w:szCs w:val="24"/>
              </w:rPr>
            </w:pPr>
          </w:p>
        </w:tc>
        <w:tc>
          <w:tcPr>
            <w:tcW w:w="1477"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640" w:type="pct"/>
            <w:tcBorders>
              <w:top w:val="single" w:color="auto" w:sz="4" w:space="0"/>
              <w:left w:val="single" w:color="auto" w:sz="4" w:space="0"/>
              <w:bottom w:val="single" w:color="auto" w:sz="4" w:space="0"/>
              <w:right w:val="single" w:color="auto" w:sz="4" w:space="0"/>
            </w:tcBorders>
            <w:vAlign w:val="center"/>
          </w:tcPr>
          <w:p>
            <w:pPr>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3.系统验证与测试</w:t>
            </w:r>
          </w:p>
        </w:tc>
        <w:tc>
          <w:tcPr>
            <w:tcW w:w="466"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5" w:type="pct"/>
            <w:vMerge w:val="restar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sz w:val="24"/>
                <w:szCs w:val="24"/>
              </w:rPr>
            </w:pPr>
            <w:r>
              <w:rPr>
                <w:rFonts w:hint="eastAsia"/>
                <w:sz w:val="24"/>
                <w:szCs w:val="24"/>
              </w:rPr>
              <w:t>2</w:t>
            </w:r>
          </w:p>
        </w:tc>
        <w:tc>
          <w:tcPr>
            <w:tcW w:w="1477" w:type="pct"/>
            <w:vMerge w:val="restar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模块二：</w:t>
            </w:r>
          </w:p>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工业</w:t>
            </w:r>
            <w:r>
              <w:rPr>
                <w:rFonts w:hint="eastAsia" w:ascii="仿宋" w:hAnsi="仿宋" w:eastAsia="仿宋" w:cs="仿宋"/>
                <w:color w:val="000000" w:themeColor="text1"/>
                <w:sz w:val="24"/>
                <w:szCs w:val="24"/>
                <w14:textFill>
                  <w14:solidFill>
                    <w14:schemeClr w14:val="tx1"/>
                  </w14:solidFill>
                </w14:textFill>
              </w:rPr>
              <w:t>机器人系统运维与保养（15分）</w:t>
            </w:r>
          </w:p>
        </w:tc>
        <w:tc>
          <w:tcPr>
            <w:tcW w:w="2640" w:type="pct"/>
            <w:tcBorders>
              <w:top w:val="single" w:color="auto" w:sz="4" w:space="0"/>
              <w:left w:val="single" w:color="auto" w:sz="4" w:space="0"/>
              <w:bottom w:val="single" w:color="auto" w:sz="4" w:space="0"/>
              <w:right w:val="single" w:color="auto" w:sz="4" w:space="0"/>
            </w:tcBorders>
            <w:vAlign w:val="center"/>
          </w:tcPr>
          <w:p>
            <w:pPr>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1.传感器运行与维护</w:t>
            </w:r>
          </w:p>
        </w:tc>
        <w:tc>
          <w:tcPr>
            <w:tcW w:w="466"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5"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center"/>
              <w:rPr>
                <w:sz w:val="24"/>
                <w:szCs w:val="24"/>
              </w:rPr>
            </w:pPr>
          </w:p>
        </w:tc>
        <w:tc>
          <w:tcPr>
            <w:tcW w:w="1477"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640" w:type="pct"/>
            <w:tcBorders>
              <w:top w:val="single" w:color="auto" w:sz="4" w:space="0"/>
              <w:left w:val="single" w:color="auto" w:sz="4" w:space="0"/>
              <w:bottom w:val="single" w:color="auto" w:sz="4" w:space="0"/>
              <w:right w:val="single" w:color="auto" w:sz="4" w:space="0"/>
            </w:tcBorders>
            <w:vAlign w:val="center"/>
          </w:tcPr>
          <w:p>
            <w:pPr>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2.视觉系统运行与维护</w:t>
            </w:r>
          </w:p>
        </w:tc>
        <w:tc>
          <w:tcPr>
            <w:tcW w:w="466"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5"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center"/>
              <w:rPr>
                <w:sz w:val="24"/>
                <w:szCs w:val="24"/>
              </w:rPr>
            </w:pPr>
          </w:p>
        </w:tc>
        <w:tc>
          <w:tcPr>
            <w:tcW w:w="1477"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640" w:type="pct"/>
            <w:tcBorders>
              <w:top w:val="single" w:color="auto" w:sz="4" w:space="0"/>
              <w:left w:val="single" w:color="auto" w:sz="4" w:space="0"/>
              <w:bottom w:val="single" w:color="auto" w:sz="4" w:space="0"/>
              <w:right w:val="single" w:color="auto" w:sz="4" w:space="0"/>
            </w:tcBorders>
            <w:vAlign w:val="center"/>
          </w:tcPr>
          <w:p>
            <w:pPr>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3.通信系统运行与维护</w:t>
            </w:r>
          </w:p>
        </w:tc>
        <w:tc>
          <w:tcPr>
            <w:tcW w:w="466"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5"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center"/>
              <w:rPr>
                <w:sz w:val="24"/>
                <w:szCs w:val="24"/>
              </w:rPr>
            </w:pPr>
          </w:p>
        </w:tc>
        <w:tc>
          <w:tcPr>
            <w:tcW w:w="1477"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640" w:type="pct"/>
            <w:tcBorders>
              <w:top w:val="single" w:color="auto" w:sz="4" w:space="0"/>
              <w:left w:val="single" w:color="auto" w:sz="4" w:space="0"/>
              <w:bottom w:val="single" w:color="auto" w:sz="4" w:space="0"/>
              <w:right w:val="single" w:color="auto" w:sz="4" w:space="0"/>
            </w:tcBorders>
            <w:vAlign w:val="center"/>
          </w:tcPr>
          <w:p>
            <w:pPr>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4.故障排查与修复</w:t>
            </w:r>
          </w:p>
        </w:tc>
        <w:tc>
          <w:tcPr>
            <w:tcW w:w="466"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5" w:type="pct"/>
            <w:vMerge w:val="restar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sz w:val="24"/>
                <w:szCs w:val="24"/>
              </w:rPr>
            </w:pPr>
            <w:r>
              <w:rPr>
                <w:rFonts w:hint="eastAsia"/>
                <w:sz w:val="24"/>
                <w:szCs w:val="24"/>
              </w:rPr>
              <w:t>3</w:t>
            </w:r>
          </w:p>
        </w:tc>
        <w:tc>
          <w:tcPr>
            <w:tcW w:w="1477" w:type="pct"/>
            <w:vMerge w:val="restar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模块三：</w:t>
            </w:r>
          </w:p>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工业</w:t>
            </w:r>
            <w:r>
              <w:rPr>
                <w:rFonts w:hint="eastAsia" w:ascii="仿宋" w:hAnsi="仿宋" w:eastAsia="仿宋" w:cs="仿宋"/>
                <w:color w:val="000000" w:themeColor="text1"/>
                <w:sz w:val="24"/>
                <w:szCs w:val="24"/>
                <w14:textFill>
                  <w14:solidFill>
                    <w14:schemeClr w14:val="tx1"/>
                  </w14:solidFill>
                </w14:textFill>
              </w:rPr>
              <w:t>机器人系统数据采集与可视化（20分）</w:t>
            </w:r>
          </w:p>
        </w:tc>
        <w:tc>
          <w:tcPr>
            <w:tcW w:w="2640" w:type="pct"/>
            <w:tcBorders>
              <w:top w:val="single" w:color="auto" w:sz="4" w:space="0"/>
              <w:left w:val="single" w:color="auto" w:sz="4" w:space="0"/>
              <w:bottom w:val="single" w:color="auto" w:sz="4" w:space="0"/>
              <w:right w:val="single" w:color="auto" w:sz="4" w:space="0"/>
            </w:tcBorders>
            <w:vAlign w:val="center"/>
          </w:tcPr>
          <w:p>
            <w:pPr>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1.变位机数据采集与可视化</w:t>
            </w:r>
          </w:p>
        </w:tc>
        <w:tc>
          <w:tcPr>
            <w:tcW w:w="466"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5"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center"/>
              <w:rPr>
                <w:sz w:val="24"/>
                <w:szCs w:val="24"/>
              </w:rPr>
            </w:pPr>
          </w:p>
        </w:tc>
        <w:tc>
          <w:tcPr>
            <w:tcW w:w="1477"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640" w:type="pct"/>
            <w:tcBorders>
              <w:top w:val="single" w:color="auto" w:sz="4" w:space="0"/>
              <w:left w:val="single" w:color="auto" w:sz="4" w:space="0"/>
              <w:bottom w:val="single" w:color="auto" w:sz="4" w:space="0"/>
              <w:right w:val="single" w:color="auto" w:sz="4" w:space="0"/>
            </w:tcBorders>
            <w:vAlign w:val="center"/>
          </w:tcPr>
          <w:p>
            <w:pPr>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2.输送线数据采集与可视化</w:t>
            </w:r>
          </w:p>
        </w:tc>
        <w:tc>
          <w:tcPr>
            <w:tcW w:w="466"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5"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center"/>
              <w:rPr>
                <w:sz w:val="24"/>
                <w:szCs w:val="24"/>
              </w:rPr>
            </w:pPr>
          </w:p>
        </w:tc>
        <w:tc>
          <w:tcPr>
            <w:tcW w:w="1477"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640" w:type="pct"/>
            <w:tcBorders>
              <w:top w:val="single" w:color="auto" w:sz="4" w:space="0"/>
              <w:left w:val="single" w:color="auto" w:sz="4" w:space="0"/>
              <w:bottom w:val="single" w:color="auto" w:sz="4" w:space="0"/>
              <w:right w:val="single" w:color="auto" w:sz="4" w:space="0"/>
            </w:tcBorders>
            <w:vAlign w:val="center"/>
          </w:tcPr>
          <w:p>
            <w:pPr>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3.视觉系统数据采集与可视化</w:t>
            </w:r>
          </w:p>
        </w:tc>
        <w:tc>
          <w:tcPr>
            <w:tcW w:w="466"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5" w:type="pct"/>
            <w:vMerge w:val="restar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sz w:val="24"/>
                <w:szCs w:val="24"/>
              </w:rPr>
            </w:pPr>
            <w:r>
              <w:rPr>
                <w:rFonts w:hint="eastAsia"/>
                <w:sz w:val="24"/>
                <w:szCs w:val="24"/>
              </w:rPr>
              <w:t>4</w:t>
            </w:r>
          </w:p>
        </w:tc>
        <w:tc>
          <w:tcPr>
            <w:tcW w:w="1477" w:type="pct"/>
            <w:vMerge w:val="restar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模块四：</w:t>
            </w:r>
          </w:p>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工业</w:t>
            </w:r>
            <w:r>
              <w:rPr>
                <w:rFonts w:hint="eastAsia" w:ascii="仿宋" w:hAnsi="仿宋" w:eastAsia="仿宋" w:cs="仿宋"/>
                <w:color w:val="000000" w:themeColor="text1"/>
                <w:sz w:val="24"/>
                <w:szCs w:val="24"/>
                <w14:textFill>
                  <w14:solidFill>
                    <w14:schemeClr w14:val="tx1"/>
                  </w14:solidFill>
                </w14:textFill>
              </w:rPr>
              <w:t>机器人系统操作与调试（45分）</w:t>
            </w:r>
          </w:p>
        </w:tc>
        <w:tc>
          <w:tcPr>
            <w:tcW w:w="2640" w:type="pct"/>
            <w:tcBorders>
              <w:top w:val="single" w:color="auto" w:sz="4" w:space="0"/>
              <w:left w:val="single" w:color="auto" w:sz="4" w:space="0"/>
              <w:bottom w:val="single" w:color="auto" w:sz="4" w:space="0"/>
              <w:right w:val="single" w:color="auto" w:sz="4" w:space="0"/>
            </w:tcBorders>
            <w:vAlign w:val="center"/>
          </w:tcPr>
          <w:p>
            <w:pPr>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1.虚拟仿真调试</w:t>
            </w:r>
          </w:p>
        </w:tc>
        <w:tc>
          <w:tcPr>
            <w:tcW w:w="466"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5"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center"/>
              <w:rPr>
                <w:sz w:val="24"/>
                <w:szCs w:val="24"/>
              </w:rPr>
            </w:pPr>
          </w:p>
        </w:tc>
        <w:tc>
          <w:tcPr>
            <w:tcW w:w="1477"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640" w:type="pct"/>
            <w:tcBorders>
              <w:top w:val="single" w:color="auto" w:sz="4" w:space="0"/>
              <w:left w:val="single" w:color="auto" w:sz="4" w:space="0"/>
              <w:bottom w:val="single" w:color="auto" w:sz="4" w:space="0"/>
              <w:right w:val="single" w:color="auto" w:sz="4" w:space="0"/>
            </w:tcBorders>
            <w:vAlign w:val="center"/>
          </w:tcPr>
          <w:p>
            <w:pPr>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2.系统初始复位</w:t>
            </w:r>
          </w:p>
        </w:tc>
        <w:tc>
          <w:tcPr>
            <w:tcW w:w="466"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5"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center"/>
              <w:rPr>
                <w:sz w:val="24"/>
                <w:szCs w:val="24"/>
              </w:rPr>
            </w:pPr>
          </w:p>
        </w:tc>
        <w:tc>
          <w:tcPr>
            <w:tcW w:w="1477"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640" w:type="pct"/>
            <w:tcBorders>
              <w:top w:val="single" w:color="auto" w:sz="4" w:space="0"/>
              <w:left w:val="single" w:color="auto" w:sz="4" w:space="0"/>
              <w:bottom w:val="single" w:color="auto" w:sz="4" w:space="0"/>
              <w:right w:val="single" w:color="auto" w:sz="4" w:space="0"/>
            </w:tcBorders>
            <w:vAlign w:val="center"/>
          </w:tcPr>
          <w:p>
            <w:pPr>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3.系统运行前准备</w:t>
            </w:r>
          </w:p>
        </w:tc>
        <w:tc>
          <w:tcPr>
            <w:tcW w:w="466"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5"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center"/>
              <w:rPr>
                <w:sz w:val="24"/>
                <w:szCs w:val="24"/>
              </w:rPr>
            </w:pPr>
          </w:p>
        </w:tc>
        <w:tc>
          <w:tcPr>
            <w:tcW w:w="1477"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640" w:type="pct"/>
            <w:tcBorders>
              <w:top w:val="single" w:color="auto" w:sz="4" w:space="0"/>
              <w:left w:val="single" w:color="auto" w:sz="4" w:space="0"/>
              <w:bottom w:val="single" w:color="auto" w:sz="4" w:space="0"/>
              <w:right w:val="single" w:color="auto" w:sz="4" w:space="0"/>
            </w:tcBorders>
            <w:vAlign w:val="center"/>
          </w:tcPr>
          <w:p>
            <w:pPr>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4.系统编程与调试</w:t>
            </w:r>
          </w:p>
        </w:tc>
        <w:tc>
          <w:tcPr>
            <w:tcW w:w="466"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5"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center"/>
              <w:rPr>
                <w:sz w:val="24"/>
                <w:szCs w:val="24"/>
              </w:rPr>
            </w:pPr>
          </w:p>
        </w:tc>
        <w:tc>
          <w:tcPr>
            <w:tcW w:w="1477" w:type="pct"/>
            <w:vMerge w:val="continue"/>
            <w:tcBorders>
              <w:top w:val="single" w:color="auto" w:sz="4" w:space="0"/>
              <w:left w:val="single" w:color="auto" w:sz="4" w:space="0"/>
              <w:bottom w:val="single" w:color="auto" w:sz="4" w:space="0"/>
              <w:right w:val="single" w:color="auto" w:sz="4" w:space="0"/>
            </w:tcBorders>
            <w:vAlign w:val="center"/>
          </w:tcPr>
          <w:p>
            <w:pPr>
              <w:widowControl/>
              <w:spacing w:after="0" w:line="240" w:lineRule="auto"/>
              <w:jc w:val="left"/>
              <w:rPr>
                <w:rFonts w:ascii="仿宋" w:hAnsi="仿宋" w:eastAsia="仿宋" w:cs="仿宋"/>
                <w:color w:val="000000" w:themeColor="text1"/>
                <w:sz w:val="24"/>
                <w:szCs w:val="24"/>
                <w14:textFill>
                  <w14:solidFill>
                    <w14:schemeClr w14:val="tx1"/>
                  </w14:solidFill>
                </w14:textFill>
              </w:rPr>
            </w:pPr>
          </w:p>
        </w:tc>
        <w:tc>
          <w:tcPr>
            <w:tcW w:w="2640" w:type="pct"/>
            <w:tcBorders>
              <w:top w:val="single" w:color="auto" w:sz="4" w:space="0"/>
              <w:left w:val="single" w:color="auto" w:sz="4" w:space="0"/>
              <w:bottom w:val="single" w:color="auto" w:sz="4" w:space="0"/>
              <w:right w:val="single" w:color="auto" w:sz="4" w:space="0"/>
            </w:tcBorders>
            <w:vAlign w:val="center"/>
          </w:tcPr>
          <w:p>
            <w:pPr>
              <w:spacing w:after="0" w:line="24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5.系统结束复位</w:t>
            </w:r>
          </w:p>
        </w:tc>
        <w:tc>
          <w:tcPr>
            <w:tcW w:w="466"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15"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sz w:val="24"/>
                <w:szCs w:val="24"/>
              </w:rPr>
            </w:pPr>
            <w:r>
              <w:rPr>
                <w:rFonts w:hint="eastAsia"/>
                <w:sz w:val="24"/>
                <w:szCs w:val="24"/>
              </w:rPr>
              <w:t>5</w:t>
            </w:r>
          </w:p>
        </w:tc>
        <w:tc>
          <w:tcPr>
            <w:tcW w:w="1477"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模块五：</w:t>
            </w:r>
          </w:p>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职业素养与安全意识（5分）</w:t>
            </w:r>
          </w:p>
        </w:tc>
        <w:tc>
          <w:tcPr>
            <w:tcW w:w="2640"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after="0" w:line="360" w:lineRule="exact"/>
              <w:textAlignment w:val="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竞赛现场考察参赛队组织管理、团队协作、工作效率、安全意识等职业素养。</w:t>
            </w:r>
          </w:p>
        </w:tc>
        <w:tc>
          <w:tcPr>
            <w:tcW w:w="466" w:type="pct"/>
            <w:tcBorders>
              <w:top w:val="single" w:color="auto" w:sz="4" w:space="0"/>
              <w:left w:val="single" w:color="auto" w:sz="4" w:space="0"/>
              <w:bottom w:val="single" w:color="auto" w:sz="4" w:space="0"/>
              <w:right w:val="single" w:color="auto" w:sz="4" w:space="0"/>
            </w:tcBorders>
            <w:vAlign w:val="center"/>
          </w:tcPr>
          <w:p>
            <w:pPr>
              <w:spacing w:after="0" w:line="24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5分</w:t>
            </w:r>
          </w:p>
        </w:tc>
      </w:tr>
    </w:tbl>
    <w:p>
      <w:pPr>
        <w:spacing w:line="240" w:lineRule="auto"/>
      </w:pPr>
    </w:p>
    <w:sectPr>
      <w:pgSz w:w="11906" w:h="16838"/>
      <w:pgMar w:top="1361" w:right="1361" w:bottom="1361" w:left="1361" w:header="1134" w:footer="850" w:gutter="0"/>
      <w:cols w:space="0" w:num="1"/>
      <w:titlePg/>
      <w:docGrid w:type="linesAndChars" w:linePitch="587"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altName w:val="Noto Sans Syriac Eastern"/>
    <w:panose1 w:val="02040503050406030204"/>
    <w:charset w:val="00"/>
    <w:family w:val="roman"/>
    <w:pitch w:val="default"/>
    <w:sig w:usb0="00000000" w:usb1="00000000" w:usb2="02000000" w:usb3="00000000" w:csb0="0000019F" w:csb1="00000000"/>
  </w:font>
  <w:font w:name="Courier New">
    <w:altName w:val="DejaVu Sans"/>
    <w:panose1 w:val="02070309020205020404"/>
    <w:charset w:val="00"/>
    <w:family w:val="modern"/>
    <w:pitch w:val="default"/>
    <w:sig w:usb0="00000000" w:usb1="00000000" w:usb2="00000009" w:usb3="00000000" w:csb0="000001FF" w:csb1="00000000"/>
  </w:font>
  <w:font w:name="等线">
    <w:altName w:val="汉仪中宋简"/>
    <w:panose1 w:val="02010600030101010101"/>
    <w:charset w:val="86"/>
    <w:family w:val="auto"/>
    <w:pitch w:val="default"/>
    <w:sig w:usb0="00000000" w:usb1="00000000" w:usb2="00000016" w:usb3="00000000" w:csb0="0004000F" w:csb1="00000000"/>
  </w:font>
  <w:font w:name="方正小标宋简体">
    <w:panose1 w:val="02000000000000000000"/>
    <w:charset w:val="86"/>
    <w:family w:val="script"/>
    <w:pitch w:val="default"/>
    <w:sig w:usb0="A00002BF" w:usb1="184F6CFA" w:usb2="00000012" w:usb3="00000000" w:csb0="00040001" w:csb1="00000000"/>
  </w:font>
  <w:font w:name="方正楷体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微软雅黑">
    <w:altName w:val="黑体"/>
    <w:panose1 w:val="020B0503020204020204"/>
    <w:charset w:val="86"/>
    <w:family w:val="swiss"/>
    <w:pitch w:val="default"/>
    <w:sig w:usb0="00000000" w:usb1="00000000" w:usb2="00000016" w:usb3="00000000" w:csb0="0004001F" w:csb1="00000000"/>
  </w:font>
  <w:font w:name="PMingLiU">
    <w:altName w:val="文泉驿微米黑"/>
    <w:panose1 w:val="02010601000101010101"/>
    <w:charset w:val="88"/>
    <w:family w:val="roman"/>
    <w:pitch w:val="default"/>
    <w:sig w:usb0="00000000" w:usb1="00000000" w:usb2="00000016" w:usb3="00000000" w:csb0="0010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宋体S-超大字符集">
    <w:panose1 w:val="02000000000000000000"/>
    <w:charset w:val="86"/>
    <w:family w:val="auto"/>
    <w:pitch w:val="default"/>
    <w:sig w:usb0="00000001" w:usb1="08000000" w:usb2="00000000" w:usb3="00000000" w:csb0="00040000" w:csb1="00000000"/>
  </w:font>
  <w:font w:name="Noto Sans Syriac Eastern">
    <w:panose1 w:val="02040503050306020203"/>
    <w:charset w:val="86"/>
    <w:family w:val="auto"/>
    <w:pitch w:val="default"/>
    <w:sig w:usb0="00000000" w:usb1="00000000" w:usb2="00000080" w:usb3="00000000" w:csb0="203E0161" w:csb1="D7FF0000"/>
  </w:font>
  <w:font w:name="汉仪中宋简">
    <w:panose1 w:val="02010600000101010101"/>
    <w:charset w:val="86"/>
    <w:family w:val="auto"/>
    <w:pitch w:val="default"/>
    <w:sig w:usb0="00000001" w:usb1="080E0800" w:usb2="00000002" w:usb3="00000000" w:csb0="00040000" w:csb1="00000000"/>
  </w:font>
  <w:font w:name="方正仿宋_GBK">
    <w:panose1 w:val="02000000000000000000"/>
    <w:charset w:val="86"/>
    <w:family w:val="auto"/>
    <w:pitch w:val="default"/>
    <w:sig w:usb0="00000001" w:usb1="0800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文泉驿微米黑">
    <w:panose1 w:val="020B0606030804020204"/>
    <w:charset w:val="86"/>
    <w:family w:val="auto"/>
    <w:pitch w:val="default"/>
    <w:sig w:usb0="E10002EF" w:usb1="6BDFFCFB" w:usb2="00800036" w:usb3="00000000" w:csb0="603E01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right="360"/>
    </w:pPr>
    <w:r>
      <mc:AlternateContent>
        <mc:Choice Requires="wps">
          <w:drawing>
            <wp:anchor distT="0" distB="0" distL="114300" distR="114300" simplePos="0" relativeHeight="251659264" behindDoc="0" locked="0" layoutInCell="1" allowOverlap="1">
              <wp:simplePos x="0" y="0"/>
              <wp:positionH relativeFrom="margin">
                <wp:posOffset>2880360</wp:posOffset>
              </wp:positionH>
              <wp:positionV relativeFrom="paragraph">
                <wp:posOffset>635</wp:posOffset>
              </wp:positionV>
              <wp:extent cx="119380" cy="246380"/>
              <wp:effectExtent l="0" t="0" r="14605" b="1270"/>
              <wp:wrapNone/>
              <wp:docPr id="1" name="文本框 1"/>
              <wp:cNvGraphicFramePr/>
              <a:graphic xmlns:a="http://schemas.openxmlformats.org/drawingml/2006/main">
                <a:graphicData uri="http://schemas.microsoft.com/office/word/2010/wordprocessingShape">
                  <wps:wsp>
                    <wps:cNvSpPr txBox="true"/>
                    <wps:spPr>
                      <a:xfrm>
                        <a:off x="0" y="0"/>
                        <a:ext cx="119270" cy="24649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square" lIns="0" tIns="0" rIns="0" bIns="0" numCol="1" spcCol="0" rtlCol="0" fromWordArt="false" anchor="t" anchorCtr="false" forceAA="false" compatLnSpc="true">
                      <a:noAutofit/>
                    </wps:bodyPr>
                  </wps:wsp>
                </a:graphicData>
              </a:graphic>
            </wp:anchor>
          </w:drawing>
        </mc:Choice>
        <mc:Fallback>
          <w:pict>
            <v:shape id="_x0000_s1026" o:spid="_x0000_s1026" o:spt="202" type="#_x0000_t202" style="position:absolute;left:0pt;margin-left:226.8pt;margin-top:0.05pt;height:19.4pt;width:9.4pt;mso-position-horizontal-relative:margin;z-index:251659264;mso-width-relative:page;mso-height-relative:page;" filled="f" stroked="f" coordsize="21600,21600" o:gfxdata="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BYAAABkcnMvUEsBAhQAFAAA&#10;AAgAh07iQDnWlBPWAAAABwEAAA8AAAAAAAAAAQAgAAAAOAAAAGRycy9kb3ducmV2LnhtbFBLAQIU&#10;ABQAAAAIAIdO4kA9fG9KGAIAABkEAAAOAAAAAAAAAAEAIAAAADsBAABkcnMvZTJvRG9jLnhtbFBL&#10;BQYAAAAABgAGAFkBAADFBQAAAAA=&#10;">
              <v:fill on="f" focussize="0,0"/>
              <v:stroke on="f" weight="0.5pt"/>
              <v:imagedata o:title=""/>
              <o:lock v:ext="edit" aspectratio="f"/>
              <v:textbox inset="0mm,0mm,0mm,0mm">
                <w:txbxContent>
                  <w:p>
                    <w:pPr>
                      <w:pStyle w:val="8"/>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BYAAABkcnMvUEsBAhQAFAAAAAgAh07iQLNJ&#10;WO7QAAAABQEAAA8AAAAAAAAAAQAgAAAAOAAAAGRycy9kb3ducmV2LnhtbFBLAQIUABQAAAAIAIdO&#10;4kCgF26zFQIAABkEAAAOAAAAAAAAAAEAIAAAADUBAABkcnMvZTJvRG9jLnhtbFBLBQYAAAAABgAG&#10;AFkBAAC8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BD8D5F9"/>
    <w:multiLevelType w:val="singleLevel"/>
    <w:tmpl w:val="EBD8D5F9"/>
    <w:lvl w:ilvl="0" w:tentative="0">
      <w:start w:val="1"/>
      <w:numFmt w:val="decimal"/>
      <w:lvlText w:val="%1."/>
      <w:lvlJc w:val="left"/>
      <w:pPr>
        <w:tabs>
          <w:tab w:val="left" w:pos="312"/>
        </w:tabs>
      </w:pPr>
    </w:lvl>
  </w:abstractNum>
  <w:abstractNum w:abstractNumId="1">
    <w:nsid w:val="28CB3F05"/>
    <w:multiLevelType w:val="multilevel"/>
    <w:tmpl w:val="28CB3F05"/>
    <w:lvl w:ilvl="0" w:tentative="0">
      <w:start w:val="6"/>
      <w:numFmt w:val="japaneseCounting"/>
      <w:lvlText w:val="%1、"/>
      <w:lvlJc w:val="left"/>
      <w:pPr>
        <w:ind w:left="1320" w:hanging="720"/>
      </w:pPr>
      <w:rPr>
        <w:rFonts w:hint="default"/>
      </w:rPr>
    </w:lvl>
    <w:lvl w:ilvl="1" w:tentative="0">
      <w:start w:val="1"/>
      <w:numFmt w:val="lowerLetter"/>
      <w:lvlText w:val="%2)"/>
      <w:lvlJc w:val="left"/>
      <w:pPr>
        <w:ind w:left="1440" w:hanging="420"/>
      </w:pPr>
    </w:lvl>
    <w:lvl w:ilvl="2" w:tentative="0">
      <w:start w:val="1"/>
      <w:numFmt w:val="lowerRoman"/>
      <w:lvlText w:val="%3."/>
      <w:lvlJc w:val="right"/>
      <w:pPr>
        <w:ind w:left="1860" w:hanging="420"/>
      </w:pPr>
    </w:lvl>
    <w:lvl w:ilvl="3" w:tentative="0">
      <w:start w:val="1"/>
      <w:numFmt w:val="decimal"/>
      <w:lvlText w:val="%4."/>
      <w:lvlJc w:val="left"/>
      <w:pPr>
        <w:ind w:left="2280" w:hanging="420"/>
      </w:pPr>
    </w:lvl>
    <w:lvl w:ilvl="4" w:tentative="0">
      <w:start w:val="1"/>
      <w:numFmt w:val="lowerLetter"/>
      <w:lvlText w:val="%5)"/>
      <w:lvlJc w:val="left"/>
      <w:pPr>
        <w:ind w:left="2700" w:hanging="420"/>
      </w:pPr>
    </w:lvl>
    <w:lvl w:ilvl="5" w:tentative="0">
      <w:start w:val="1"/>
      <w:numFmt w:val="lowerRoman"/>
      <w:lvlText w:val="%6."/>
      <w:lvlJc w:val="right"/>
      <w:pPr>
        <w:ind w:left="3120" w:hanging="420"/>
      </w:pPr>
    </w:lvl>
    <w:lvl w:ilvl="6" w:tentative="0">
      <w:start w:val="1"/>
      <w:numFmt w:val="decimal"/>
      <w:lvlText w:val="%7."/>
      <w:lvlJc w:val="left"/>
      <w:pPr>
        <w:ind w:left="3540" w:hanging="420"/>
      </w:pPr>
    </w:lvl>
    <w:lvl w:ilvl="7" w:tentative="0">
      <w:start w:val="1"/>
      <w:numFmt w:val="lowerLetter"/>
      <w:lvlText w:val="%8)"/>
      <w:lvlJc w:val="left"/>
      <w:pPr>
        <w:ind w:left="3960" w:hanging="420"/>
      </w:pPr>
    </w:lvl>
    <w:lvl w:ilvl="8" w:tentative="0">
      <w:start w:val="1"/>
      <w:numFmt w:val="lowerRoman"/>
      <w:lvlText w:val="%9."/>
      <w:lvlJc w:val="right"/>
      <w:pPr>
        <w:ind w:left="43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true"/>
  <w:bordersDoNotSurroundFooter w:val="true"/>
  <w:documentProtection w:edit="readOnly" w:enforcement="0"/>
  <w:defaultTabStop w:val="420"/>
  <w:drawingGridHorizontalSpacing w:val="150"/>
  <w:drawingGridVerticalSpacing w:val="587"/>
  <w:noPunctuationKerning w:val="true"/>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hkN2EyMzc4NGRlYWVlZjJkYmY0OWQxYzIzYzY0ODEifQ=="/>
    <w:docVar w:name="KGWebUrl" w:val="http://oa.jyt.henan.gov.cn:80/seeyon/officeservlet"/>
  </w:docVars>
  <w:rsids>
    <w:rsidRoot w:val="6F7F924E"/>
    <w:rsid w:val="00004C53"/>
    <w:rsid w:val="00037205"/>
    <w:rsid w:val="000904BD"/>
    <w:rsid w:val="000927A7"/>
    <w:rsid w:val="000C6EC5"/>
    <w:rsid w:val="00131BDF"/>
    <w:rsid w:val="0014467A"/>
    <w:rsid w:val="001B4D56"/>
    <w:rsid w:val="001C0AD2"/>
    <w:rsid w:val="001E6FD1"/>
    <w:rsid w:val="001F75CC"/>
    <w:rsid w:val="0024770F"/>
    <w:rsid w:val="00254208"/>
    <w:rsid w:val="002B1684"/>
    <w:rsid w:val="002D624E"/>
    <w:rsid w:val="0031541D"/>
    <w:rsid w:val="003210F0"/>
    <w:rsid w:val="00332B24"/>
    <w:rsid w:val="00343A14"/>
    <w:rsid w:val="00356885"/>
    <w:rsid w:val="0038182F"/>
    <w:rsid w:val="00390084"/>
    <w:rsid w:val="003A5823"/>
    <w:rsid w:val="003B6B18"/>
    <w:rsid w:val="003C3B54"/>
    <w:rsid w:val="003E3183"/>
    <w:rsid w:val="003E5981"/>
    <w:rsid w:val="003F40BC"/>
    <w:rsid w:val="003F4629"/>
    <w:rsid w:val="00412E7D"/>
    <w:rsid w:val="00415967"/>
    <w:rsid w:val="004327D3"/>
    <w:rsid w:val="0046197E"/>
    <w:rsid w:val="00461E56"/>
    <w:rsid w:val="00487457"/>
    <w:rsid w:val="00493528"/>
    <w:rsid w:val="004B5A7E"/>
    <w:rsid w:val="004F3A6C"/>
    <w:rsid w:val="00524C57"/>
    <w:rsid w:val="005277A6"/>
    <w:rsid w:val="00542F9B"/>
    <w:rsid w:val="00551D03"/>
    <w:rsid w:val="00576F2D"/>
    <w:rsid w:val="00596E64"/>
    <w:rsid w:val="005A3D31"/>
    <w:rsid w:val="005D1948"/>
    <w:rsid w:val="005E47BE"/>
    <w:rsid w:val="005E7628"/>
    <w:rsid w:val="005F27DE"/>
    <w:rsid w:val="00610C43"/>
    <w:rsid w:val="00620F3D"/>
    <w:rsid w:val="006674BB"/>
    <w:rsid w:val="00671DC4"/>
    <w:rsid w:val="006746F9"/>
    <w:rsid w:val="00674EE3"/>
    <w:rsid w:val="006965BF"/>
    <w:rsid w:val="006A605D"/>
    <w:rsid w:val="006B34FF"/>
    <w:rsid w:val="006B5D48"/>
    <w:rsid w:val="006D5322"/>
    <w:rsid w:val="006E0C00"/>
    <w:rsid w:val="006E1CE0"/>
    <w:rsid w:val="006F6365"/>
    <w:rsid w:val="00703EAB"/>
    <w:rsid w:val="0074406E"/>
    <w:rsid w:val="00750C61"/>
    <w:rsid w:val="00765F26"/>
    <w:rsid w:val="00783D1F"/>
    <w:rsid w:val="007B0FBC"/>
    <w:rsid w:val="008060CD"/>
    <w:rsid w:val="0080680D"/>
    <w:rsid w:val="00814D05"/>
    <w:rsid w:val="00836D21"/>
    <w:rsid w:val="008538A0"/>
    <w:rsid w:val="00863DC7"/>
    <w:rsid w:val="00870F32"/>
    <w:rsid w:val="008B6CD8"/>
    <w:rsid w:val="008C3E33"/>
    <w:rsid w:val="008C7B41"/>
    <w:rsid w:val="008D0EDE"/>
    <w:rsid w:val="008E1E40"/>
    <w:rsid w:val="008E225D"/>
    <w:rsid w:val="0090334F"/>
    <w:rsid w:val="00904BA5"/>
    <w:rsid w:val="00941252"/>
    <w:rsid w:val="009B4A44"/>
    <w:rsid w:val="009D42EE"/>
    <w:rsid w:val="009D563C"/>
    <w:rsid w:val="009D5A2B"/>
    <w:rsid w:val="00A207BB"/>
    <w:rsid w:val="00A31D57"/>
    <w:rsid w:val="00A61598"/>
    <w:rsid w:val="00A643DB"/>
    <w:rsid w:val="00AA1A1D"/>
    <w:rsid w:val="00AB1323"/>
    <w:rsid w:val="00AD219F"/>
    <w:rsid w:val="00AE673A"/>
    <w:rsid w:val="00B128B7"/>
    <w:rsid w:val="00B155C8"/>
    <w:rsid w:val="00B17578"/>
    <w:rsid w:val="00B466AB"/>
    <w:rsid w:val="00B603E1"/>
    <w:rsid w:val="00B93FE6"/>
    <w:rsid w:val="00BC172D"/>
    <w:rsid w:val="00BC55CD"/>
    <w:rsid w:val="00BD5DA7"/>
    <w:rsid w:val="00C0734E"/>
    <w:rsid w:val="00C378C0"/>
    <w:rsid w:val="00C5006A"/>
    <w:rsid w:val="00C65C00"/>
    <w:rsid w:val="00CB231A"/>
    <w:rsid w:val="00CD7375"/>
    <w:rsid w:val="00D359EA"/>
    <w:rsid w:val="00D4391D"/>
    <w:rsid w:val="00D60E28"/>
    <w:rsid w:val="00D81A95"/>
    <w:rsid w:val="00D96982"/>
    <w:rsid w:val="00DA0DD5"/>
    <w:rsid w:val="00DB7394"/>
    <w:rsid w:val="00DE594E"/>
    <w:rsid w:val="00E44C53"/>
    <w:rsid w:val="00E702DC"/>
    <w:rsid w:val="00E93718"/>
    <w:rsid w:val="00EA2245"/>
    <w:rsid w:val="00EA4F04"/>
    <w:rsid w:val="00EC2F3B"/>
    <w:rsid w:val="00EE63E7"/>
    <w:rsid w:val="00F3068B"/>
    <w:rsid w:val="00F55053"/>
    <w:rsid w:val="00F91EA9"/>
    <w:rsid w:val="00FA3DC4"/>
    <w:rsid w:val="00FB2111"/>
    <w:rsid w:val="00FC1E11"/>
    <w:rsid w:val="00FC4D27"/>
    <w:rsid w:val="00FE68B6"/>
    <w:rsid w:val="01066B5C"/>
    <w:rsid w:val="025A4F61"/>
    <w:rsid w:val="035D01CC"/>
    <w:rsid w:val="04FA4B16"/>
    <w:rsid w:val="06140ECC"/>
    <w:rsid w:val="06A411DD"/>
    <w:rsid w:val="06B87E0C"/>
    <w:rsid w:val="06F46FA2"/>
    <w:rsid w:val="07C91EE5"/>
    <w:rsid w:val="07D2324C"/>
    <w:rsid w:val="09C676BC"/>
    <w:rsid w:val="0BFE313E"/>
    <w:rsid w:val="121C75C3"/>
    <w:rsid w:val="149E5D66"/>
    <w:rsid w:val="163C3957"/>
    <w:rsid w:val="16647C3B"/>
    <w:rsid w:val="169D12AB"/>
    <w:rsid w:val="16AB5C70"/>
    <w:rsid w:val="16F61C4E"/>
    <w:rsid w:val="182E4DAB"/>
    <w:rsid w:val="187D420C"/>
    <w:rsid w:val="1A340E3C"/>
    <w:rsid w:val="1B254109"/>
    <w:rsid w:val="1BF7C759"/>
    <w:rsid w:val="1CAE3860"/>
    <w:rsid w:val="1D266050"/>
    <w:rsid w:val="1DA5166B"/>
    <w:rsid w:val="1DAA263A"/>
    <w:rsid w:val="1EC56407"/>
    <w:rsid w:val="1EDD4E34"/>
    <w:rsid w:val="1F3C6C73"/>
    <w:rsid w:val="201710FF"/>
    <w:rsid w:val="20E95D13"/>
    <w:rsid w:val="2164183D"/>
    <w:rsid w:val="220A2E68"/>
    <w:rsid w:val="22F46BD8"/>
    <w:rsid w:val="26E54F2F"/>
    <w:rsid w:val="2D1C165D"/>
    <w:rsid w:val="2DDE68B8"/>
    <w:rsid w:val="2E0C6688"/>
    <w:rsid w:val="2E481489"/>
    <w:rsid w:val="2E744977"/>
    <w:rsid w:val="2F080D25"/>
    <w:rsid w:val="2F2661D8"/>
    <w:rsid w:val="30422429"/>
    <w:rsid w:val="3051445E"/>
    <w:rsid w:val="31772EC7"/>
    <w:rsid w:val="323C49A9"/>
    <w:rsid w:val="32D07CBF"/>
    <w:rsid w:val="33E23182"/>
    <w:rsid w:val="359D4003"/>
    <w:rsid w:val="36D20982"/>
    <w:rsid w:val="36E10F32"/>
    <w:rsid w:val="3807428C"/>
    <w:rsid w:val="38653A79"/>
    <w:rsid w:val="39460581"/>
    <w:rsid w:val="39F76E8D"/>
    <w:rsid w:val="3AA67A11"/>
    <w:rsid w:val="3D186404"/>
    <w:rsid w:val="3DD60F75"/>
    <w:rsid w:val="3DFF0D60"/>
    <w:rsid w:val="40657FDE"/>
    <w:rsid w:val="40F8243C"/>
    <w:rsid w:val="41AA1004"/>
    <w:rsid w:val="42F75102"/>
    <w:rsid w:val="4350502B"/>
    <w:rsid w:val="44AB315B"/>
    <w:rsid w:val="45EC57D9"/>
    <w:rsid w:val="46284338"/>
    <w:rsid w:val="48F77395"/>
    <w:rsid w:val="491C63D6"/>
    <w:rsid w:val="4A0F23E6"/>
    <w:rsid w:val="4A113742"/>
    <w:rsid w:val="4AAC2DA6"/>
    <w:rsid w:val="4B286254"/>
    <w:rsid w:val="4B5F79C7"/>
    <w:rsid w:val="4BC44B03"/>
    <w:rsid w:val="4C650D18"/>
    <w:rsid w:val="4CBC7A36"/>
    <w:rsid w:val="503C3A0F"/>
    <w:rsid w:val="5118797D"/>
    <w:rsid w:val="52827478"/>
    <w:rsid w:val="53D7376F"/>
    <w:rsid w:val="54656D6B"/>
    <w:rsid w:val="548D46D7"/>
    <w:rsid w:val="549239F0"/>
    <w:rsid w:val="570A32D6"/>
    <w:rsid w:val="57711A97"/>
    <w:rsid w:val="57EE2A6C"/>
    <w:rsid w:val="59A1298E"/>
    <w:rsid w:val="5F513BB3"/>
    <w:rsid w:val="60206116"/>
    <w:rsid w:val="60946038"/>
    <w:rsid w:val="6122434D"/>
    <w:rsid w:val="617F70AA"/>
    <w:rsid w:val="635E5215"/>
    <w:rsid w:val="63F024E1"/>
    <w:rsid w:val="64BB664B"/>
    <w:rsid w:val="664357AB"/>
    <w:rsid w:val="67192D59"/>
    <w:rsid w:val="683F57E5"/>
    <w:rsid w:val="68F9781C"/>
    <w:rsid w:val="69894240"/>
    <w:rsid w:val="6A410452"/>
    <w:rsid w:val="6A56432A"/>
    <w:rsid w:val="6A9E6375"/>
    <w:rsid w:val="6E0439EB"/>
    <w:rsid w:val="6F33208C"/>
    <w:rsid w:val="6F7F924E"/>
    <w:rsid w:val="6FD51B51"/>
    <w:rsid w:val="70A56E0D"/>
    <w:rsid w:val="7127368F"/>
    <w:rsid w:val="74324450"/>
    <w:rsid w:val="757550A0"/>
    <w:rsid w:val="77C32F54"/>
    <w:rsid w:val="79E4545B"/>
    <w:rsid w:val="7ADF6716"/>
    <w:rsid w:val="7BB75966"/>
    <w:rsid w:val="7BBE65EC"/>
    <w:rsid w:val="7BC97448"/>
    <w:rsid w:val="7C8D0444"/>
    <w:rsid w:val="7CCB2B20"/>
    <w:rsid w:val="7DBC3708"/>
    <w:rsid w:val="7DC644BC"/>
    <w:rsid w:val="7E7BF9DD"/>
    <w:rsid w:val="7FDE6B60"/>
    <w:rsid w:val="9FD94419"/>
    <w:rsid w:val="AEDC3955"/>
    <w:rsid w:val="D53F7A11"/>
    <w:rsid w:val="EF37CD1E"/>
    <w:rsid w:val="F75F0D5E"/>
    <w:rsid w:val="FB9FF2EA"/>
    <w:rsid w:val="FFC1FC77"/>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iPriority="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after="160" w:line="278" w:lineRule="auto"/>
      <w:jc w:val="both"/>
    </w:pPr>
    <w:rPr>
      <w:rFonts w:ascii="Times New Roman" w:hAnsi="Times New Roman" w:eastAsia="仿宋_GB2312" w:cs="Times New Roman"/>
      <w:kern w:val="2"/>
      <w:sz w:val="30"/>
      <w:szCs w:val="30"/>
      <w:lang w:val="en-US" w:eastAsia="zh-CN" w:bidi="ar-SA"/>
    </w:rPr>
  </w:style>
  <w:style w:type="paragraph" w:styleId="5">
    <w:name w:val="heading 1"/>
    <w:next w:val="1"/>
    <w:qFormat/>
    <w:uiPriority w:val="9"/>
    <w:pPr>
      <w:keepNext/>
      <w:keepLines/>
      <w:spacing w:after="173" w:line="259" w:lineRule="auto"/>
      <w:ind w:left="10" w:hanging="10"/>
      <w:jc w:val="center"/>
      <w:outlineLvl w:val="0"/>
    </w:pPr>
    <w:rPr>
      <w:rFonts w:ascii="仿宋" w:hAnsi="仿宋" w:eastAsia="仿宋" w:cs="仿宋"/>
      <w:color w:val="000000"/>
      <w:kern w:val="2"/>
      <w:sz w:val="28"/>
      <w:szCs w:val="22"/>
      <w:lang w:val="en-US" w:eastAsia="zh-CN" w:bidi="ar-SA"/>
      <w14:ligatures w14:val="standardContextual"/>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unhideWhenUsed/>
    <w:qFormat/>
    <w:uiPriority w:val="0"/>
    <w:pPr>
      <w:ind w:firstLine="420" w:firstLineChars="100"/>
    </w:pPr>
    <w:rPr>
      <w:szCs w:val="24"/>
    </w:rPr>
  </w:style>
  <w:style w:type="paragraph" w:styleId="3">
    <w:name w:val="Body Text"/>
    <w:basedOn w:val="1"/>
    <w:next w:val="4"/>
    <w:qFormat/>
    <w:uiPriority w:val="0"/>
    <w:pPr>
      <w:spacing w:line="360" w:lineRule="auto"/>
    </w:pPr>
    <w:rPr>
      <w:rFonts w:eastAsia="仿宋"/>
    </w:rPr>
  </w:style>
  <w:style w:type="paragraph" w:customStyle="1" w:styleId="4">
    <w:name w:val="Default"/>
    <w:qFormat/>
    <w:uiPriority w:val="99"/>
    <w:pPr>
      <w:widowControl w:val="0"/>
      <w:autoSpaceDE w:val="0"/>
      <w:autoSpaceDN w:val="0"/>
      <w:adjustRightInd w:val="0"/>
    </w:pPr>
    <w:rPr>
      <w:rFonts w:ascii="仿宋" w:hAnsi="仿宋" w:eastAsia="宋体" w:cs="仿宋"/>
      <w:color w:val="000000"/>
      <w:sz w:val="24"/>
      <w:szCs w:val="24"/>
      <w:lang w:val="en-US" w:eastAsia="zh-CN" w:bidi="ar-SA"/>
    </w:rPr>
  </w:style>
  <w:style w:type="paragraph" w:styleId="6">
    <w:name w:val="annotation text"/>
    <w:basedOn w:val="1"/>
    <w:qFormat/>
    <w:uiPriority w:val="0"/>
    <w:pPr>
      <w:jc w:val="left"/>
    </w:pPr>
  </w:style>
  <w:style w:type="paragraph" w:styleId="7">
    <w:name w:val="Body Text Indent 2"/>
    <w:basedOn w:val="1"/>
    <w:qFormat/>
    <w:uiPriority w:val="99"/>
    <w:pPr>
      <w:spacing w:after="120" w:line="480" w:lineRule="auto"/>
      <w:ind w:left="420" w:leftChars="200"/>
    </w:pPr>
  </w:style>
  <w:style w:type="paragraph" w:styleId="8">
    <w:name w:val="footer"/>
    <w:basedOn w:val="1"/>
    <w:qFormat/>
    <w:uiPriority w:val="0"/>
    <w:pPr>
      <w:tabs>
        <w:tab w:val="center" w:pos="4153"/>
        <w:tab w:val="right" w:pos="8306"/>
      </w:tabs>
      <w:snapToGrid w:val="0"/>
      <w:jc w:val="left"/>
    </w:pPr>
    <w:rPr>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0">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11">
    <w:name w:val="Normal (Web)"/>
    <w:basedOn w:val="1"/>
    <w:qFormat/>
    <w:uiPriority w:val="0"/>
    <w:pPr>
      <w:spacing w:before="100" w:beforeAutospacing="1" w:after="100" w:afterAutospacing="1"/>
      <w:jc w:val="left"/>
    </w:pPr>
    <w:rPr>
      <w:kern w:val="0"/>
      <w:sz w:val="24"/>
    </w:rPr>
  </w:style>
  <w:style w:type="table" w:styleId="13">
    <w:name w:val="Table Grid"/>
    <w:basedOn w:val="1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page number"/>
    <w:basedOn w:val="14"/>
    <w:qFormat/>
    <w:uiPriority w:val="0"/>
  </w:style>
  <w:style w:type="paragraph" w:customStyle="1" w:styleId="16">
    <w:name w:val="Char Char Char1 Char Char Char Char Char Char Char"/>
    <w:basedOn w:val="1"/>
    <w:qFormat/>
    <w:uiPriority w:val="0"/>
    <w:rPr>
      <w:rFonts w:ascii="宋体" w:hAnsi="宋体" w:cs="Courier New"/>
      <w:kern w:val="0"/>
      <w:sz w:val="32"/>
      <w:szCs w:val="32"/>
    </w:rPr>
  </w:style>
  <w:style w:type="paragraph" w:customStyle="1" w:styleId="17">
    <w:name w:val="修订1"/>
    <w:hidden/>
    <w:unhideWhenUsed/>
    <w:qFormat/>
    <w:uiPriority w:val="99"/>
    <w:rPr>
      <w:rFonts w:ascii="Times New Roman" w:hAnsi="Times New Roman" w:eastAsia="仿宋_GB2312" w:cs="Times New Roman"/>
      <w:kern w:val="2"/>
      <w:sz w:val="30"/>
      <w:szCs w:val="30"/>
      <w:lang w:val="en-US" w:eastAsia="zh-CN" w:bidi="ar-SA"/>
    </w:rPr>
  </w:style>
  <w:style w:type="paragraph" w:customStyle="1" w:styleId="18">
    <w:name w:val="Table Text"/>
    <w:basedOn w:val="1"/>
    <w:semiHidden/>
    <w:qFormat/>
    <w:uiPriority w:val="0"/>
    <w:rPr>
      <w:rFonts w:ascii="宋体" w:hAnsi="宋体" w:eastAsia="宋体" w:cs="宋体"/>
      <w:sz w:val="24"/>
      <w:szCs w:val="24"/>
      <w:lang w:eastAsia="en-US"/>
    </w:rPr>
  </w:style>
  <w:style w:type="table" w:customStyle="1" w:styleId="19">
    <w:name w:val="Table Normal"/>
    <w:semiHidden/>
    <w:unhideWhenUsed/>
    <w:qFormat/>
    <w:uiPriority w:val="0"/>
    <w:tblPr>
      <w:tblCellMar>
        <w:top w:w="0" w:type="dxa"/>
        <w:left w:w="0" w:type="dxa"/>
        <w:bottom w:w="0" w:type="dxa"/>
        <w:right w:w="0" w:type="dxa"/>
      </w:tblCellMar>
    </w:tblPr>
  </w:style>
  <w:style w:type="paragraph" w:customStyle="1" w:styleId="20">
    <w:name w:val="表格"/>
    <w:basedOn w:val="1"/>
    <w:qFormat/>
    <w:uiPriority w:val="0"/>
    <w:pPr>
      <w:spacing w:line="288" w:lineRule="auto"/>
      <w:jc w:val="left"/>
    </w:pPr>
    <w:rPr>
      <w:rFonts w:ascii="等线" w:hAnsi="等线" w:eastAsia="等线"/>
      <w:lang w:val="zh-CN"/>
    </w:rPr>
  </w:style>
  <w:style w:type="paragraph" w:customStyle="1" w:styleId="21">
    <w:name w:val="Table Paragraph"/>
    <w:basedOn w:val="1"/>
    <w:qFormat/>
    <w:uiPriority w:val="1"/>
    <w:pPr>
      <w:spacing w:after="0" w:line="240" w:lineRule="auto"/>
    </w:pPr>
    <w:rPr>
      <w:rFonts w:ascii="Calibri" w:hAnsi="Calibri"/>
      <w:sz w:val="24"/>
      <w:szCs w:val="24"/>
    </w:rPr>
  </w:style>
  <w:style w:type="character" w:customStyle="1" w:styleId="22">
    <w:name w:val="fontstyle01"/>
    <w:basedOn w:val="14"/>
    <w:qFormat/>
    <w:uiPriority w:val="0"/>
    <w:rPr>
      <w:rFonts w:hint="eastAsia" w:ascii="仿宋" w:hAnsi="仿宋" w:eastAsia="仿宋"/>
      <w:color w:val="000000"/>
      <w:sz w:val="32"/>
      <w:szCs w:val="32"/>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32</Pages>
  <Words>2251</Words>
  <Characters>12834</Characters>
  <Lines>106</Lines>
  <Paragraphs>30</Paragraphs>
  <TotalTime>14</TotalTime>
  <ScaleCrop>false</ScaleCrop>
  <LinksUpToDate>false</LinksUpToDate>
  <CharactersWithSpaces>15055</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2024-12-16T15:15:00Z</dcterms:created>
  <dc:creator>xueh</dc:creator>
  <cp:lastModifiedBy>uos</cp:lastModifiedBy>
  <dcterms:modified xsi:type="dcterms:W3CDTF">2024-12-16T15:55:10Z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F3CC44D0EA06499BB98F1979465B2D9A_13</vt:lpwstr>
  </property>
</Properties>
</file>