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2023年河南省高等职业教育技能大赛</w:t>
      </w:r>
    </w:p>
    <w:p>
      <w:pPr>
        <w:widowControl/>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化学实验技术赛项竞赛方案</w:t>
      </w:r>
    </w:p>
    <w:p>
      <w:pPr>
        <w:widowControl/>
        <w:spacing w:line="600" w:lineRule="exact"/>
        <w:jc w:val="both"/>
        <w:rPr>
          <w:rFonts w:ascii="方正小标宋简体" w:hAnsi="方正小标宋简体" w:eastAsia="方正小标宋简体" w:cs="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ascii="黑体" w:hAnsi="黑体" w:eastAsia="黑体" w:cs="黑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一、赛项名称及承办院校</w:t>
      </w:r>
      <w:bookmarkStart w:id="7" w:name="_GoBack"/>
      <w:bookmarkEnd w:id="7"/>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ascii="仿宋_GB2312" w:hAnsi="仿宋" w:eastAsia="仿宋_GB2312" w:cs="仿宋_GB2312"/>
          <w:color w:val="000000" w:themeColor="text1"/>
          <w:sz w:val="30"/>
          <w:szCs w:val="30"/>
          <w14:textFill>
            <w14:solidFill>
              <w14:schemeClr w14:val="tx1"/>
            </w14:solidFill>
          </w14:textFill>
        </w:rPr>
      </w:pPr>
      <w:r>
        <w:rPr>
          <w:rFonts w:hint="eastAsia" w:ascii="仿宋_GB2312" w:hAnsi="仿宋" w:eastAsia="仿宋_GB2312" w:cs="仿宋_GB2312"/>
          <w:color w:val="000000" w:themeColor="text1"/>
          <w:sz w:val="30"/>
          <w:szCs w:val="30"/>
          <w14:textFill>
            <w14:solidFill>
              <w14:schemeClr w14:val="tx1"/>
            </w14:solidFill>
          </w14:textFill>
        </w:rPr>
        <w:t>赛项名称：化学实验技术</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ascii="仿宋_GB2312" w:hAnsi="仿宋" w:eastAsia="仿宋_GB2312" w:cs="仿宋_GB2312"/>
          <w:color w:val="000000" w:themeColor="text1"/>
          <w:sz w:val="30"/>
          <w:szCs w:val="30"/>
          <w14:textFill>
            <w14:solidFill>
              <w14:schemeClr w14:val="tx1"/>
            </w14:solidFill>
          </w14:textFill>
        </w:rPr>
      </w:pPr>
      <w:r>
        <w:rPr>
          <w:rFonts w:hint="eastAsia" w:ascii="仿宋_GB2312" w:hAnsi="仿宋" w:eastAsia="仿宋_GB2312" w:cs="仿宋_GB2312"/>
          <w:color w:val="000000" w:themeColor="text1"/>
          <w:sz w:val="30"/>
          <w:szCs w:val="30"/>
          <w14:textFill>
            <w14:solidFill>
              <w14:schemeClr w14:val="tx1"/>
            </w14:solidFill>
          </w14:textFill>
        </w:rPr>
        <w:t>赛项编号：</w:t>
      </w:r>
      <w:r>
        <w:rPr>
          <w:rFonts w:hint="eastAsia" w:ascii="仿宋_GB2312" w:hAnsi="仿宋" w:eastAsia="仿宋_GB2312" w:cs="仿宋"/>
          <w:color w:val="000000" w:themeColor="text1"/>
          <w:kern w:val="0"/>
          <w:sz w:val="30"/>
          <w:szCs w:val="30"/>
          <w14:textFill>
            <w14:solidFill>
              <w14:schemeClr w14:val="tx1"/>
            </w14:solidFill>
          </w14:textFill>
        </w:rPr>
        <w:t>GZ</w:t>
      </w:r>
      <w:r>
        <w:rPr>
          <w:rFonts w:ascii="仿宋_GB2312" w:hAnsi="仿宋" w:eastAsia="仿宋_GB2312" w:cs="仿宋"/>
          <w:color w:val="000000" w:themeColor="text1"/>
          <w:kern w:val="0"/>
          <w:sz w:val="30"/>
          <w:szCs w:val="30"/>
          <w14:textFill>
            <w14:solidFill>
              <w14:schemeClr w14:val="tx1"/>
            </w14:solidFill>
          </w14:textFill>
        </w:rPr>
        <w:t>022</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ascii="仿宋_GB2312" w:hAnsi="仿宋" w:eastAsia="仿宋_GB2312" w:cs="仿宋_GB2312"/>
          <w:color w:val="000000" w:themeColor="text1"/>
          <w:sz w:val="30"/>
          <w:szCs w:val="30"/>
          <w14:textFill>
            <w14:solidFill>
              <w14:schemeClr w14:val="tx1"/>
            </w14:solidFill>
          </w14:textFill>
        </w:rPr>
      </w:pPr>
      <w:r>
        <w:rPr>
          <w:rFonts w:hint="eastAsia" w:ascii="仿宋_GB2312" w:hAnsi="仿宋" w:eastAsia="仿宋_GB2312" w:cs="仿宋_GB2312"/>
          <w:color w:val="000000" w:themeColor="text1"/>
          <w:sz w:val="30"/>
          <w:szCs w:val="30"/>
          <w14:textFill>
            <w14:solidFill>
              <w14:schemeClr w14:val="tx1"/>
            </w14:solidFill>
          </w14:textFill>
        </w:rPr>
        <w:t>赛项组别：高职学生组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ascii="仿宋_GB2312" w:hAnsi="仿宋" w:eastAsia="仿宋_GB2312" w:cs="仿宋_GB2312"/>
          <w:color w:val="000000" w:themeColor="text1"/>
          <w:sz w:val="30"/>
          <w:szCs w:val="30"/>
          <w14:textFill>
            <w14:solidFill>
              <w14:schemeClr w14:val="tx1"/>
            </w14:solidFill>
          </w14:textFill>
        </w:rPr>
      </w:pPr>
      <w:r>
        <w:rPr>
          <w:rFonts w:hint="eastAsia" w:ascii="仿宋_GB2312" w:hAnsi="仿宋" w:eastAsia="仿宋_GB2312" w:cs="仿宋_GB2312"/>
          <w:color w:val="000000" w:themeColor="text1"/>
          <w:sz w:val="30"/>
          <w:szCs w:val="30"/>
          <w14:textFill>
            <w14:solidFill>
              <w14:schemeClr w14:val="tx1"/>
            </w14:solidFill>
          </w14:textFill>
        </w:rPr>
        <w:t>竞赛形式：团体赛</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ascii="仿宋_GB2312" w:hAnsi="仿宋" w:eastAsia="仿宋_GB2312" w:cs="仿宋_GB2312"/>
          <w:color w:val="000000" w:themeColor="text1"/>
          <w:sz w:val="30"/>
          <w:szCs w:val="30"/>
          <w14:textFill>
            <w14:solidFill>
              <w14:schemeClr w14:val="tx1"/>
            </w14:solidFill>
          </w14:textFill>
        </w:rPr>
      </w:pPr>
      <w:r>
        <w:rPr>
          <w:rFonts w:hint="eastAsia" w:ascii="仿宋_GB2312" w:hAnsi="仿宋" w:eastAsia="仿宋_GB2312" w:cs="仿宋_GB2312"/>
          <w:color w:val="000000" w:themeColor="text1"/>
          <w:sz w:val="30"/>
          <w:szCs w:val="30"/>
          <w14:textFill>
            <w14:solidFill>
              <w14:schemeClr w14:val="tx1"/>
            </w14:solidFill>
          </w14:textFill>
        </w:rPr>
        <w:t>赛项专业大类：生物与化工大类</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ascii="仿宋_GB2312" w:hAnsi="仿宋" w:eastAsia="仿宋_GB2312" w:cs="仿宋_GB2312"/>
          <w:color w:val="000000" w:themeColor="text1"/>
          <w:sz w:val="30"/>
          <w:szCs w:val="30"/>
          <w14:textFill>
            <w14:solidFill>
              <w14:schemeClr w14:val="tx1"/>
            </w14:solidFill>
          </w14:textFill>
        </w:rPr>
      </w:pPr>
      <w:r>
        <w:rPr>
          <w:rFonts w:hint="eastAsia" w:ascii="仿宋_GB2312" w:hAnsi="仿宋" w:eastAsia="仿宋_GB2312" w:cs="仿宋_GB2312"/>
          <w:color w:val="000000" w:themeColor="text1"/>
          <w:sz w:val="30"/>
          <w:szCs w:val="30"/>
          <w14:textFill>
            <w14:solidFill>
              <w14:schemeClr w14:val="tx1"/>
            </w14:solidFill>
          </w14:textFill>
        </w:rPr>
        <w:t>赛项名称：化学实验技术</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ascii="仿宋_GB2312" w:hAnsi="仿宋" w:eastAsia="仿宋_GB2312" w:cs="仿宋_GB2312"/>
          <w:color w:val="000000" w:themeColor="text1"/>
          <w:sz w:val="30"/>
          <w:szCs w:val="30"/>
          <w14:textFill>
            <w14:solidFill>
              <w14:schemeClr w14:val="tx1"/>
            </w14:solidFill>
          </w14:textFill>
        </w:rPr>
      </w:pPr>
      <w:r>
        <w:rPr>
          <w:rFonts w:hint="eastAsia" w:ascii="仿宋_GB2312" w:hAnsi="仿宋" w:eastAsia="仿宋_GB2312" w:cs="仿宋_GB2312"/>
          <w:color w:val="000000" w:themeColor="text1"/>
          <w:sz w:val="30"/>
          <w:szCs w:val="30"/>
          <w14:textFill>
            <w14:solidFill>
              <w14:schemeClr w14:val="tx1"/>
            </w14:solidFill>
          </w14:textFill>
        </w:rPr>
        <w:t>主办单位：河南省教育厅</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ascii="仿宋_GB2312" w:hAnsi="仿宋" w:eastAsia="仿宋_GB2312" w:cs="仿宋_GB2312"/>
          <w:color w:val="000000" w:themeColor="text1"/>
          <w:sz w:val="30"/>
          <w:szCs w:val="30"/>
          <w14:textFill>
            <w14:solidFill>
              <w14:schemeClr w14:val="tx1"/>
            </w14:solidFill>
          </w14:textFill>
        </w:rPr>
      </w:pPr>
      <w:r>
        <w:rPr>
          <w:rFonts w:hint="eastAsia" w:ascii="仿宋_GB2312" w:hAnsi="仿宋" w:eastAsia="仿宋_GB2312" w:cs="仿宋_GB2312"/>
          <w:color w:val="000000" w:themeColor="text1"/>
          <w:sz w:val="30"/>
          <w:szCs w:val="30"/>
          <w14:textFill>
            <w14:solidFill>
              <w14:schemeClr w14:val="tx1"/>
            </w14:solidFill>
          </w14:textFill>
        </w:rPr>
        <w:t>承办单位：河南应用技术职业学院</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ascii="黑体" w:hAnsi="黑体" w:eastAsia="黑体" w:cs="黑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二、竞赛目标</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ascii="仿宋_GB2312" w:hAnsi="仿宋" w:eastAsia="仿宋_GB2312" w:cs="仿宋_GB2312"/>
          <w:color w:val="000000" w:themeColor="text1"/>
          <w:sz w:val="30"/>
          <w:szCs w:val="30"/>
          <w14:textFill>
            <w14:solidFill>
              <w14:schemeClr w14:val="tx1"/>
            </w14:solidFill>
          </w14:textFill>
        </w:rPr>
      </w:pPr>
      <w:r>
        <w:rPr>
          <w:rFonts w:hint="eastAsia" w:ascii="仿宋_GB2312" w:hAnsi="仿宋" w:eastAsia="仿宋_GB2312" w:cs="仿宋_GB2312"/>
          <w:color w:val="000000" w:themeColor="text1"/>
          <w:sz w:val="30"/>
          <w:szCs w:val="30"/>
          <w14:textFill>
            <w14:solidFill>
              <w14:schemeClr w14:val="tx1"/>
            </w14:solidFill>
          </w14:textFill>
        </w:rPr>
        <w:t>化学实验技术是利用现代化学技术对各类天然或合成材料进行物理常数与化学性质验证、定性与定量分析、合成与制备的专门技术技能，是检验检测与认证认可服务业从业人员的关键技术技能。检验检测行业作为高技术服务业之一，是新材料、低碳环保、食品药品安全和化学品安全等国民经济重要领域的质量技术基础，是实现实体经济转型升级、技能强国、质量强国、实业兴国战略的关键所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ascii="仿宋_GB2312" w:hAnsi="仿宋" w:eastAsia="仿宋_GB2312" w:cs="仿宋_GB2312"/>
          <w:color w:val="000000" w:themeColor="text1"/>
          <w:sz w:val="30"/>
          <w:szCs w:val="30"/>
          <w14:textFill>
            <w14:solidFill>
              <w14:schemeClr w14:val="tx1"/>
            </w14:solidFill>
          </w14:textFill>
        </w:rPr>
      </w:pPr>
      <w:r>
        <w:rPr>
          <w:rFonts w:hint="eastAsia" w:ascii="仿宋_GB2312" w:hAnsi="仿宋" w:eastAsia="仿宋_GB2312" w:cs="仿宋_GB2312"/>
          <w:color w:val="000000" w:themeColor="text1"/>
          <w:sz w:val="30"/>
          <w:szCs w:val="30"/>
          <w14:textFill>
            <w14:solidFill>
              <w14:schemeClr w14:val="tx1"/>
            </w14:solidFill>
          </w14:textFill>
        </w:rPr>
        <w:t>化学实验技术赛项服务“四新”（新技术、新产业、新业态、新模式）经济发展需求，坚持“以赛促教、以赛促学，以赛促研，以赛促改”，融入世界技能大赛QHSE理念，为制造业质量人才培养，检验检测服务业中检测现场工程师的培养，提供重要的实施路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ascii="仿宋_GB2312" w:hAnsi="仿宋" w:eastAsia="仿宋_GB2312" w:cs="仿宋_GB2312"/>
          <w:color w:val="000000" w:themeColor="text1"/>
          <w:sz w:val="30"/>
          <w:szCs w:val="30"/>
          <w14:textFill>
            <w14:solidFill>
              <w14:schemeClr w14:val="tx1"/>
            </w14:solidFill>
          </w14:textFill>
        </w:rPr>
      </w:pPr>
      <w:r>
        <w:rPr>
          <w:rFonts w:hint="eastAsia" w:ascii="仿宋_GB2312" w:hAnsi="仿宋" w:eastAsia="仿宋_GB2312" w:cs="仿宋_GB2312"/>
          <w:color w:val="000000" w:themeColor="text1"/>
          <w:sz w:val="30"/>
          <w:szCs w:val="30"/>
          <w14:textFill>
            <w14:solidFill>
              <w14:schemeClr w14:val="tx1"/>
            </w14:solidFill>
          </w14:textFill>
        </w:rPr>
        <w:t>化学实验技术赛项以真实的工作环境与条件为背景，检验选手独立地进行合成、质量控制、分析检测、制定实验室工作计划、记录工作过程和评价工作结果的技术技能水平与职业素养。积极营造崇尚“劳动光荣、技能伟大”的社会氛围，培育选手工匠精神。促进相关专业与产业对接，教学内容与职业标准对接，教学过程与生产过程对接，提升化学实验技术能力，引领高职院校专业建设与课程改革。通过竞赛，搭建产教融合平台，促进校企合作协同育人，实现行业资源、企业资源与教学资源的有机融合，引导分析检验类高素质技术技能人才的培养符合检验检测行业领域的技术应用趋势与方向。</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eastAsia="仿宋_GB2312"/>
          <w:strike/>
          <w:color w:val="000000" w:themeColor="text1"/>
          <w:sz w:val="30"/>
          <w:szCs w:val="30"/>
          <w14:textFill>
            <w14:solidFill>
              <w14:schemeClr w14:val="tx1"/>
            </w14:solidFill>
          </w14:textFill>
        </w:rPr>
      </w:pPr>
      <w:r>
        <w:rPr>
          <w:rFonts w:eastAsia="黑体"/>
          <w:bCs/>
          <w:color w:val="000000" w:themeColor="text1"/>
          <w:sz w:val="30"/>
          <w:szCs w:val="30"/>
          <w14:textFill>
            <w14:solidFill>
              <w14:schemeClr w14:val="tx1"/>
            </w14:solidFill>
          </w14:textFill>
        </w:rPr>
        <w:t>三、</w:t>
      </w:r>
      <w:r>
        <w:rPr>
          <w:rFonts w:hint="eastAsia" w:eastAsia="黑体"/>
          <w:bCs/>
          <w:color w:val="000000" w:themeColor="text1"/>
          <w:sz w:val="30"/>
          <w:szCs w:val="30"/>
          <w14:textFill>
            <w14:solidFill>
              <w14:schemeClr w14:val="tx1"/>
            </w14:solidFill>
          </w14:textFill>
        </w:rPr>
        <w:t>竞赛</w:t>
      </w:r>
      <w:r>
        <w:rPr>
          <w:rFonts w:eastAsia="黑体"/>
          <w:bCs/>
          <w:color w:val="000000" w:themeColor="text1"/>
          <w:sz w:val="30"/>
          <w:szCs w:val="30"/>
          <w14:textFill>
            <w14:solidFill>
              <w14:schemeClr w14:val="tx1"/>
            </w14:solidFill>
          </w14:textFill>
        </w:rPr>
        <w:t>方式</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ascii="仿宋_GB2312" w:hAnsi="仿宋" w:eastAsia="仿宋_GB2312" w:cs="仿宋_GB2312"/>
          <w:color w:val="000000" w:themeColor="text1"/>
          <w:sz w:val="30"/>
          <w:szCs w:val="30"/>
          <w14:textFill>
            <w14:solidFill>
              <w14:schemeClr w14:val="tx1"/>
            </w14:solidFill>
          </w14:textFill>
        </w:rPr>
      </w:pPr>
      <w:r>
        <w:rPr>
          <w:rFonts w:hint="eastAsia" w:ascii="仿宋_GB2312" w:hAnsi="仿宋" w:eastAsia="仿宋_GB2312" w:cs="仿宋_GB2312"/>
          <w:color w:val="000000" w:themeColor="text1"/>
          <w:sz w:val="30"/>
          <w:szCs w:val="30"/>
          <w14:textFill>
            <w14:solidFill>
              <w14:schemeClr w14:val="tx1"/>
            </w14:solidFill>
          </w14:textFill>
        </w:rPr>
        <w:t>1.竞赛形式：线下比赛。</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 w:eastAsia="仿宋_GB2312" w:cs="仿宋_GB2312"/>
          <w:color w:val="000000" w:themeColor="text1"/>
          <w:sz w:val="30"/>
          <w:szCs w:val="30"/>
          <w:lang w:eastAsia="zh-CN"/>
          <w14:textFill>
            <w14:solidFill>
              <w14:schemeClr w14:val="tx1"/>
            </w14:solidFill>
          </w14:textFill>
        </w:rPr>
      </w:pPr>
      <w:r>
        <w:rPr>
          <w:rFonts w:hint="eastAsia" w:ascii="仿宋_GB2312" w:hAnsi="仿宋" w:eastAsia="仿宋_GB2312" w:cs="仿宋_GB2312"/>
          <w:color w:val="000000" w:themeColor="text1"/>
          <w:sz w:val="30"/>
          <w:szCs w:val="30"/>
          <w14:textFill>
            <w14:solidFill>
              <w14:schemeClr w14:val="tx1"/>
            </w14:solidFill>
          </w14:textFill>
        </w:rPr>
        <w:t>2.组队方式：参考2023年国赛化学实验技术赛项规程并结合河南省教育厅办公室关于举办2023年河南省高等职业教育技能大赛的通知（教办职成〔2023〕307号）精神，本次竞赛为学生团体赛，不设师生同赛。以学校为单位组队参赛，不得跨校组队</w:t>
      </w:r>
      <w:r>
        <w:rPr>
          <w:rFonts w:hint="eastAsia" w:ascii="仿宋_GB2312" w:hAnsi="仿宋" w:eastAsia="仿宋_GB2312" w:cs="仿宋_GB2312"/>
          <w:color w:val="000000" w:themeColor="text1"/>
          <w:sz w:val="30"/>
          <w:szCs w:val="30"/>
          <w:lang w:eastAsia="zh-CN"/>
          <w14:textFill>
            <w14:solidFill>
              <w14:schemeClr w14:val="tx1"/>
            </w14:solidFill>
          </w14:textFill>
        </w:rPr>
        <w:t>。</w:t>
      </w:r>
      <w:r>
        <w:rPr>
          <w:rFonts w:hint="eastAsia" w:ascii="仿宋_GB2312" w:hAnsi="仿宋" w:eastAsia="仿宋_GB2312" w:cs="仿宋_GB2312"/>
          <w:color w:val="000000" w:themeColor="text1"/>
          <w:sz w:val="30"/>
          <w:szCs w:val="30"/>
          <w14:textFill>
            <w14:solidFill>
              <w14:schemeClr w14:val="tx1"/>
            </w14:solidFill>
          </w14:textFill>
        </w:rPr>
        <w:t>同一学校</w:t>
      </w:r>
      <w:r>
        <w:rPr>
          <w:rFonts w:hint="eastAsia" w:ascii="仿宋_GB2312" w:hAnsi="仿宋" w:eastAsia="仿宋_GB2312" w:cs="仿宋_GB2312"/>
          <w:color w:val="000000" w:themeColor="text1"/>
          <w:sz w:val="30"/>
          <w:szCs w:val="30"/>
          <w:lang w:val="en-US" w:eastAsia="zh-CN"/>
          <w14:textFill>
            <w14:solidFill>
              <w14:schemeClr w14:val="tx1"/>
            </w14:solidFill>
          </w14:textFill>
        </w:rPr>
        <w:t>赛项领队1名，</w:t>
      </w:r>
      <w:r>
        <w:rPr>
          <w:rFonts w:hint="eastAsia" w:ascii="仿宋_GB2312" w:hAnsi="仿宋" w:eastAsia="仿宋_GB2312" w:cs="仿宋_GB2312"/>
          <w:color w:val="000000" w:themeColor="text1"/>
          <w:sz w:val="30"/>
          <w:szCs w:val="30"/>
          <w14:textFill>
            <w14:solidFill>
              <w14:schemeClr w14:val="tx1"/>
            </w14:solidFill>
          </w14:textFill>
        </w:rPr>
        <w:t>参赛队不超过2支</w:t>
      </w:r>
      <w:r>
        <w:rPr>
          <w:rFonts w:hint="eastAsia" w:ascii="仿宋_GB2312" w:hAnsi="仿宋" w:eastAsia="仿宋_GB2312" w:cs="仿宋_GB2312"/>
          <w:color w:val="000000" w:themeColor="text1"/>
          <w:sz w:val="30"/>
          <w:szCs w:val="30"/>
          <w:lang w:eastAsia="zh-CN"/>
          <w14:textFill>
            <w14:solidFill>
              <w14:schemeClr w14:val="tx1"/>
            </w14:solidFill>
          </w14:textFill>
        </w:rPr>
        <w:t>，</w:t>
      </w:r>
      <w:r>
        <w:rPr>
          <w:rFonts w:hint="eastAsia" w:ascii="仿宋_GB2312" w:hAnsi="仿宋" w:eastAsia="仿宋_GB2312" w:cs="仿宋_GB2312"/>
          <w:color w:val="000000" w:themeColor="text1"/>
          <w:sz w:val="30"/>
          <w:szCs w:val="30"/>
          <w14:textFill>
            <w14:solidFill>
              <w14:schemeClr w14:val="tx1"/>
            </w14:solidFill>
          </w14:textFill>
        </w:rPr>
        <w:t>每</w:t>
      </w:r>
      <w:r>
        <w:rPr>
          <w:rFonts w:hint="eastAsia" w:ascii="仿宋_GB2312" w:hAnsi="仿宋" w:eastAsia="仿宋_GB2312" w:cs="仿宋_GB2312"/>
          <w:color w:val="000000" w:themeColor="text1"/>
          <w:sz w:val="30"/>
          <w:szCs w:val="30"/>
          <w:lang w:val="en-US" w:eastAsia="zh-CN"/>
          <w14:textFill>
            <w14:solidFill>
              <w14:schemeClr w14:val="tx1"/>
            </w14:solidFill>
          </w14:textFill>
        </w:rPr>
        <w:t>支</w:t>
      </w:r>
      <w:r>
        <w:rPr>
          <w:rFonts w:hint="eastAsia" w:ascii="仿宋_GB2312" w:hAnsi="仿宋" w:eastAsia="仿宋_GB2312" w:cs="仿宋_GB2312"/>
          <w:color w:val="000000" w:themeColor="text1"/>
          <w:sz w:val="30"/>
          <w:szCs w:val="30"/>
          <w14:textFill>
            <w14:solidFill>
              <w14:schemeClr w14:val="tx1"/>
            </w14:solidFill>
          </w14:textFill>
        </w:rPr>
        <w:t>参赛队由2名参赛选手</w:t>
      </w:r>
      <w:r>
        <w:rPr>
          <w:rFonts w:hint="eastAsia" w:ascii="仿宋_GB2312" w:hAnsi="仿宋" w:eastAsia="仿宋_GB2312" w:cs="仿宋_GB2312"/>
          <w:color w:val="000000" w:themeColor="text1"/>
          <w:sz w:val="30"/>
          <w:szCs w:val="30"/>
          <w:lang w:val="en-US" w:eastAsia="zh-CN"/>
          <w14:textFill>
            <w14:solidFill>
              <w14:schemeClr w14:val="tx1"/>
            </w14:solidFill>
          </w14:textFill>
        </w:rPr>
        <w:t>和</w:t>
      </w:r>
      <w:r>
        <w:rPr>
          <w:rFonts w:hint="eastAsia" w:ascii="仿宋_GB2312" w:hAnsi="仿宋" w:eastAsia="仿宋_GB2312" w:cs="仿宋_GB2312"/>
          <w:color w:val="000000" w:themeColor="text1"/>
          <w:sz w:val="30"/>
          <w:szCs w:val="30"/>
          <w14:textFill>
            <w14:solidFill>
              <w14:schemeClr w14:val="tx1"/>
            </w14:solidFill>
          </w14:textFill>
        </w:rPr>
        <w:t>2名指导教师组成，指导老师须为本校专兼职教师</w:t>
      </w:r>
      <w:r>
        <w:rPr>
          <w:rFonts w:hint="eastAsia" w:ascii="仿宋_GB2312" w:hAnsi="仿宋" w:eastAsia="仿宋_GB2312" w:cs="仿宋_GB2312"/>
          <w:color w:val="000000" w:themeColor="text1"/>
          <w:sz w:val="30"/>
          <w:szCs w:val="30"/>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 w:eastAsia="仿宋_GB2312" w:cs="仿宋_GB2312"/>
          <w:color w:val="000000" w:themeColor="text1"/>
          <w:sz w:val="30"/>
          <w:szCs w:val="30"/>
          <w14:textFill>
            <w14:solidFill>
              <w14:schemeClr w14:val="tx1"/>
            </w14:solidFill>
          </w14:textFill>
        </w:rPr>
        <w:t>3.选手资格：参赛选手须是2023年在籍全日制高职学生，参赛选手须为同本校在籍。往届全国职业院校技能大赛高职组竞赛中获得一等奖的选手，不得参加同一项目相同组别的比赛。</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eastAsia="黑体"/>
          <w:bCs/>
          <w:color w:val="000000" w:themeColor="text1"/>
          <w:sz w:val="30"/>
          <w:szCs w:val="30"/>
          <w:lang w:val="zh-TW" w:eastAsia="zh-TW"/>
          <w14:textFill>
            <w14:solidFill>
              <w14:schemeClr w14:val="tx1"/>
            </w14:solidFill>
          </w14:textFill>
        </w:rPr>
      </w:pPr>
      <w:r>
        <w:rPr>
          <w:rFonts w:hint="eastAsia" w:eastAsia="黑体"/>
          <w:bCs/>
          <w:color w:val="000000" w:themeColor="text1"/>
          <w:sz w:val="30"/>
          <w:szCs w:val="30"/>
          <w:lang w:val="zh-TW"/>
          <w14:textFill>
            <w14:solidFill>
              <w14:schemeClr w14:val="tx1"/>
            </w14:solidFill>
          </w14:textFill>
        </w:rPr>
        <w:t>四</w:t>
      </w:r>
      <w:r>
        <w:rPr>
          <w:rFonts w:eastAsia="黑体"/>
          <w:bCs/>
          <w:color w:val="000000" w:themeColor="text1"/>
          <w:sz w:val="30"/>
          <w:szCs w:val="30"/>
          <w:lang w:val="zh-TW"/>
          <w14:textFill>
            <w14:solidFill>
              <w14:schemeClr w14:val="tx1"/>
            </w14:solidFill>
          </w14:textFill>
        </w:rPr>
        <w:t>、</w:t>
      </w:r>
      <w:r>
        <w:rPr>
          <w:rFonts w:eastAsia="黑体"/>
          <w:bCs/>
          <w:color w:val="000000" w:themeColor="text1"/>
          <w:sz w:val="30"/>
          <w:szCs w:val="30"/>
          <w:lang w:val="zh-TW" w:eastAsia="zh-TW"/>
          <w14:textFill>
            <w14:solidFill>
              <w14:schemeClr w14:val="tx1"/>
            </w14:solidFill>
          </w14:textFill>
        </w:rPr>
        <w:t>参赛报名</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ascii="仿宋_GB2312" w:hAnsi="仿宋" w:eastAsia="仿宋_GB2312" w:cs="仿宋_GB2312"/>
          <w:color w:val="000000" w:themeColor="text1"/>
          <w:sz w:val="30"/>
          <w:szCs w:val="30"/>
          <w:lang w:eastAsia="zh-TW"/>
          <w14:textFill>
            <w14:solidFill>
              <w14:schemeClr w14:val="tx1"/>
            </w14:solidFill>
          </w14:textFill>
        </w:rPr>
      </w:pPr>
      <w:r>
        <w:rPr>
          <w:rFonts w:hint="eastAsia" w:ascii="仿宋_GB2312" w:hAnsi="仿宋" w:eastAsia="仿宋_GB2312" w:cs="仿宋_GB2312"/>
          <w:color w:val="000000" w:themeColor="text1"/>
          <w:sz w:val="30"/>
          <w:szCs w:val="30"/>
          <w:lang w:eastAsia="zh-TW"/>
          <w14:textFill>
            <w14:solidFill>
              <w14:schemeClr w14:val="tx1"/>
            </w14:solidFill>
          </w14:textFill>
        </w:rPr>
        <w:t>1.参赛院校须于2023年11月</w:t>
      </w:r>
      <w:r>
        <w:rPr>
          <w:rFonts w:hint="eastAsia" w:ascii="仿宋_GB2312" w:hAnsi="仿宋" w:eastAsia="仿宋_GB2312" w:cs="仿宋_GB2312"/>
          <w:color w:val="000000" w:themeColor="text1"/>
          <w:sz w:val="30"/>
          <w:szCs w:val="30"/>
          <w:lang w:val="en-US" w:eastAsia="zh-CN"/>
          <w14:textFill>
            <w14:solidFill>
              <w14:schemeClr w14:val="tx1"/>
            </w14:solidFill>
          </w14:textFill>
        </w:rPr>
        <w:t>27</w:t>
      </w:r>
      <w:r>
        <w:rPr>
          <w:rFonts w:hint="eastAsia" w:ascii="仿宋_GB2312" w:hAnsi="仿宋" w:eastAsia="仿宋_GB2312" w:cs="仿宋_GB2312"/>
          <w:color w:val="000000" w:themeColor="text1"/>
          <w:sz w:val="30"/>
          <w:szCs w:val="30"/>
          <w:lang w:eastAsia="zh-TW"/>
          <w14:textFill>
            <w14:solidFill>
              <w14:schemeClr w14:val="tx1"/>
            </w14:solidFill>
          </w14:textFill>
        </w:rPr>
        <w:t>日前登录河南省高职院校技能大赛报名系统（http://39.105.49.188/），按要求填报并提交参赛信息。</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ascii="仿宋_GB2312" w:hAnsi="仿宋" w:eastAsia="仿宋_GB2312" w:cs="仿宋_GB2312"/>
          <w:color w:val="000000" w:themeColor="text1"/>
          <w:sz w:val="30"/>
          <w:szCs w:val="30"/>
          <w14:textFill>
            <w14:solidFill>
              <w14:schemeClr w14:val="tx1"/>
            </w14:solidFill>
          </w14:textFill>
        </w:rPr>
      </w:pPr>
      <w:r>
        <w:rPr>
          <w:rFonts w:hint="eastAsia" w:ascii="仿宋_GB2312" w:hAnsi="仿宋" w:eastAsia="仿宋_GB2312" w:cs="仿宋_GB2312"/>
          <w:color w:val="000000" w:themeColor="text1"/>
          <w:sz w:val="30"/>
          <w:szCs w:val="30"/>
          <w14:textFill>
            <w14:solidFill>
              <w14:schemeClr w14:val="tx1"/>
            </w14:solidFill>
          </w14:textFill>
        </w:rPr>
        <w:t>2.各参赛校以学校为单位注册报名平台，专人负责报名工作。（技术支持：张玺，电话：19837739696）。</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ascii="仿宋_GB2312" w:hAnsi="仿宋" w:eastAsia="仿宋_GB2312" w:cs="仿宋_GB2312"/>
          <w:color w:val="000000" w:themeColor="text1"/>
          <w:sz w:val="30"/>
          <w:szCs w:val="30"/>
          <w14:textFill>
            <w14:solidFill>
              <w14:schemeClr w14:val="tx1"/>
            </w14:solidFill>
          </w14:textFill>
        </w:rPr>
      </w:pPr>
      <w:r>
        <w:rPr>
          <w:rFonts w:hint="eastAsia" w:ascii="仿宋_GB2312" w:hAnsi="仿宋" w:eastAsia="仿宋_GB2312" w:cs="仿宋_GB2312"/>
          <w:color w:val="000000" w:themeColor="text1"/>
          <w:sz w:val="30"/>
          <w:szCs w:val="30"/>
          <w14:textFill>
            <w14:solidFill>
              <w14:schemeClr w14:val="tx1"/>
            </w14:solidFill>
          </w14:textFill>
        </w:rPr>
        <w:t>3.提交报名信息后，参赛院校从系统导出参赛选手报名表、参赛信息汇总表后，连同参赛选手身份证复印件和学信网“教育部学籍在线验证报告”或省招办录取名册复印件各1份并加盖院校公章，报送或邮寄到赛项承办院校（河南应用技术职业学院）。纸质报名材料接收截止时间为11月2</w:t>
      </w:r>
      <w:r>
        <w:rPr>
          <w:rFonts w:hint="eastAsia" w:ascii="仿宋_GB2312" w:hAnsi="仿宋" w:eastAsia="仿宋_GB2312" w:cs="仿宋_GB2312"/>
          <w:color w:val="000000" w:themeColor="text1"/>
          <w:sz w:val="30"/>
          <w:szCs w:val="30"/>
          <w:lang w:val="en-US" w:eastAsia="zh-CN"/>
          <w14:textFill>
            <w14:solidFill>
              <w14:schemeClr w14:val="tx1"/>
            </w14:solidFill>
          </w14:textFill>
        </w:rPr>
        <w:t>9</w:t>
      </w:r>
      <w:r>
        <w:rPr>
          <w:rFonts w:hint="eastAsia" w:ascii="仿宋_GB2312" w:hAnsi="仿宋" w:eastAsia="仿宋_GB2312" w:cs="仿宋_GB2312"/>
          <w:color w:val="000000" w:themeColor="text1"/>
          <w:sz w:val="30"/>
          <w:szCs w:val="30"/>
          <w14:textFill>
            <w14:solidFill>
              <w14:schemeClr w14:val="tx1"/>
            </w14:solidFill>
          </w14:textFill>
        </w:rPr>
        <w:t>日，以邮戳时间为准。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ascii="仿宋_GB2312" w:hAnsi="仿宋" w:eastAsia="仿宋_GB2312" w:cs="仿宋_GB2312"/>
          <w:color w:val="000000" w:themeColor="text1"/>
          <w:sz w:val="30"/>
          <w:szCs w:val="30"/>
          <w14:textFill>
            <w14:solidFill>
              <w14:schemeClr w14:val="tx1"/>
            </w14:solidFill>
          </w14:textFill>
        </w:rPr>
      </w:pPr>
      <w:r>
        <w:rPr>
          <w:rFonts w:hint="eastAsia" w:ascii="仿宋_GB2312" w:hAnsi="仿宋" w:eastAsia="仿宋_GB2312" w:cs="仿宋_GB2312"/>
          <w:color w:val="000000" w:themeColor="text1"/>
          <w:sz w:val="30"/>
          <w:szCs w:val="30"/>
          <w14:textFill>
            <w14:solidFill>
              <w14:schemeClr w14:val="tx1"/>
            </w14:solidFill>
          </w14:textFill>
        </w:rPr>
        <w:t>邮寄地址：河南省郑州市郑上路548号河南应用技术职业学院，联系人：吴朝阳，电话：15037196365。</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ascii="仿宋_GB2312" w:hAnsi="仿宋" w:eastAsia="仿宋_GB2312" w:cs="仿宋_GB2312"/>
          <w:color w:val="000000" w:themeColor="text1"/>
          <w:sz w:val="30"/>
          <w:szCs w:val="30"/>
          <w14:textFill>
            <w14:solidFill>
              <w14:schemeClr w14:val="tx1"/>
            </w14:solidFill>
          </w14:textFill>
        </w:rPr>
      </w:pPr>
      <w:r>
        <w:rPr>
          <w:rFonts w:hint="eastAsia" w:ascii="仿宋_GB2312" w:hAnsi="仿宋" w:eastAsia="仿宋_GB2312" w:cs="仿宋_GB2312"/>
          <w:color w:val="000000" w:themeColor="text1"/>
          <w:sz w:val="30"/>
          <w:szCs w:val="30"/>
          <w14:textFill>
            <w14:solidFill>
              <w14:schemeClr w14:val="tx1"/>
            </w14:solidFill>
          </w14:textFill>
        </w:rPr>
        <w:t>4.</w:t>
      </w:r>
      <w:r>
        <w:rPr>
          <w:rFonts w:hint="eastAsia" w:ascii="仿宋_GB2312" w:hAnsi="仿宋" w:eastAsia="仿宋_GB2312" w:cs="仿宋_GB2312"/>
          <w:color w:val="000000" w:themeColor="text1"/>
          <w:sz w:val="30"/>
          <w:szCs w:val="30"/>
          <w:lang w:val="en-US" w:eastAsia="zh-CN"/>
          <w14:textFill>
            <w14:solidFill>
              <w14:schemeClr w14:val="tx1"/>
            </w14:solidFill>
          </w14:textFill>
        </w:rPr>
        <w:t>承</w:t>
      </w:r>
      <w:r>
        <w:rPr>
          <w:rFonts w:hint="eastAsia" w:ascii="仿宋_GB2312" w:hAnsi="仿宋" w:eastAsia="仿宋_GB2312" w:cs="仿宋_GB2312"/>
          <w:color w:val="000000" w:themeColor="text1"/>
          <w:sz w:val="30"/>
          <w:szCs w:val="30"/>
          <w14:textFill>
            <w14:solidFill>
              <w14:schemeClr w14:val="tx1"/>
            </w14:solidFill>
          </w14:textFill>
        </w:rPr>
        <w:t>办学校收到纸质报名材料，按参赛条件的要求认真审核参赛选手和指导教师资格，审核通过报名成功。</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eastAsia="黑体"/>
          <w:bCs/>
          <w:color w:val="000000" w:themeColor="text1"/>
          <w:sz w:val="30"/>
          <w:szCs w:val="30"/>
          <w:lang w:val="zh-TW"/>
          <w14:textFill>
            <w14:solidFill>
              <w14:schemeClr w14:val="tx1"/>
            </w14:solidFill>
          </w14:textFill>
        </w:rPr>
      </w:pPr>
      <w:r>
        <w:rPr>
          <w:rFonts w:hint="eastAsia" w:eastAsia="黑体"/>
          <w:bCs/>
          <w:color w:val="000000" w:themeColor="text1"/>
          <w:sz w:val="30"/>
          <w:szCs w:val="30"/>
          <w:lang w:val="zh-TW"/>
          <w14:textFill>
            <w14:solidFill>
              <w14:schemeClr w14:val="tx1"/>
            </w14:solidFill>
          </w14:textFill>
        </w:rPr>
        <w:t>五</w:t>
      </w:r>
      <w:r>
        <w:rPr>
          <w:rFonts w:eastAsia="黑体"/>
          <w:bCs/>
          <w:color w:val="000000" w:themeColor="text1"/>
          <w:sz w:val="30"/>
          <w:szCs w:val="30"/>
          <w:lang w:val="zh-TW"/>
          <w14:textFill>
            <w14:solidFill>
              <w14:schemeClr w14:val="tx1"/>
            </w14:solidFill>
          </w14:textFill>
        </w:rPr>
        <w:t>、竞赛日程安排</w:t>
      </w:r>
    </w:p>
    <w:p>
      <w:pPr>
        <w:adjustRightInd w:val="0"/>
        <w:snapToGrid w:val="0"/>
        <w:spacing w:line="560" w:lineRule="exact"/>
        <w:ind w:firstLine="480" w:firstLineChars="200"/>
        <w:jc w:val="center"/>
        <w:rPr>
          <w:rFonts w:eastAsia="黑体"/>
          <w:bCs/>
          <w:color w:val="000000" w:themeColor="text1"/>
          <w:sz w:val="28"/>
          <w:szCs w:val="28"/>
          <w14:textFill>
            <w14:solidFill>
              <w14:schemeClr w14:val="tx1"/>
            </w14:solidFill>
          </w14:textFill>
        </w:rPr>
      </w:pPr>
      <w:r>
        <w:rPr>
          <w:rFonts w:hint="eastAsia" w:ascii="黑体" w:hAnsi="黑体" w:eastAsia="黑体" w:cs="黑体"/>
          <w:bCs/>
          <w:color w:val="000000" w:themeColor="text1"/>
          <w:sz w:val="24"/>
          <w:szCs w:val="24"/>
          <w14:textFill>
            <w14:solidFill>
              <w14:schemeClr w14:val="tx1"/>
            </w14:solidFill>
          </w14:textFill>
        </w:rPr>
        <w:t>表1  竞赛日程安排</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0"/>
        <w:gridCol w:w="1884"/>
        <w:gridCol w:w="5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230" w:type="dxa"/>
            <w:vAlign w:val="center"/>
          </w:tcPr>
          <w:p>
            <w:pPr>
              <w:jc w:val="center"/>
              <w:rPr>
                <w:rFonts w:ascii="黑体" w:hAnsi="黑体" w:eastAsia="黑体" w:cs="黑体"/>
                <w:bCs/>
                <w:color w:val="000000" w:themeColor="text1"/>
                <w:sz w:val="24"/>
                <w:szCs w:val="24"/>
                <w14:textFill>
                  <w14:solidFill>
                    <w14:schemeClr w14:val="tx1"/>
                  </w14:solidFill>
                </w14:textFill>
              </w:rPr>
            </w:pPr>
            <w:r>
              <w:rPr>
                <w:rFonts w:hint="eastAsia" w:ascii="黑体" w:hAnsi="黑体" w:eastAsia="黑体" w:cs="黑体"/>
                <w:bCs/>
                <w:color w:val="000000" w:themeColor="text1"/>
                <w:sz w:val="24"/>
                <w:szCs w:val="24"/>
                <w14:textFill>
                  <w14:solidFill>
                    <w14:schemeClr w14:val="tx1"/>
                  </w14:solidFill>
                </w14:textFill>
              </w:rPr>
              <w:t>日期</w:t>
            </w:r>
          </w:p>
        </w:tc>
        <w:tc>
          <w:tcPr>
            <w:tcW w:w="1884" w:type="dxa"/>
            <w:vAlign w:val="center"/>
          </w:tcPr>
          <w:p>
            <w:pPr>
              <w:jc w:val="center"/>
              <w:rPr>
                <w:rFonts w:ascii="黑体" w:hAnsi="黑体" w:eastAsia="黑体" w:cs="黑体"/>
                <w:bCs/>
                <w:color w:val="000000" w:themeColor="text1"/>
                <w:sz w:val="24"/>
                <w:szCs w:val="24"/>
                <w14:textFill>
                  <w14:solidFill>
                    <w14:schemeClr w14:val="tx1"/>
                  </w14:solidFill>
                </w14:textFill>
              </w:rPr>
            </w:pPr>
            <w:r>
              <w:rPr>
                <w:rFonts w:hint="eastAsia" w:ascii="黑体" w:hAnsi="黑体" w:eastAsia="黑体" w:cs="黑体"/>
                <w:bCs/>
                <w:color w:val="000000" w:themeColor="text1"/>
                <w:sz w:val="24"/>
                <w:szCs w:val="24"/>
                <w14:textFill>
                  <w14:solidFill>
                    <w14:schemeClr w14:val="tx1"/>
                  </w14:solidFill>
                </w14:textFill>
              </w:rPr>
              <w:t>时间</w:t>
            </w:r>
          </w:p>
        </w:tc>
        <w:tc>
          <w:tcPr>
            <w:tcW w:w="5306" w:type="dxa"/>
            <w:vAlign w:val="center"/>
          </w:tcPr>
          <w:p>
            <w:pPr>
              <w:jc w:val="center"/>
              <w:rPr>
                <w:rFonts w:ascii="黑体" w:hAnsi="黑体" w:eastAsia="黑体" w:cs="黑体"/>
                <w:bCs/>
                <w:color w:val="000000" w:themeColor="text1"/>
                <w:sz w:val="24"/>
                <w:szCs w:val="24"/>
                <w14:textFill>
                  <w14:solidFill>
                    <w14:schemeClr w14:val="tx1"/>
                  </w14:solidFill>
                </w14:textFill>
              </w:rPr>
            </w:pPr>
            <w:r>
              <w:rPr>
                <w:rFonts w:hint="eastAsia" w:ascii="黑体" w:hAnsi="黑体" w:eastAsia="黑体" w:cs="黑体"/>
                <w:bCs/>
                <w:color w:val="000000" w:themeColor="text1"/>
                <w:sz w:val="24"/>
                <w:szCs w:val="24"/>
                <w14:textFill>
                  <w14:solidFill>
                    <w14:schemeClr w14:val="tx1"/>
                  </w14:solidFill>
                </w14:textFill>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230" w:type="dxa"/>
            <w:vMerge w:val="restart"/>
            <w:vAlign w:val="center"/>
          </w:tcPr>
          <w:p>
            <w:pPr>
              <w:pStyle w:val="4"/>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第一天</w:t>
            </w:r>
          </w:p>
          <w:p>
            <w:pPr>
              <w:pStyle w:val="4"/>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月</w:t>
            </w:r>
            <w:r>
              <w:rPr>
                <w:rFonts w:hint="eastAsia"/>
                <w:color w:val="000000" w:themeColor="text1"/>
                <w:lang w:val="en-US" w:eastAsia="zh-CN"/>
                <w14:textFill>
                  <w14:solidFill>
                    <w14:schemeClr w14:val="tx1"/>
                  </w14:solidFill>
                </w14:textFill>
              </w:rPr>
              <w:t>1</w:t>
            </w:r>
            <w:r>
              <w:rPr>
                <w:rFonts w:hint="eastAsia"/>
                <w:color w:val="000000" w:themeColor="text1"/>
                <w14:textFill>
                  <w14:solidFill>
                    <w14:schemeClr w14:val="tx1"/>
                  </w14:solidFill>
                </w14:textFill>
              </w:rPr>
              <w:t>日</w:t>
            </w:r>
          </w:p>
        </w:tc>
        <w:tc>
          <w:tcPr>
            <w:tcW w:w="1884" w:type="dxa"/>
            <w:vAlign w:val="center"/>
          </w:tcPr>
          <w:p>
            <w:pPr>
              <w:pStyle w:val="4"/>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上午</w:t>
            </w:r>
          </w:p>
        </w:tc>
        <w:tc>
          <w:tcPr>
            <w:tcW w:w="5306" w:type="dxa"/>
            <w:vAlign w:val="center"/>
          </w:tcPr>
          <w:p>
            <w:pPr>
              <w:pStyle w:val="4"/>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参赛队报到，安排住宿、发放参赛证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230" w:type="dxa"/>
            <w:vMerge w:val="continue"/>
            <w:vAlign w:val="center"/>
          </w:tcPr>
          <w:p>
            <w:pPr>
              <w:spacing w:line="560" w:lineRule="exact"/>
              <w:jc w:val="center"/>
              <w:rPr>
                <w:rFonts w:eastAsia="黑体"/>
                <w:bCs/>
                <w:color w:val="000000" w:themeColor="text1"/>
                <w:sz w:val="24"/>
                <w:szCs w:val="24"/>
                <w:lang w:val="zh-TW"/>
                <w14:textFill>
                  <w14:solidFill>
                    <w14:schemeClr w14:val="tx1"/>
                  </w14:solidFill>
                </w14:textFill>
              </w:rPr>
            </w:pPr>
          </w:p>
        </w:tc>
        <w:tc>
          <w:tcPr>
            <w:tcW w:w="1884" w:type="dxa"/>
            <w:vAlign w:val="center"/>
          </w:tcPr>
          <w:p>
            <w:pPr>
              <w:pStyle w:val="4"/>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下午</w:t>
            </w:r>
          </w:p>
        </w:tc>
        <w:tc>
          <w:tcPr>
            <w:tcW w:w="5306" w:type="dxa"/>
            <w:vAlign w:val="center"/>
          </w:tcPr>
          <w:p>
            <w:pPr>
              <w:pStyle w:val="4"/>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开赛式、领队会议、选手熟悉比赛赛场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0" w:type="dxa"/>
            <w:vMerge w:val="continue"/>
            <w:vAlign w:val="center"/>
          </w:tcPr>
          <w:p>
            <w:pPr>
              <w:spacing w:line="560" w:lineRule="exact"/>
              <w:jc w:val="center"/>
              <w:rPr>
                <w:rFonts w:eastAsia="黑体"/>
                <w:bCs/>
                <w:color w:val="000000" w:themeColor="text1"/>
                <w:sz w:val="24"/>
                <w:szCs w:val="24"/>
                <w:lang w:val="zh-TW"/>
                <w14:textFill>
                  <w14:solidFill>
                    <w14:schemeClr w14:val="tx1"/>
                  </w14:solidFill>
                </w14:textFill>
              </w:rPr>
            </w:pPr>
          </w:p>
        </w:tc>
        <w:tc>
          <w:tcPr>
            <w:tcW w:w="1884" w:type="dxa"/>
            <w:vAlign w:val="center"/>
          </w:tcPr>
          <w:p>
            <w:pPr>
              <w:pStyle w:val="4"/>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晚上</w:t>
            </w:r>
          </w:p>
        </w:tc>
        <w:tc>
          <w:tcPr>
            <w:tcW w:w="5306" w:type="dxa"/>
            <w:vAlign w:val="center"/>
          </w:tcPr>
          <w:p>
            <w:pPr>
              <w:pStyle w:val="4"/>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模块三考核（仿真操作）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0" w:type="dxa"/>
            <w:vMerge w:val="continue"/>
            <w:vAlign w:val="center"/>
          </w:tcPr>
          <w:p>
            <w:pPr>
              <w:spacing w:line="560" w:lineRule="exact"/>
              <w:jc w:val="center"/>
              <w:rPr>
                <w:rFonts w:eastAsia="黑体"/>
                <w:bCs/>
                <w:color w:val="000000" w:themeColor="text1"/>
                <w:sz w:val="24"/>
                <w:szCs w:val="24"/>
                <w:lang w:val="zh-TW"/>
                <w14:textFill>
                  <w14:solidFill>
                    <w14:schemeClr w14:val="tx1"/>
                  </w14:solidFill>
                </w14:textFill>
              </w:rPr>
            </w:pPr>
          </w:p>
        </w:tc>
        <w:tc>
          <w:tcPr>
            <w:tcW w:w="1884" w:type="dxa"/>
            <w:vAlign w:val="center"/>
          </w:tcPr>
          <w:p>
            <w:pPr>
              <w:pStyle w:val="4"/>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晚上</w:t>
            </w:r>
          </w:p>
        </w:tc>
        <w:tc>
          <w:tcPr>
            <w:tcW w:w="5306" w:type="dxa"/>
            <w:vAlign w:val="center"/>
          </w:tcPr>
          <w:p>
            <w:pPr>
              <w:pStyle w:val="4"/>
              <w:jc w:val="center"/>
              <w:rPr>
                <w:rFonts w:hint="default" w:eastAsia="仿宋_GB2312"/>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仿真成绩录入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230" w:type="dxa"/>
            <w:vMerge w:val="restart"/>
            <w:vAlign w:val="center"/>
          </w:tcPr>
          <w:p>
            <w:pPr>
              <w:pStyle w:val="4"/>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第二天</w:t>
            </w:r>
          </w:p>
          <w:p>
            <w:pPr>
              <w:pStyle w:val="4"/>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月</w:t>
            </w: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日</w:t>
            </w:r>
          </w:p>
        </w:tc>
        <w:tc>
          <w:tcPr>
            <w:tcW w:w="1884" w:type="dxa"/>
            <w:vAlign w:val="center"/>
          </w:tcPr>
          <w:p>
            <w:pPr>
              <w:pStyle w:val="4"/>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上午</w:t>
            </w:r>
          </w:p>
        </w:tc>
        <w:tc>
          <w:tcPr>
            <w:tcW w:w="5306" w:type="dxa"/>
            <w:vAlign w:val="center"/>
          </w:tcPr>
          <w:p>
            <w:pPr>
              <w:pStyle w:val="4"/>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模块一考核（第一场）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230" w:type="dxa"/>
            <w:vMerge w:val="continue"/>
            <w:vAlign w:val="center"/>
          </w:tcPr>
          <w:p>
            <w:pPr>
              <w:spacing w:line="560" w:lineRule="exact"/>
              <w:jc w:val="center"/>
              <w:rPr>
                <w:rFonts w:eastAsia="黑体"/>
                <w:bCs/>
                <w:color w:val="000000" w:themeColor="text1"/>
                <w:sz w:val="24"/>
                <w:szCs w:val="24"/>
                <w:lang w:val="zh-TW"/>
                <w14:textFill>
                  <w14:solidFill>
                    <w14:schemeClr w14:val="tx1"/>
                  </w14:solidFill>
                </w14:textFill>
              </w:rPr>
            </w:pPr>
          </w:p>
        </w:tc>
        <w:tc>
          <w:tcPr>
            <w:tcW w:w="1884" w:type="dxa"/>
            <w:vAlign w:val="center"/>
          </w:tcPr>
          <w:p>
            <w:pPr>
              <w:pStyle w:val="4"/>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下午</w:t>
            </w:r>
          </w:p>
        </w:tc>
        <w:tc>
          <w:tcPr>
            <w:tcW w:w="5306" w:type="dxa"/>
            <w:vAlign w:val="center"/>
          </w:tcPr>
          <w:p>
            <w:pPr>
              <w:pStyle w:val="4"/>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模块二考核（第一场）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230" w:type="dxa"/>
            <w:vMerge w:val="continue"/>
            <w:vAlign w:val="center"/>
          </w:tcPr>
          <w:p>
            <w:pPr>
              <w:spacing w:line="560" w:lineRule="exact"/>
              <w:jc w:val="center"/>
              <w:rPr>
                <w:rFonts w:eastAsia="黑体"/>
                <w:bCs/>
                <w:color w:val="000000" w:themeColor="text1"/>
                <w:sz w:val="24"/>
                <w:szCs w:val="24"/>
                <w:lang w:val="zh-TW"/>
                <w14:textFill>
                  <w14:solidFill>
                    <w14:schemeClr w14:val="tx1"/>
                  </w14:solidFill>
                </w14:textFill>
              </w:rPr>
            </w:pPr>
          </w:p>
        </w:tc>
        <w:tc>
          <w:tcPr>
            <w:tcW w:w="1884" w:type="dxa"/>
            <w:vAlign w:val="center"/>
          </w:tcPr>
          <w:p>
            <w:pPr>
              <w:pStyle w:val="4"/>
              <w:jc w:val="center"/>
              <w:rPr>
                <w:rFonts w:hint="eastAsia" w:eastAsia="仿宋_GB2312"/>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晚上</w:t>
            </w:r>
          </w:p>
        </w:tc>
        <w:tc>
          <w:tcPr>
            <w:tcW w:w="5306" w:type="dxa"/>
            <w:vAlign w:val="center"/>
          </w:tcPr>
          <w:p>
            <w:pPr>
              <w:pStyle w:val="4"/>
              <w:jc w:val="center"/>
              <w:rPr>
                <w:rFonts w:hint="default" w:eastAsia="仿宋_GB2312"/>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裁判员阅卷</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成绩录入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230" w:type="dxa"/>
            <w:vMerge w:val="restart"/>
            <w:vAlign w:val="center"/>
          </w:tcPr>
          <w:p>
            <w:pPr>
              <w:pStyle w:val="4"/>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第三天</w:t>
            </w:r>
          </w:p>
          <w:p>
            <w:pPr>
              <w:pStyle w:val="4"/>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月</w:t>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日</w:t>
            </w:r>
          </w:p>
        </w:tc>
        <w:tc>
          <w:tcPr>
            <w:tcW w:w="1884" w:type="dxa"/>
            <w:vAlign w:val="center"/>
          </w:tcPr>
          <w:p>
            <w:pPr>
              <w:pStyle w:val="4"/>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上午</w:t>
            </w:r>
          </w:p>
        </w:tc>
        <w:tc>
          <w:tcPr>
            <w:tcW w:w="5306" w:type="dxa"/>
            <w:vAlign w:val="center"/>
          </w:tcPr>
          <w:p>
            <w:pPr>
              <w:pStyle w:val="4"/>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模块一考核（第二场）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230" w:type="dxa"/>
            <w:vMerge w:val="continue"/>
            <w:vAlign w:val="center"/>
          </w:tcPr>
          <w:p>
            <w:pPr>
              <w:spacing w:line="560" w:lineRule="exact"/>
              <w:jc w:val="center"/>
              <w:rPr>
                <w:rFonts w:eastAsia="黑体"/>
                <w:bCs/>
                <w:color w:val="000000" w:themeColor="text1"/>
                <w:sz w:val="24"/>
                <w:szCs w:val="24"/>
                <w:lang w:val="zh-TW"/>
                <w14:textFill>
                  <w14:solidFill>
                    <w14:schemeClr w14:val="tx1"/>
                  </w14:solidFill>
                </w14:textFill>
              </w:rPr>
            </w:pPr>
          </w:p>
        </w:tc>
        <w:tc>
          <w:tcPr>
            <w:tcW w:w="1884" w:type="dxa"/>
            <w:vAlign w:val="center"/>
          </w:tcPr>
          <w:p>
            <w:pPr>
              <w:pStyle w:val="4"/>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下午</w:t>
            </w:r>
          </w:p>
        </w:tc>
        <w:tc>
          <w:tcPr>
            <w:tcW w:w="5306" w:type="dxa"/>
            <w:vAlign w:val="center"/>
          </w:tcPr>
          <w:p>
            <w:pPr>
              <w:pStyle w:val="4"/>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模块二考核（第二场）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230" w:type="dxa"/>
            <w:vMerge w:val="continue"/>
            <w:vAlign w:val="center"/>
          </w:tcPr>
          <w:p>
            <w:pPr>
              <w:spacing w:line="560" w:lineRule="exact"/>
              <w:jc w:val="center"/>
              <w:rPr>
                <w:rFonts w:eastAsia="黑体"/>
                <w:bCs/>
                <w:color w:val="000000" w:themeColor="text1"/>
                <w:sz w:val="24"/>
                <w:szCs w:val="24"/>
                <w:lang w:val="zh-TW"/>
                <w14:textFill>
                  <w14:solidFill>
                    <w14:schemeClr w14:val="tx1"/>
                  </w14:solidFill>
                </w14:textFill>
              </w:rPr>
            </w:pPr>
          </w:p>
        </w:tc>
        <w:tc>
          <w:tcPr>
            <w:tcW w:w="1884" w:type="dxa"/>
            <w:vAlign w:val="center"/>
          </w:tcPr>
          <w:p>
            <w:pPr>
              <w:pStyle w:val="4"/>
              <w:jc w:val="center"/>
              <w:rPr>
                <w:rFonts w:hint="eastAsia" w:ascii="仿宋_GB2312" w:eastAsia="仿宋_GB2312" w:cs="仿宋_GB2312" w:hAnsiTheme="minorHAnsi"/>
                <w:color w:val="000000" w:themeColor="text1"/>
                <w:sz w:val="24"/>
                <w:szCs w:val="24"/>
                <w:lang w:val="en-US" w:eastAsia="zh-CN" w:bidi="ar-SA"/>
                <w14:textFill>
                  <w14:solidFill>
                    <w14:schemeClr w14:val="tx1"/>
                  </w14:solidFill>
                </w14:textFill>
              </w:rPr>
            </w:pPr>
            <w:r>
              <w:rPr>
                <w:rFonts w:hint="eastAsia"/>
                <w:color w:val="000000" w:themeColor="text1"/>
                <w:lang w:val="en-US" w:eastAsia="zh-CN"/>
                <w14:textFill>
                  <w14:solidFill>
                    <w14:schemeClr w14:val="tx1"/>
                  </w14:solidFill>
                </w14:textFill>
              </w:rPr>
              <w:t>晚上</w:t>
            </w:r>
          </w:p>
        </w:tc>
        <w:tc>
          <w:tcPr>
            <w:tcW w:w="5306" w:type="dxa"/>
            <w:vAlign w:val="center"/>
          </w:tcPr>
          <w:p>
            <w:pPr>
              <w:pStyle w:val="4"/>
              <w:jc w:val="center"/>
              <w:rPr>
                <w:rFonts w:hint="eastAsia" w:ascii="仿宋_GB2312" w:eastAsia="仿宋_GB2312" w:cs="仿宋_GB2312" w:hAnsiTheme="minorHAnsi"/>
                <w:color w:val="000000" w:themeColor="text1"/>
                <w:sz w:val="24"/>
                <w:szCs w:val="24"/>
                <w:lang w:val="en-US" w:eastAsia="zh-CN" w:bidi="ar-SA"/>
                <w14:textFill>
                  <w14:solidFill>
                    <w14:schemeClr w14:val="tx1"/>
                  </w14:solidFill>
                </w14:textFill>
              </w:rPr>
            </w:pPr>
            <w:r>
              <w:rPr>
                <w:rFonts w:hint="eastAsia"/>
                <w:color w:val="000000" w:themeColor="text1"/>
                <w14:textFill>
                  <w14:solidFill>
                    <w14:schemeClr w14:val="tx1"/>
                  </w14:solidFill>
                </w14:textFill>
              </w:rPr>
              <w:t>裁判员阅卷</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成绩录入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230" w:type="dxa"/>
            <w:vMerge w:val="restart"/>
            <w:vAlign w:val="center"/>
          </w:tcPr>
          <w:p>
            <w:pPr>
              <w:pStyle w:val="4"/>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第四天</w:t>
            </w:r>
          </w:p>
          <w:p>
            <w:pPr>
              <w:pStyle w:val="4"/>
              <w:jc w:val="center"/>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12</w:t>
            </w:r>
            <w:r>
              <w:rPr>
                <w:rFonts w:hint="eastAsia"/>
                <w:color w:val="000000" w:themeColor="text1"/>
                <w14:textFill>
                  <w14:solidFill>
                    <w14:schemeClr w14:val="tx1"/>
                  </w14:solidFill>
                </w14:textFill>
              </w:rPr>
              <w:t>月</w:t>
            </w:r>
            <w:r>
              <w:rPr>
                <w:rFonts w:hint="eastAsia"/>
                <w:color w:val="000000" w:themeColor="text1"/>
                <w:lang w:val="en-US" w:eastAsia="zh-CN"/>
                <w14:textFill>
                  <w14:solidFill>
                    <w14:schemeClr w14:val="tx1"/>
                  </w14:solidFill>
                </w14:textFill>
              </w:rPr>
              <w:t>4</w:t>
            </w:r>
            <w:r>
              <w:rPr>
                <w:rFonts w:hint="eastAsia"/>
                <w:color w:val="000000" w:themeColor="text1"/>
                <w14:textFill>
                  <w14:solidFill>
                    <w14:schemeClr w14:val="tx1"/>
                  </w14:solidFill>
                </w14:textFill>
              </w:rPr>
              <w:t>日</w:t>
            </w:r>
          </w:p>
        </w:tc>
        <w:tc>
          <w:tcPr>
            <w:tcW w:w="1884" w:type="dxa"/>
            <w:vAlign w:val="center"/>
          </w:tcPr>
          <w:p>
            <w:pPr>
              <w:pStyle w:val="4"/>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上午</w:t>
            </w:r>
          </w:p>
        </w:tc>
        <w:tc>
          <w:tcPr>
            <w:tcW w:w="5306" w:type="dxa"/>
            <w:vAlign w:val="center"/>
          </w:tcPr>
          <w:p>
            <w:pPr>
              <w:pStyle w:val="4"/>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裁判员阅卷</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成绩核查，</w:t>
            </w:r>
            <w:r>
              <w:rPr>
                <w:rFonts w:hint="eastAsia"/>
                <w:color w:val="000000" w:themeColor="text1"/>
                <w14:textFill>
                  <w14:solidFill>
                    <w14:schemeClr w14:val="tx1"/>
                  </w14:solidFill>
                </w14:textFill>
              </w:rPr>
              <w:t>成绩录入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230" w:type="dxa"/>
            <w:vMerge w:val="continue"/>
            <w:vAlign w:val="center"/>
          </w:tcPr>
          <w:p>
            <w:pPr>
              <w:spacing w:line="560" w:lineRule="exact"/>
              <w:rPr>
                <w:rFonts w:eastAsia="黑体"/>
                <w:bCs/>
                <w:color w:val="000000" w:themeColor="text1"/>
                <w:sz w:val="24"/>
                <w:szCs w:val="24"/>
                <w:lang w:val="zh-TW"/>
                <w14:textFill>
                  <w14:solidFill>
                    <w14:schemeClr w14:val="tx1"/>
                  </w14:solidFill>
                </w14:textFill>
              </w:rPr>
            </w:pPr>
          </w:p>
        </w:tc>
        <w:tc>
          <w:tcPr>
            <w:tcW w:w="1884" w:type="dxa"/>
            <w:vAlign w:val="center"/>
          </w:tcPr>
          <w:p>
            <w:pPr>
              <w:pStyle w:val="4"/>
              <w:jc w:val="center"/>
              <w:rPr>
                <w:rFonts w:eastAsia="黑体"/>
                <w:bCs/>
                <w:color w:val="000000" w:themeColor="text1"/>
                <w:lang w:val="zh-TW"/>
                <w14:textFill>
                  <w14:solidFill>
                    <w14:schemeClr w14:val="tx1"/>
                  </w14:solidFill>
                </w14:textFill>
              </w:rPr>
            </w:pPr>
            <w:r>
              <w:rPr>
                <w:rFonts w:hint="eastAsia"/>
                <w:color w:val="000000" w:themeColor="text1"/>
                <w14:textFill>
                  <w14:solidFill>
                    <w14:schemeClr w14:val="tx1"/>
                  </w14:solidFill>
                </w14:textFill>
              </w:rPr>
              <w:t>下午</w:t>
            </w:r>
          </w:p>
        </w:tc>
        <w:tc>
          <w:tcPr>
            <w:tcW w:w="5306" w:type="dxa"/>
            <w:vAlign w:val="center"/>
          </w:tcPr>
          <w:p>
            <w:pPr>
              <w:pStyle w:val="4"/>
              <w:jc w:val="center"/>
              <w:rPr>
                <w:rFonts w:eastAsia="黑体"/>
                <w:bCs/>
                <w:color w:val="000000" w:themeColor="text1"/>
                <w:lang w:val="zh-TW"/>
                <w14:textFill>
                  <w14:solidFill>
                    <w14:schemeClr w14:val="tx1"/>
                  </w14:solidFill>
                </w14:textFill>
              </w:rPr>
            </w:pPr>
            <w:r>
              <w:rPr>
                <w:rFonts w:hint="eastAsia"/>
                <w:color w:val="000000" w:themeColor="text1"/>
                <w14:textFill>
                  <w14:solidFill>
                    <w14:schemeClr w14:val="tx1"/>
                  </w14:solidFill>
                </w14:textFill>
              </w:rPr>
              <w:t>成绩公布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230" w:type="dxa"/>
            <w:vAlign w:val="center"/>
          </w:tcPr>
          <w:p>
            <w:pPr>
              <w:spacing w:line="560" w:lineRule="exact"/>
              <w:rPr>
                <w:rFonts w:eastAsia="黑体"/>
                <w:bCs/>
                <w:color w:val="000000" w:themeColor="text1"/>
                <w:sz w:val="24"/>
                <w:szCs w:val="24"/>
                <w:lang w:val="zh-TW"/>
                <w14:textFill>
                  <w14:solidFill>
                    <w14:schemeClr w14:val="tx1"/>
                  </w14:solidFill>
                </w14:textFill>
              </w:rPr>
            </w:pPr>
            <w:r>
              <w:rPr>
                <w:rFonts w:eastAsia="仿宋_GB2312" w:asciiTheme="majorBidi" w:hAnsiTheme="majorBidi" w:cstheme="majorBidi"/>
                <w:color w:val="000000" w:themeColor="text1"/>
                <w:szCs w:val="21"/>
                <w14:textFill>
                  <w14:solidFill>
                    <w14:schemeClr w14:val="tx1"/>
                  </w14:solidFill>
                </w14:textFill>
              </w:rPr>
              <w:t>备注</w:t>
            </w:r>
          </w:p>
        </w:tc>
        <w:tc>
          <w:tcPr>
            <w:tcW w:w="7190" w:type="dxa"/>
            <w:gridSpan w:val="2"/>
            <w:vAlign w:val="center"/>
          </w:tcPr>
          <w:p>
            <w:pPr>
              <w:pStyle w:val="4"/>
              <w:jc w:val="center"/>
              <w:rPr>
                <w:color w:val="000000" w:themeColor="text1"/>
                <w14:textFill>
                  <w14:solidFill>
                    <w14:schemeClr w14:val="tx1"/>
                  </w14:solidFill>
                </w14:textFill>
              </w:rPr>
            </w:pPr>
            <w:r>
              <w:rPr>
                <w:rFonts w:asciiTheme="majorBidi" w:hAnsiTheme="majorBidi" w:cstheme="majorBidi"/>
                <w:color w:val="000000" w:themeColor="text1"/>
                <w:sz w:val="21"/>
                <w:szCs w:val="21"/>
                <w14:textFill>
                  <w14:solidFill>
                    <w14:schemeClr w14:val="tx1"/>
                  </w14:solidFill>
                </w14:textFill>
              </w:rPr>
              <w:t>根据参赛队数量，将适当调整比赛时间，如有变动以《赛项指南》为准。</w:t>
            </w:r>
          </w:p>
        </w:tc>
      </w:tr>
    </w:tbl>
    <w:p>
      <w:pPr>
        <w:jc w:val="center"/>
        <w:rPr>
          <w:rFonts w:ascii="黑体" w:hAnsi="黑体" w:eastAsia="黑体" w:cs="黑体"/>
          <w:bCs/>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eastAsia="黑体"/>
          <w:bCs/>
          <w:color w:val="000000" w:themeColor="text1"/>
          <w:sz w:val="32"/>
          <w:szCs w:val="32"/>
          <w14:textFill>
            <w14:solidFill>
              <w14:schemeClr w14:val="tx1"/>
            </w14:solidFill>
          </w14:textFill>
        </w:rPr>
      </w:pPr>
      <w:r>
        <w:rPr>
          <w:rFonts w:hint="eastAsia" w:eastAsia="黑体"/>
          <w:bCs/>
          <w:color w:val="000000" w:themeColor="text1"/>
          <w:sz w:val="30"/>
          <w:szCs w:val="30"/>
          <w14:textFill>
            <w14:solidFill>
              <w14:schemeClr w14:val="tx1"/>
            </w14:solidFill>
          </w14:textFill>
        </w:rPr>
        <w:t>六、</w:t>
      </w:r>
      <w:r>
        <w:rPr>
          <w:rFonts w:eastAsia="黑体"/>
          <w:bCs/>
          <w:color w:val="000000" w:themeColor="text1"/>
          <w:sz w:val="30"/>
          <w:szCs w:val="30"/>
          <w14:textFill>
            <w14:solidFill>
              <w14:schemeClr w14:val="tx1"/>
            </w14:solidFill>
          </w14:textFill>
        </w:rPr>
        <w:t>竞赛考核项目及内容</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ascii="仿宋_GB2312" w:hAnsi="仿宋" w:eastAsia="仿宋_GB2312" w:cs="仿宋_GB2312"/>
          <w:color w:val="000000" w:themeColor="text1"/>
          <w:sz w:val="30"/>
          <w:szCs w:val="30"/>
          <w14:textFill>
            <w14:solidFill>
              <w14:schemeClr w14:val="tx1"/>
            </w14:solidFill>
          </w14:textFill>
        </w:rPr>
      </w:pPr>
      <w:r>
        <w:rPr>
          <w:rFonts w:hint="eastAsia" w:ascii="仿宋_GB2312" w:hAnsi="仿宋" w:eastAsia="仿宋_GB2312" w:cs="仿宋_GB2312"/>
          <w:color w:val="000000" w:themeColor="text1"/>
          <w:sz w:val="30"/>
          <w:szCs w:val="30"/>
          <w14:textFill>
            <w14:solidFill>
              <w14:schemeClr w14:val="tx1"/>
            </w14:solidFill>
          </w14:textFill>
        </w:rPr>
        <w:t>1.考核项目设计</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为全面考查化学实验技术人员整体角色的执行，将本赛项设计为一个系统性较强的考核项目，项目由3个工作环节相对独立的实操模块组成，不单独举行理论测试，通过实际操作模块来评估选手的知识理解和技能掌握。每个模块的任务和评价重点均不同，从准确、细致、创意、创新等方面综合评价选手解决问题的能力。</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2.模块考核内容</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（1）模块一：乙酸乙酯的合成</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本模块考察选手利用原材料进行目标产品制备的基本操作技能及职业素养，包括原料最佳配比、装置正确安装、合成最佳条件控制、产品的精制和蒸馏等具体任务。该模块由一名选手独立完成，竞赛时间180分钟，成绩占比30%。</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（2）模块二：原料及产品质量分析与评价</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本模块考察选手利用化学分析方法对指定原材料（反应物）成分及含量进行分析，利用气相色谱定量分析法对模块一合成的目标产品进行定量分析的基本操作技能及职业素养，包括含标准溶液配制、产物样品溶液制备、色谱谱图分析、结果计算与工作报告编制等四个具体任务。该模块中原料乙酸含量测定由另一名选手独立完成，其它任务由两名选手分工合作完成，竞赛时间210分钟，成绩占比60%。</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（3）模块三：实验室安全与气相色谱仿真</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本模块采用仿真操作和理论考题相融合的形式，考察学生选手的化学实验室HSE管理、虚拟样品定性定量测定、仪器设备故障排除，竞赛时间60分钟，成绩占比10%。</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各模块的项目名称、考核内容、考核时间及赋分权重见表2。选手须按照竞赛项目表内规定的时间和工作模块进行竞赛，每个模块的竞赛时间不得超过规定时间。</w:t>
      </w:r>
    </w:p>
    <w:p>
      <w:pPr>
        <w:spacing w:line="360" w:lineRule="auto"/>
        <w:ind w:firstLine="480" w:firstLineChars="200"/>
        <w:jc w:val="center"/>
        <w:rPr>
          <w:rFonts w:ascii="黑体" w:hAnsi="黑体" w:eastAsia="黑体" w:cs="黑体"/>
          <w:sz w:val="24"/>
          <w:szCs w:val="24"/>
        </w:rPr>
      </w:pPr>
      <w:r>
        <w:rPr>
          <w:rFonts w:hint="eastAsia" w:ascii="黑体" w:hAnsi="黑体" w:eastAsia="黑体" w:cs="黑体"/>
          <w:sz w:val="24"/>
          <w:szCs w:val="24"/>
        </w:rPr>
        <w:t xml:space="preserve">表2 </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各模块考核内容、时间分配及赋分权重</w:t>
      </w:r>
    </w:p>
    <w:tbl>
      <w:tblPr>
        <w:tblStyle w:val="12"/>
        <w:tblW w:w="8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1134"/>
        <w:gridCol w:w="3735"/>
        <w:gridCol w:w="1770"/>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122" w:type="dxa"/>
            <w:gridSpan w:val="2"/>
          </w:tcPr>
          <w:p>
            <w:pPr>
              <w:jc w:val="center"/>
              <w:rPr>
                <w:rFonts w:ascii="黑体" w:hAnsi="黑体" w:eastAsia="黑体" w:cs="黑体"/>
                <w:bCs/>
                <w:sz w:val="24"/>
                <w:szCs w:val="24"/>
              </w:rPr>
            </w:pPr>
            <w:r>
              <w:rPr>
                <w:rFonts w:hint="eastAsia" w:ascii="黑体" w:hAnsi="黑体" w:eastAsia="黑体" w:cs="黑体"/>
                <w:bCs/>
                <w:sz w:val="24"/>
                <w:szCs w:val="24"/>
              </w:rPr>
              <w:t>模块</w:t>
            </w:r>
          </w:p>
        </w:tc>
        <w:tc>
          <w:tcPr>
            <w:tcW w:w="3735" w:type="dxa"/>
          </w:tcPr>
          <w:p>
            <w:pPr>
              <w:jc w:val="center"/>
              <w:rPr>
                <w:rFonts w:ascii="黑体" w:hAnsi="黑体" w:eastAsia="黑体" w:cs="黑体"/>
                <w:bCs/>
                <w:sz w:val="24"/>
                <w:szCs w:val="24"/>
              </w:rPr>
            </w:pPr>
            <w:r>
              <w:rPr>
                <w:rFonts w:hint="eastAsia" w:ascii="黑体" w:hAnsi="黑体" w:eastAsia="黑体" w:cs="黑体"/>
                <w:bCs/>
                <w:sz w:val="24"/>
                <w:szCs w:val="24"/>
              </w:rPr>
              <w:t>主要内容</w:t>
            </w:r>
          </w:p>
        </w:tc>
        <w:tc>
          <w:tcPr>
            <w:tcW w:w="1770" w:type="dxa"/>
          </w:tcPr>
          <w:p>
            <w:pPr>
              <w:jc w:val="center"/>
              <w:rPr>
                <w:rFonts w:ascii="黑体" w:hAnsi="黑体" w:eastAsia="黑体" w:cs="黑体"/>
                <w:bCs/>
                <w:sz w:val="24"/>
                <w:szCs w:val="24"/>
              </w:rPr>
            </w:pPr>
            <w:r>
              <w:rPr>
                <w:rFonts w:hint="eastAsia" w:ascii="黑体" w:hAnsi="黑体" w:eastAsia="黑体" w:cs="黑体"/>
                <w:bCs/>
                <w:sz w:val="24"/>
                <w:szCs w:val="24"/>
              </w:rPr>
              <w:t>比赛时长</w:t>
            </w:r>
          </w:p>
        </w:tc>
        <w:tc>
          <w:tcPr>
            <w:tcW w:w="1216" w:type="dxa"/>
          </w:tcPr>
          <w:p>
            <w:pPr>
              <w:jc w:val="center"/>
              <w:rPr>
                <w:rFonts w:ascii="黑体" w:hAnsi="黑体" w:eastAsia="黑体" w:cs="黑体"/>
                <w:bCs/>
                <w:sz w:val="24"/>
                <w:szCs w:val="24"/>
              </w:rPr>
            </w:pPr>
            <w:r>
              <w:rPr>
                <w:rFonts w:hint="eastAsia" w:ascii="黑体" w:hAnsi="黑体" w:eastAsia="黑体" w:cs="黑体"/>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pStyle w:val="4"/>
              <w:jc w:val="center"/>
              <w:rPr>
                <w:color w:val="auto"/>
              </w:rPr>
            </w:pPr>
            <w:r>
              <w:rPr>
                <w:rFonts w:hint="eastAsia"/>
                <w:color w:val="auto"/>
              </w:rPr>
              <w:t>模块一</w:t>
            </w:r>
          </w:p>
        </w:tc>
        <w:tc>
          <w:tcPr>
            <w:tcW w:w="1134" w:type="dxa"/>
            <w:vAlign w:val="center"/>
          </w:tcPr>
          <w:p>
            <w:pPr>
              <w:pStyle w:val="4"/>
              <w:jc w:val="center"/>
              <w:rPr>
                <w:color w:val="auto"/>
              </w:rPr>
            </w:pPr>
            <w:r>
              <w:rPr>
                <w:rFonts w:hint="eastAsia"/>
                <w:color w:val="auto"/>
              </w:rPr>
              <w:t>乙酸乙酯的合成</w:t>
            </w:r>
          </w:p>
        </w:tc>
        <w:tc>
          <w:tcPr>
            <w:tcW w:w="3735" w:type="dxa"/>
          </w:tcPr>
          <w:p>
            <w:pPr>
              <w:pStyle w:val="18"/>
              <w:rPr>
                <w:rFonts w:ascii="仿宋_GB2312" w:eastAsia="仿宋_GB2312" w:cs="仿宋_GB2312" w:hAnsiTheme="minorHAnsi"/>
                <w:kern w:val="0"/>
                <w:sz w:val="24"/>
                <w:szCs w:val="24"/>
              </w:rPr>
            </w:pPr>
            <w:r>
              <w:rPr>
                <w:rFonts w:ascii="仿宋_GB2312" w:eastAsia="仿宋_GB2312" w:cs="仿宋_GB2312" w:hAnsiTheme="minorHAnsi"/>
                <w:kern w:val="0"/>
                <w:sz w:val="24"/>
                <w:szCs w:val="24"/>
              </w:rPr>
              <w:t>1.</w:t>
            </w:r>
            <w:r>
              <w:rPr>
                <w:rFonts w:hint="eastAsia" w:ascii="仿宋_GB2312" w:eastAsia="仿宋_GB2312" w:cs="仿宋_GB2312" w:hAnsiTheme="minorHAnsi"/>
                <w:kern w:val="0"/>
                <w:sz w:val="24"/>
                <w:szCs w:val="24"/>
              </w:rPr>
              <w:t>安全健康环保</w:t>
            </w:r>
          </w:p>
          <w:p>
            <w:pPr>
              <w:pStyle w:val="18"/>
              <w:rPr>
                <w:rFonts w:ascii="仿宋_GB2312" w:eastAsia="仿宋_GB2312" w:cs="仿宋_GB2312" w:hAnsiTheme="minorHAnsi"/>
                <w:kern w:val="0"/>
                <w:sz w:val="24"/>
                <w:szCs w:val="24"/>
              </w:rPr>
            </w:pPr>
            <w:r>
              <w:rPr>
                <w:rFonts w:ascii="仿宋_GB2312" w:eastAsia="仿宋_GB2312" w:cs="仿宋_GB2312" w:hAnsiTheme="minorHAnsi"/>
                <w:kern w:val="0"/>
                <w:sz w:val="24"/>
                <w:szCs w:val="24"/>
              </w:rPr>
              <w:t>2.</w:t>
            </w:r>
            <w:r>
              <w:rPr>
                <w:rFonts w:hint="eastAsia" w:ascii="仿宋_GB2312" w:eastAsia="仿宋_GB2312" w:cs="仿宋_GB2312" w:hAnsiTheme="minorHAnsi"/>
                <w:kern w:val="0"/>
                <w:sz w:val="24"/>
                <w:szCs w:val="24"/>
              </w:rPr>
              <w:t>理论基础</w:t>
            </w:r>
          </w:p>
          <w:p>
            <w:pPr>
              <w:pStyle w:val="18"/>
              <w:rPr>
                <w:rFonts w:ascii="仿宋_GB2312" w:eastAsia="仿宋_GB2312" w:cs="仿宋_GB2312" w:hAnsiTheme="minorHAnsi"/>
                <w:kern w:val="0"/>
                <w:sz w:val="24"/>
                <w:szCs w:val="24"/>
              </w:rPr>
            </w:pPr>
            <w:r>
              <w:rPr>
                <w:rFonts w:ascii="仿宋_GB2312" w:eastAsia="仿宋_GB2312" w:cs="仿宋_GB2312" w:hAnsiTheme="minorHAnsi"/>
                <w:kern w:val="0"/>
                <w:sz w:val="24"/>
                <w:szCs w:val="24"/>
              </w:rPr>
              <w:t>3.</w:t>
            </w:r>
            <w:r>
              <w:rPr>
                <w:rFonts w:hint="eastAsia" w:ascii="仿宋_GB2312" w:eastAsia="仿宋_GB2312" w:cs="仿宋_GB2312" w:hAnsiTheme="minorHAnsi"/>
                <w:kern w:val="0"/>
                <w:sz w:val="24"/>
                <w:szCs w:val="24"/>
              </w:rPr>
              <w:t>反应物用量计算</w:t>
            </w:r>
          </w:p>
          <w:p>
            <w:pPr>
              <w:pStyle w:val="18"/>
              <w:rPr>
                <w:rFonts w:ascii="仿宋_GB2312" w:eastAsia="仿宋_GB2312" w:cs="仿宋_GB2312" w:hAnsiTheme="minorHAnsi"/>
                <w:kern w:val="0"/>
                <w:sz w:val="24"/>
                <w:szCs w:val="24"/>
              </w:rPr>
            </w:pPr>
            <w:r>
              <w:rPr>
                <w:rFonts w:hint="eastAsia" w:ascii="仿宋_GB2312" w:eastAsia="仿宋_GB2312" w:cs="仿宋_GB2312" w:hAnsiTheme="minorHAnsi"/>
                <w:kern w:val="0"/>
                <w:sz w:val="24"/>
                <w:szCs w:val="24"/>
              </w:rPr>
              <w:t>4</w:t>
            </w:r>
            <w:r>
              <w:rPr>
                <w:rFonts w:ascii="仿宋_GB2312" w:eastAsia="仿宋_GB2312" w:cs="仿宋_GB2312" w:hAnsiTheme="minorHAnsi"/>
                <w:kern w:val="0"/>
                <w:sz w:val="24"/>
                <w:szCs w:val="24"/>
              </w:rPr>
              <w:t>.</w:t>
            </w:r>
            <w:r>
              <w:rPr>
                <w:rFonts w:hint="eastAsia" w:ascii="仿宋_GB2312" w:eastAsia="仿宋_GB2312" w:cs="仿宋_GB2312" w:hAnsiTheme="minorHAnsi"/>
                <w:kern w:val="0"/>
                <w:sz w:val="24"/>
                <w:szCs w:val="24"/>
              </w:rPr>
              <w:t>合成实验装置搭建</w:t>
            </w:r>
          </w:p>
          <w:p>
            <w:pPr>
              <w:pStyle w:val="18"/>
              <w:rPr>
                <w:rFonts w:ascii="仿宋_GB2312" w:eastAsia="仿宋_GB2312" w:cs="仿宋_GB2312" w:hAnsiTheme="minorHAnsi"/>
                <w:kern w:val="0"/>
                <w:sz w:val="24"/>
                <w:szCs w:val="24"/>
              </w:rPr>
            </w:pPr>
            <w:r>
              <w:rPr>
                <w:rFonts w:hint="eastAsia" w:ascii="仿宋_GB2312" w:eastAsia="仿宋_GB2312" w:cs="仿宋_GB2312" w:hAnsiTheme="minorHAnsi"/>
                <w:kern w:val="0"/>
                <w:sz w:val="24"/>
                <w:szCs w:val="24"/>
              </w:rPr>
              <w:t>5</w:t>
            </w:r>
            <w:r>
              <w:rPr>
                <w:rFonts w:ascii="仿宋_GB2312" w:eastAsia="仿宋_GB2312" w:cs="仿宋_GB2312" w:hAnsiTheme="minorHAnsi"/>
                <w:kern w:val="0"/>
                <w:sz w:val="24"/>
                <w:szCs w:val="24"/>
              </w:rPr>
              <w:t>.</w:t>
            </w:r>
            <w:r>
              <w:rPr>
                <w:rFonts w:hint="eastAsia" w:ascii="仿宋_GB2312" w:eastAsia="仿宋_GB2312" w:cs="仿宋_GB2312" w:hAnsiTheme="minorHAnsi"/>
                <w:kern w:val="0"/>
                <w:sz w:val="24"/>
                <w:szCs w:val="24"/>
              </w:rPr>
              <w:t>目标产品的合成</w:t>
            </w:r>
          </w:p>
          <w:p>
            <w:pPr>
              <w:pStyle w:val="18"/>
              <w:rPr>
                <w:rFonts w:ascii="仿宋_GB2312" w:eastAsia="仿宋_GB2312" w:cs="仿宋_GB2312" w:hAnsiTheme="minorHAnsi"/>
                <w:kern w:val="0"/>
                <w:sz w:val="24"/>
                <w:szCs w:val="24"/>
              </w:rPr>
            </w:pPr>
            <w:r>
              <w:rPr>
                <w:rFonts w:hint="eastAsia" w:ascii="仿宋_GB2312" w:eastAsia="仿宋_GB2312" w:cs="仿宋_GB2312" w:hAnsiTheme="minorHAnsi"/>
                <w:kern w:val="0"/>
                <w:sz w:val="24"/>
                <w:szCs w:val="24"/>
              </w:rPr>
              <w:t>6</w:t>
            </w:r>
            <w:r>
              <w:rPr>
                <w:rFonts w:ascii="仿宋_GB2312" w:eastAsia="仿宋_GB2312" w:cs="仿宋_GB2312" w:hAnsiTheme="minorHAnsi"/>
                <w:kern w:val="0"/>
                <w:sz w:val="24"/>
                <w:szCs w:val="24"/>
              </w:rPr>
              <w:t>.</w:t>
            </w:r>
            <w:r>
              <w:rPr>
                <w:rFonts w:hint="eastAsia" w:ascii="仿宋_GB2312" w:eastAsia="仿宋_GB2312" w:cs="仿宋_GB2312" w:hAnsiTheme="minorHAnsi"/>
                <w:kern w:val="0"/>
                <w:sz w:val="24"/>
                <w:szCs w:val="24"/>
              </w:rPr>
              <w:t>产品分离提纯</w:t>
            </w:r>
          </w:p>
          <w:p>
            <w:pPr>
              <w:pStyle w:val="18"/>
              <w:rPr>
                <w:rFonts w:ascii="仿宋_GB2312" w:eastAsia="仿宋_GB2312" w:cs="仿宋_GB2312" w:hAnsiTheme="minorHAnsi"/>
                <w:kern w:val="0"/>
                <w:sz w:val="24"/>
                <w:szCs w:val="24"/>
              </w:rPr>
            </w:pPr>
            <w:r>
              <w:rPr>
                <w:rFonts w:hint="eastAsia" w:ascii="仿宋_GB2312" w:eastAsia="仿宋_GB2312" w:cs="仿宋_GB2312" w:hAnsiTheme="minorHAnsi"/>
                <w:kern w:val="0"/>
                <w:sz w:val="24"/>
                <w:szCs w:val="24"/>
              </w:rPr>
              <w:t>7</w:t>
            </w:r>
            <w:r>
              <w:rPr>
                <w:rFonts w:ascii="仿宋_GB2312" w:eastAsia="仿宋_GB2312" w:cs="仿宋_GB2312" w:hAnsiTheme="minorHAnsi"/>
                <w:kern w:val="0"/>
                <w:sz w:val="24"/>
                <w:szCs w:val="24"/>
              </w:rPr>
              <w:t>.</w:t>
            </w:r>
            <w:r>
              <w:rPr>
                <w:rFonts w:hint="eastAsia" w:ascii="仿宋_GB2312" w:eastAsia="仿宋_GB2312" w:cs="仿宋_GB2312" w:hAnsiTheme="minorHAnsi"/>
                <w:kern w:val="0"/>
                <w:sz w:val="24"/>
                <w:szCs w:val="24"/>
              </w:rPr>
              <w:t>文明操作</w:t>
            </w:r>
          </w:p>
          <w:p>
            <w:pPr>
              <w:pStyle w:val="18"/>
              <w:rPr>
                <w:rFonts w:ascii="仿宋_GB2312" w:eastAsia="仿宋_GB2312" w:cs="仿宋_GB2312" w:hAnsiTheme="minorHAnsi"/>
                <w:kern w:val="0"/>
                <w:sz w:val="24"/>
                <w:szCs w:val="24"/>
              </w:rPr>
            </w:pPr>
            <w:r>
              <w:rPr>
                <w:rFonts w:hint="eastAsia" w:ascii="仿宋_GB2312" w:eastAsia="仿宋_GB2312" w:cs="仿宋_GB2312" w:hAnsiTheme="minorHAnsi"/>
                <w:kern w:val="0"/>
                <w:sz w:val="24"/>
                <w:szCs w:val="24"/>
              </w:rPr>
              <w:t>8</w:t>
            </w:r>
            <w:r>
              <w:rPr>
                <w:rFonts w:ascii="仿宋_GB2312" w:eastAsia="仿宋_GB2312" w:cs="仿宋_GB2312" w:hAnsiTheme="minorHAnsi"/>
                <w:kern w:val="0"/>
                <w:sz w:val="24"/>
                <w:szCs w:val="24"/>
              </w:rPr>
              <w:t>.</w:t>
            </w:r>
            <w:r>
              <w:rPr>
                <w:rFonts w:hint="eastAsia" w:ascii="仿宋_GB2312" w:eastAsia="仿宋_GB2312" w:cs="仿宋_GB2312" w:hAnsiTheme="minorHAnsi"/>
                <w:kern w:val="0"/>
                <w:sz w:val="24"/>
                <w:szCs w:val="24"/>
              </w:rPr>
              <w:t>质量评价</w:t>
            </w:r>
          </w:p>
          <w:p>
            <w:pPr>
              <w:pStyle w:val="18"/>
              <w:rPr>
                <w:rFonts w:ascii="仿宋_GB2312" w:eastAsia="仿宋_GB2312" w:cs="仿宋_GB2312" w:hAnsiTheme="minorHAnsi"/>
                <w:kern w:val="0"/>
                <w:sz w:val="24"/>
                <w:szCs w:val="24"/>
              </w:rPr>
            </w:pPr>
            <w:r>
              <w:rPr>
                <w:rFonts w:hint="eastAsia" w:ascii="仿宋_GB2312" w:eastAsia="仿宋_GB2312" w:cs="仿宋_GB2312" w:hAnsiTheme="minorHAnsi"/>
                <w:kern w:val="0"/>
                <w:sz w:val="24"/>
                <w:szCs w:val="24"/>
              </w:rPr>
              <w:t>9</w:t>
            </w:r>
            <w:r>
              <w:rPr>
                <w:rFonts w:ascii="仿宋_GB2312" w:eastAsia="仿宋_GB2312" w:cs="仿宋_GB2312" w:hAnsiTheme="minorHAnsi"/>
                <w:kern w:val="0"/>
                <w:sz w:val="24"/>
                <w:szCs w:val="24"/>
              </w:rPr>
              <w:t>.</w:t>
            </w:r>
            <w:r>
              <w:rPr>
                <w:rFonts w:hint="eastAsia" w:ascii="仿宋_GB2312" w:eastAsia="仿宋_GB2312" w:cs="仿宋_GB2312" w:hAnsiTheme="minorHAnsi"/>
                <w:kern w:val="0"/>
                <w:sz w:val="24"/>
                <w:szCs w:val="24"/>
              </w:rPr>
              <w:t>结果报告</w:t>
            </w:r>
          </w:p>
        </w:tc>
        <w:tc>
          <w:tcPr>
            <w:tcW w:w="1770" w:type="dxa"/>
            <w:vAlign w:val="center"/>
          </w:tcPr>
          <w:p>
            <w:pPr>
              <w:pStyle w:val="4"/>
              <w:jc w:val="center"/>
              <w:rPr>
                <w:color w:val="auto"/>
              </w:rPr>
            </w:pPr>
            <w:r>
              <w:rPr>
                <w:rFonts w:hint="eastAsia"/>
                <w:color w:val="auto"/>
              </w:rPr>
              <w:t>180分钟</w:t>
            </w:r>
          </w:p>
        </w:tc>
        <w:tc>
          <w:tcPr>
            <w:tcW w:w="1216" w:type="dxa"/>
            <w:vAlign w:val="center"/>
          </w:tcPr>
          <w:p>
            <w:pPr>
              <w:pStyle w:val="4"/>
              <w:jc w:val="center"/>
              <w:rPr>
                <w:color w:val="auto"/>
              </w:rPr>
            </w:pPr>
            <w:r>
              <w:rPr>
                <w:rFonts w:hint="eastAsia"/>
                <w:color w:val="auto"/>
              </w:rPr>
              <w:t>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988" w:type="dxa"/>
            <w:vAlign w:val="center"/>
          </w:tcPr>
          <w:p>
            <w:pPr>
              <w:pStyle w:val="4"/>
              <w:jc w:val="center"/>
              <w:rPr>
                <w:color w:val="auto"/>
              </w:rPr>
            </w:pPr>
            <w:r>
              <w:rPr>
                <w:rFonts w:hint="eastAsia"/>
                <w:color w:val="auto"/>
              </w:rPr>
              <w:t>模块二</w:t>
            </w:r>
          </w:p>
        </w:tc>
        <w:tc>
          <w:tcPr>
            <w:tcW w:w="1134" w:type="dxa"/>
            <w:vAlign w:val="center"/>
          </w:tcPr>
          <w:p>
            <w:pPr>
              <w:pStyle w:val="4"/>
              <w:jc w:val="center"/>
              <w:rPr>
                <w:color w:val="auto"/>
              </w:rPr>
            </w:pPr>
            <w:r>
              <w:rPr>
                <w:rFonts w:hint="eastAsia"/>
                <w:color w:val="auto"/>
              </w:rPr>
              <w:t>原料及产品质量分析与评价</w:t>
            </w:r>
          </w:p>
        </w:tc>
        <w:tc>
          <w:tcPr>
            <w:tcW w:w="3735" w:type="dxa"/>
          </w:tcPr>
          <w:p>
            <w:pPr>
              <w:pStyle w:val="18"/>
              <w:jc w:val="left"/>
              <w:rPr>
                <w:rFonts w:ascii="仿宋_GB2312" w:eastAsia="仿宋_GB2312" w:cs="仿宋_GB2312" w:hAnsiTheme="minorHAnsi"/>
                <w:kern w:val="0"/>
                <w:sz w:val="24"/>
                <w:szCs w:val="24"/>
              </w:rPr>
            </w:pPr>
            <w:r>
              <w:rPr>
                <w:rFonts w:hint="eastAsia" w:ascii="仿宋_GB2312" w:eastAsia="仿宋_GB2312" w:cs="仿宋_GB2312" w:hAnsiTheme="minorHAnsi"/>
                <w:kern w:val="0"/>
                <w:sz w:val="24"/>
                <w:szCs w:val="24"/>
              </w:rPr>
              <w:t>1</w:t>
            </w:r>
            <w:r>
              <w:rPr>
                <w:rFonts w:ascii="仿宋_GB2312" w:eastAsia="仿宋_GB2312" w:cs="仿宋_GB2312" w:hAnsiTheme="minorHAnsi"/>
                <w:kern w:val="0"/>
                <w:sz w:val="24"/>
                <w:szCs w:val="24"/>
              </w:rPr>
              <w:t>.</w:t>
            </w:r>
            <w:r>
              <w:rPr>
                <w:rFonts w:hint="eastAsia" w:ascii="仿宋_GB2312" w:eastAsia="仿宋_GB2312" w:cs="仿宋_GB2312" w:hAnsiTheme="minorHAnsi"/>
                <w:kern w:val="0"/>
                <w:sz w:val="24"/>
                <w:szCs w:val="24"/>
              </w:rPr>
              <w:t>安全健康环保</w:t>
            </w:r>
          </w:p>
          <w:p>
            <w:pPr>
              <w:pStyle w:val="18"/>
              <w:jc w:val="left"/>
              <w:rPr>
                <w:rFonts w:ascii="仿宋_GB2312" w:eastAsia="仿宋_GB2312" w:cs="仿宋_GB2312" w:hAnsiTheme="minorHAnsi"/>
                <w:kern w:val="0"/>
                <w:sz w:val="24"/>
                <w:szCs w:val="24"/>
              </w:rPr>
            </w:pPr>
            <w:r>
              <w:rPr>
                <w:rFonts w:hint="eastAsia" w:ascii="仿宋_GB2312" w:eastAsia="仿宋_GB2312" w:cs="仿宋_GB2312" w:hAnsiTheme="minorHAnsi"/>
                <w:kern w:val="0"/>
                <w:sz w:val="24"/>
                <w:szCs w:val="24"/>
              </w:rPr>
              <w:t>2</w:t>
            </w:r>
            <w:r>
              <w:rPr>
                <w:rFonts w:ascii="仿宋_GB2312" w:eastAsia="仿宋_GB2312" w:cs="仿宋_GB2312" w:hAnsiTheme="minorHAnsi"/>
                <w:kern w:val="0"/>
                <w:sz w:val="24"/>
                <w:szCs w:val="24"/>
              </w:rPr>
              <w:t>.理论基础</w:t>
            </w:r>
          </w:p>
          <w:p>
            <w:pPr>
              <w:pStyle w:val="18"/>
              <w:rPr>
                <w:rFonts w:ascii="仿宋_GB2312" w:eastAsia="仿宋_GB2312" w:cs="仿宋_GB2312" w:hAnsiTheme="minorHAnsi"/>
                <w:kern w:val="0"/>
                <w:sz w:val="24"/>
                <w:szCs w:val="24"/>
              </w:rPr>
            </w:pPr>
            <w:r>
              <w:rPr>
                <w:rFonts w:hint="eastAsia" w:ascii="仿宋_GB2312" w:eastAsia="仿宋_GB2312" w:cs="仿宋_GB2312" w:hAnsiTheme="minorHAnsi"/>
                <w:kern w:val="0"/>
                <w:sz w:val="24"/>
                <w:szCs w:val="24"/>
              </w:rPr>
              <w:t>3</w:t>
            </w:r>
            <w:r>
              <w:rPr>
                <w:rFonts w:ascii="仿宋_GB2312" w:eastAsia="仿宋_GB2312" w:cs="仿宋_GB2312" w:hAnsiTheme="minorHAnsi"/>
                <w:kern w:val="0"/>
                <w:sz w:val="24"/>
                <w:szCs w:val="24"/>
              </w:rPr>
              <w:t>.</w:t>
            </w:r>
            <w:r>
              <w:rPr>
                <w:rFonts w:hint="eastAsia" w:ascii="仿宋_GB2312" w:eastAsia="仿宋_GB2312" w:cs="仿宋_GB2312" w:hAnsiTheme="minorHAnsi"/>
                <w:kern w:val="0"/>
                <w:sz w:val="24"/>
                <w:szCs w:val="24"/>
              </w:rPr>
              <w:t>原材料成分及含量分析</w:t>
            </w:r>
          </w:p>
          <w:p>
            <w:pPr>
              <w:pStyle w:val="18"/>
              <w:jc w:val="left"/>
              <w:rPr>
                <w:rFonts w:ascii="仿宋_GB2312" w:eastAsia="仿宋_GB2312" w:cs="仿宋_GB2312" w:hAnsiTheme="minorHAnsi"/>
                <w:kern w:val="0"/>
                <w:sz w:val="24"/>
                <w:szCs w:val="24"/>
              </w:rPr>
            </w:pPr>
            <w:r>
              <w:rPr>
                <w:rFonts w:hint="eastAsia" w:ascii="仿宋_GB2312" w:eastAsia="仿宋_GB2312" w:cs="仿宋_GB2312" w:hAnsiTheme="minorHAnsi"/>
                <w:kern w:val="0"/>
                <w:sz w:val="24"/>
                <w:szCs w:val="24"/>
              </w:rPr>
              <w:t>4</w:t>
            </w:r>
            <w:r>
              <w:rPr>
                <w:rFonts w:ascii="仿宋_GB2312" w:eastAsia="仿宋_GB2312" w:cs="仿宋_GB2312" w:hAnsiTheme="minorHAnsi"/>
                <w:kern w:val="0"/>
                <w:sz w:val="24"/>
                <w:szCs w:val="24"/>
              </w:rPr>
              <w:t>溶液配制</w:t>
            </w:r>
          </w:p>
          <w:p>
            <w:pPr>
              <w:pStyle w:val="18"/>
              <w:jc w:val="left"/>
              <w:rPr>
                <w:rFonts w:ascii="仿宋_GB2312" w:eastAsia="仿宋_GB2312" w:cs="仿宋_GB2312" w:hAnsiTheme="minorHAnsi"/>
                <w:kern w:val="0"/>
                <w:sz w:val="24"/>
                <w:szCs w:val="24"/>
              </w:rPr>
            </w:pPr>
            <w:r>
              <w:rPr>
                <w:rFonts w:hint="eastAsia" w:ascii="仿宋_GB2312" w:eastAsia="仿宋_GB2312" w:cs="仿宋_GB2312" w:hAnsiTheme="minorHAnsi"/>
                <w:kern w:val="0"/>
                <w:sz w:val="24"/>
                <w:szCs w:val="24"/>
              </w:rPr>
              <w:t>5</w:t>
            </w:r>
            <w:r>
              <w:rPr>
                <w:rFonts w:ascii="仿宋_GB2312" w:eastAsia="仿宋_GB2312" w:cs="仿宋_GB2312" w:hAnsiTheme="minorHAnsi"/>
                <w:kern w:val="0"/>
                <w:sz w:val="24"/>
                <w:szCs w:val="24"/>
              </w:rPr>
              <w:t>.</w:t>
            </w:r>
            <w:r>
              <w:rPr>
                <w:rFonts w:hint="eastAsia" w:ascii="仿宋_GB2312" w:eastAsia="仿宋_GB2312" w:cs="仿宋_GB2312" w:hAnsiTheme="minorHAnsi"/>
                <w:kern w:val="0"/>
                <w:sz w:val="24"/>
                <w:szCs w:val="24"/>
              </w:rPr>
              <w:t>产率计算</w:t>
            </w:r>
          </w:p>
          <w:p>
            <w:pPr>
              <w:pStyle w:val="18"/>
              <w:jc w:val="left"/>
              <w:rPr>
                <w:rFonts w:ascii="仿宋_GB2312" w:eastAsia="仿宋_GB2312" w:cs="仿宋_GB2312" w:hAnsiTheme="minorHAnsi"/>
                <w:kern w:val="0"/>
                <w:sz w:val="24"/>
                <w:szCs w:val="24"/>
              </w:rPr>
            </w:pPr>
            <w:r>
              <w:rPr>
                <w:rFonts w:hint="eastAsia" w:ascii="仿宋_GB2312" w:eastAsia="仿宋_GB2312" w:cs="仿宋_GB2312" w:hAnsiTheme="minorHAnsi"/>
                <w:kern w:val="0"/>
                <w:sz w:val="24"/>
                <w:szCs w:val="24"/>
              </w:rPr>
              <w:t>6</w:t>
            </w:r>
            <w:r>
              <w:rPr>
                <w:rFonts w:ascii="仿宋_GB2312" w:eastAsia="仿宋_GB2312" w:cs="仿宋_GB2312" w:hAnsiTheme="minorHAnsi"/>
                <w:kern w:val="0"/>
                <w:sz w:val="24"/>
                <w:szCs w:val="24"/>
              </w:rPr>
              <w:t>.</w:t>
            </w:r>
            <w:r>
              <w:rPr>
                <w:rFonts w:hint="eastAsia" w:ascii="仿宋_GB2312" w:eastAsia="仿宋_GB2312" w:cs="仿宋_GB2312" w:hAnsiTheme="minorHAnsi"/>
                <w:kern w:val="0"/>
                <w:sz w:val="24"/>
                <w:szCs w:val="24"/>
              </w:rPr>
              <w:t>含量分析</w:t>
            </w:r>
          </w:p>
          <w:p>
            <w:pPr>
              <w:pStyle w:val="18"/>
              <w:jc w:val="left"/>
              <w:rPr>
                <w:rFonts w:ascii="仿宋_GB2312" w:eastAsia="仿宋_GB2312" w:cs="仿宋_GB2312" w:hAnsiTheme="minorHAnsi"/>
                <w:kern w:val="0"/>
                <w:sz w:val="24"/>
                <w:szCs w:val="24"/>
              </w:rPr>
            </w:pPr>
            <w:r>
              <w:rPr>
                <w:rFonts w:hint="eastAsia" w:ascii="仿宋_GB2312" w:eastAsia="仿宋_GB2312" w:cs="仿宋_GB2312" w:hAnsiTheme="minorHAnsi"/>
                <w:kern w:val="0"/>
                <w:sz w:val="24"/>
                <w:szCs w:val="24"/>
              </w:rPr>
              <w:t>7</w:t>
            </w:r>
            <w:r>
              <w:rPr>
                <w:rFonts w:ascii="仿宋_GB2312" w:eastAsia="仿宋_GB2312" w:cs="仿宋_GB2312" w:hAnsiTheme="minorHAnsi"/>
                <w:kern w:val="0"/>
                <w:sz w:val="24"/>
                <w:szCs w:val="24"/>
              </w:rPr>
              <w:t>.</w:t>
            </w:r>
            <w:r>
              <w:rPr>
                <w:rFonts w:hint="eastAsia" w:ascii="仿宋_GB2312" w:eastAsia="仿宋_GB2312" w:cs="仿宋_GB2312" w:hAnsiTheme="minorHAnsi"/>
                <w:kern w:val="0"/>
                <w:sz w:val="24"/>
                <w:szCs w:val="24"/>
              </w:rPr>
              <w:t>文明操作</w:t>
            </w:r>
          </w:p>
          <w:p>
            <w:pPr>
              <w:pStyle w:val="18"/>
              <w:jc w:val="left"/>
              <w:rPr>
                <w:rFonts w:ascii="仿宋_GB2312" w:eastAsia="仿宋_GB2312" w:cs="仿宋_GB2312" w:hAnsiTheme="minorHAnsi"/>
                <w:kern w:val="0"/>
                <w:sz w:val="24"/>
                <w:szCs w:val="24"/>
              </w:rPr>
            </w:pPr>
            <w:r>
              <w:rPr>
                <w:rFonts w:hint="eastAsia" w:ascii="仿宋_GB2312" w:eastAsia="仿宋_GB2312" w:cs="仿宋_GB2312" w:hAnsiTheme="minorHAnsi"/>
                <w:kern w:val="0"/>
                <w:sz w:val="24"/>
                <w:szCs w:val="24"/>
              </w:rPr>
              <w:t>8</w:t>
            </w:r>
            <w:r>
              <w:rPr>
                <w:rFonts w:ascii="仿宋_GB2312" w:eastAsia="仿宋_GB2312" w:cs="仿宋_GB2312" w:hAnsiTheme="minorHAnsi"/>
                <w:kern w:val="0"/>
                <w:sz w:val="24"/>
                <w:szCs w:val="24"/>
              </w:rPr>
              <w:t>.</w:t>
            </w:r>
            <w:r>
              <w:rPr>
                <w:rFonts w:hint="eastAsia" w:ascii="仿宋_GB2312" w:eastAsia="仿宋_GB2312" w:cs="仿宋_GB2312" w:hAnsiTheme="minorHAnsi"/>
                <w:kern w:val="0"/>
                <w:sz w:val="24"/>
                <w:szCs w:val="24"/>
              </w:rPr>
              <w:t>质量评价</w:t>
            </w:r>
          </w:p>
          <w:p>
            <w:pPr>
              <w:spacing w:line="360" w:lineRule="auto"/>
              <w:jc w:val="left"/>
              <w:rPr>
                <w:rFonts w:ascii="仿宋_GB2312" w:eastAsia="仿宋_GB2312" w:cs="仿宋_GB2312" w:hAnsiTheme="minorHAnsi"/>
                <w:kern w:val="0"/>
                <w:sz w:val="24"/>
                <w:szCs w:val="24"/>
              </w:rPr>
            </w:pPr>
            <w:r>
              <w:rPr>
                <w:rFonts w:hint="eastAsia" w:ascii="仿宋_GB2312" w:eastAsia="仿宋_GB2312" w:cs="仿宋_GB2312" w:hAnsiTheme="minorHAnsi"/>
                <w:kern w:val="0"/>
                <w:sz w:val="24"/>
                <w:szCs w:val="24"/>
              </w:rPr>
              <w:t>9</w:t>
            </w:r>
            <w:r>
              <w:rPr>
                <w:rFonts w:ascii="仿宋_GB2312" w:eastAsia="仿宋_GB2312" w:cs="仿宋_GB2312" w:hAnsiTheme="minorHAnsi"/>
                <w:kern w:val="0"/>
                <w:sz w:val="24"/>
                <w:szCs w:val="24"/>
              </w:rPr>
              <w:t>.</w:t>
            </w:r>
            <w:r>
              <w:rPr>
                <w:rFonts w:hint="eastAsia" w:ascii="仿宋_GB2312" w:eastAsia="仿宋_GB2312" w:cs="仿宋_GB2312" w:hAnsiTheme="minorHAnsi"/>
                <w:kern w:val="0"/>
                <w:sz w:val="24"/>
                <w:szCs w:val="24"/>
              </w:rPr>
              <w:t>结果报告</w:t>
            </w:r>
          </w:p>
        </w:tc>
        <w:tc>
          <w:tcPr>
            <w:tcW w:w="1770" w:type="dxa"/>
            <w:vAlign w:val="center"/>
          </w:tcPr>
          <w:p>
            <w:pPr>
              <w:spacing w:line="360" w:lineRule="auto"/>
              <w:jc w:val="center"/>
              <w:rPr>
                <w:rFonts w:ascii="仿宋_GB2312" w:hAnsi="黑体" w:eastAsia="仿宋_GB2312" w:cs="黑体"/>
                <w:sz w:val="24"/>
                <w:szCs w:val="24"/>
              </w:rPr>
            </w:pPr>
            <w:r>
              <w:rPr>
                <w:rFonts w:hint="eastAsia" w:ascii="仿宋_GB2312" w:hAnsi="黑体" w:eastAsia="仿宋_GB2312" w:cs="黑体"/>
                <w:sz w:val="24"/>
                <w:szCs w:val="24"/>
              </w:rPr>
              <w:t>210分钟</w:t>
            </w:r>
          </w:p>
        </w:tc>
        <w:tc>
          <w:tcPr>
            <w:tcW w:w="1216" w:type="dxa"/>
            <w:vAlign w:val="center"/>
          </w:tcPr>
          <w:p>
            <w:pPr>
              <w:spacing w:line="360" w:lineRule="auto"/>
              <w:jc w:val="center"/>
              <w:rPr>
                <w:rFonts w:ascii="仿宋_GB2312" w:hAnsi="黑体" w:eastAsia="仿宋_GB2312" w:cs="黑体"/>
                <w:sz w:val="24"/>
                <w:szCs w:val="24"/>
              </w:rPr>
            </w:pPr>
            <w:r>
              <w:rPr>
                <w:rFonts w:hint="eastAsia" w:ascii="仿宋_GB2312" w:hAnsi="黑体" w:eastAsia="仿宋_GB2312" w:cs="黑体"/>
                <w:sz w:val="24"/>
                <w:szCs w:val="24"/>
              </w:rPr>
              <w:t>60</w:t>
            </w:r>
            <w:r>
              <w:rPr>
                <w:rFonts w:hint="eastAsia" w:ascii="仿宋_GB2312" w:eastAsia="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jc w:val="center"/>
        </w:trPr>
        <w:tc>
          <w:tcPr>
            <w:tcW w:w="988" w:type="dxa"/>
            <w:vAlign w:val="center"/>
          </w:tcPr>
          <w:p>
            <w:pPr>
              <w:pStyle w:val="18"/>
              <w:jc w:val="center"/>
              <w:rPr>
                <w:rFonts w:ascii="仿宋_GB2312" w:eastAsia="仿宋_GB2312" w:cs="仿宋_GB2312" w:hAnsiTheme="minorHAnsi"/>
                <w:kern w:val="0"/>
                <w:sz w:val="24"/>
                <w:szCs w:val="24"/>
              </w:rPr>
            </w:pPr>
            <w:r>
              <w:rPr>
                <w:rFonts w:hint="eastAsia" w:ascii="仿宋_GB2312" w:eastAsia="仿宋_GB2312" w:cs="仿宋_GB2312" w:hAnsiTheme="minorHAnsi"/>
                <w:kern w:val="0"/>
                <w:sz w:val="24"/>
                <w:szCs w:val="24"/>
              </w:rPr>
              <w:t>模块三</w:t>
            </w:r>
          </w:p>
        </w:tc>
        <w:tc>
          <w:tcPr>
            <w:tcW w:w="1134" w:type="dxa"/>
          </w:tcPr>
          <w:p>
            <w:pPr>
              <w:pStyle w:val="18"/>
              <w:jc w:val="center"/>
              <w:rPr>
                <w:rFonts w:ascii="仿宋_GB2312" w:eastAsia="仿宋_GB2312" w:cs="仿宋_GB2312" w:hAnsiTheme="minorHAnsi"/>
                <w:kern w:val="0"/>
                <w:sz w:val="24"/>
                <w:szCs w:val="24"/>
              </w:rPr>
            </w:pPr>
            <w:r>
              <w:rPr>
                <w:rFonts w:hint="eastAsia" w:ascii="仿宋_GB2312" w:eastAsia="仿宋_GB2312" w:cs="仿宋_GB2312" w:hAnsiTheme="minorHAnsi"/>
                <w:kern w:val="0"/>
                <w:sz w:val="24"/>
                <w:szCs w:val="24"/>
              </w:rPr>
              <w:t>实验室安全与气相色谱仿真</w:t>
            </w:r>
          </w:p>
        </w:tc>
        <w:tc>
          <w:tcPr>
            <w:tcW w:w="3735" w:type="dxa"/>
          </w:tcPr>
          <w:p>
            <w:pPr>
              <w:pStyle w:val="18"/>
              <w:jc w:val="left"/>
              <w:rPr>
                <w:rFonts w:ascii="仿宋_GB2312" w:eastAsia="仿宋_GB2312" w:cs="仿宋_GB2312" w:hAnsiTheme="minorHAnsi"/>
                <w:kern w:val="0"/>
                <w:sz w:val="24"/>
                <w:szCs w:val="24"/>
              </w:rPr>
            </w:pPr>
            <w:r>
              <w:rPr>
                <w:rFonts w:ascii="仿宋_GB2312" w:eastAsia="仿宋_GB2312" w:cs="仿宋_GB2312" w:hAnsiTheme="minorHAnsi"/>
                <w:kern w:val="0"/>
                <w:sz w:val="24"/>
                <w:szCs w:val="24"/>
              </w:rPr>
              <w:t>1.</w:t>
            </w:r>
            <w:r>
              <w:rPr>
                <w:rFonts w:hint="eastAsia" w:ascii="仿宋_GB2312" w:eastAsia="仿宋_GB2312" w:cs="仿宋_GB2312" w:hAnsiTheme="minorHAnsi"/>
                <w:kern w:val="0"/>
                <w:sz w:val="24"/>
                <w:szCs w:val="24"/>
              </w:rPr>
              <w:t>化学实验室中的</w:t>
            </w:r>
            <w:r>
              <w:rPr>
                <w:rFonts w:ascii="仿宋_GB2312" w:eastAsia="仿宋_GB2312" w:cs="仿宋_GB2312" w:hAnsiTheme="minorHAnsi"/>
                <w:kern w:val="0"/>
                <w:sz w:val="24"/>
                <w:szCs w:val="24"/>
              </w:rPr>
              <w:t>HSE</w:t>
            </w:r>
            <w:r>
              <w:rPr>
                <w:rFonts w:hint="eastAsia" w:ascii="仿宋_GB2312" w:eastAsia="仿宋_GB2312" w:cs="仿宋_GB2312" w:hAnsiTheme="minorHAnsi"/>
                <w:kern w:val="0"/>
                <w:sz w:val="24"/>
                <w:szCs w:val="24"/>
              </w:rPr>
              <w:t>管理</w:t>
            </w:r>
          </w:p>
          <w:p>
            <w:pPr>
              <w:pStyle w:val="18"/>
              <w:jc w:val="left"/>
              <w:rPr>
                <w:rFonts w:ascii="仿宋_GB2312" w:eastAsia="仿宋_GB2312" w:cs="仿宋_GB2312" w:hAnsiTheme="minorHAnsi"/>
                <w:kern w:val="0"/>
                <w:sz w:val="24"/>
                <w:szCs w:val="24"/>
              </w:rPr>
            </w:pPr>
            <w:r>
              <w:rPr>
                <w:rFonts w:ascii="仿宋_GB2312" w:eastAsia="仿宋_GB2312" w:cs="仿宋_GB2312" w:hAnsiTheme="minorHAnsi"/>
                <w:kern w:val="0"/>
                <w:sz w:val="24"/>
                <w:szCs w:val="24"/>
              </w:rPr>
              <w:t>2.</w:t>
            </w:r>
            <w:r>
              <w:rPr>
                <w:rFonts w:hint="eastAsia" w:ascii="仿宋_GB2312" w:eastAsia="仿宋_GB2312" w:cs="仿宋_GB2312" w:hAnsiTheme="minorHAnsi"/>
                <w:kern w:val="0"/>
                <w:sz w:val="24"/>
                <w:szCs w:val="24"/>
              </w:rPr>
              <w:t>虚拟样品的定性分析</w:t>
            </w:r>
          </w:p>
          <w:p>
            <w:pPr>
              <w:pStyle w:val="18"/>
              <w:jc w:val="left"/>
              <w:rPr>
                <w:rFonts w:ascii="仿宋_GB2312" w:eastAsia="仿宋_GB2312" w:cs="仿宋_GB2312" w:hAnsiTheme="minorHAnsi"/>
                <w:kern w:val="0"/>
                <w:sz w:val="24"/>
                <w:szCs w:val="24"/>
              </w:rPr>
            </w:pPr>
            <w:r>
              <w:rPr>
                <w:rFonts w:ascii="仿宋_GB2312" w:eastAsia="仿宋_GB2312" w:cs="仿宋_GB2312" w:hAnsiTheme="minorHAnsi"/>
                <w:kern w:val="0"/>
                <w:sz w:val="24"/>
                <w:szCs w:val="24"/>
              </w:rPr>
              <w:t>3.</w:t>
            </w:r>
            <w:r>
              <w:rPr>
                <w:rFonts w:hint="eastAsia" w:ascii="仿宋_GB2312" w:eastAsia="仿宋_GB2312" w:cs="仿宋_GB2312" w:hAnsiTheme="minorHAnsi"/>
                <w:kern w:val="0"/>
                <w:sz w:val="24"/>
                <w:szCs w:val="24"/>
              </w:rPr>
              <w:t>虚拟样品的定量测定</w:t>
            </w:r>
          </w:p>
          <w:p>
            <w:pPr>
              <w:pStyle w:val="18"/>
              <w:jc w:val="left"/>
              <w:rPr>
                <w:rFonts w:ascii="仿宋_GB2312" w:eastAsia="仿宋_GB2312" w:cs="仿宋_GB2312" w:hAnsiTheme="minorHAnsi"/>
                <w:kern w:val="0"/>
                <w:sz w:val="24"/>
                <w:szCs w:val="24"/>
              </w:rPr>
            </w:pPr>
            <w:r>
              <w:rPr>
                <w:rFonts w:ascii="仿宋_GB2312" w:eastAsia="仿宋_GB2312" w:cs="仿宋_GB2312" w:hAnsiTheme="minorHAnsi"/>
                <w:kern w:val="0"/>
                <w:sz w:val="24"/>
                <w:szCs w:val="24"/>
              </w:rPr>
              <w:t>4.</w:t>
            </w:r>
            <w:r>
              <w:rPr>
                <w:rFonts w:hint="eastAsia" w:ascii="仿宋_GB2312" w:eastAsia="仿宋_GB2312" w:cs="仿宋_GB2312" w:hAnsiTheme="minorHAnsi"/>
                <w:kern w:val="0"/>
                <w:sz w:val="24"/>
                <w:szCs w:val="24"/>
              </w:rPr>
              <w:t>仪器设备故障排除</w:t>
            </w:r>
          </w:p>
        </w:tc>
        <w:tc>
          <w:tcPr>
            <w:tcW w:w="1770" w:type="dxa"/>
            <w:vAlign w:val="center"/>
          </w:tcPr>
          <w:p>
            <w:pPr>
              <w:pStyle w:val="18"/>
              <w:jc w:val="center"/>
              <w:rPr>
                <w:rFonts w:ascii="仿宋_GB2312" w:eastAsia="仿宋_GB2312" w:cs="仿宋_GB2312" w:hAnsiTheme="minorHAnsi"/>
                <w:kern w:val="0"/>
                <w:sz w:val="24"/>
                <w:szCs w:val="24"/>
              </w:rPr>
            </w:pPr>
            <w:r>
              <w:rPr>
                <w:rFonts w:hint="eastAsia" w:ascii="仿宋_GB2312" w:eastAsia="仿宋_GB2312" w:cs="仿宋_GB2312" w:hAnsiTheme="minorHAnsi"/>
                <w:kern w:val="0"/>
                <w:sz w:val="24"/>
                <w:szCs w:val="24"/>
              </w:rPr>
              <w:t>60分钟</w:t>
            </w:r>
          </w:p>
        </w:tc>
        <w:tc>
          <w:tcPr>
            <w:tcW w:w="1216" w:type="dxa"/>
            <w:vAlign w:val="center"/>
          </w:tcPr>
          <w:p>
            <w:pPr>
              <w:pStyle w:val="18"/>
              <w:jc w:val="center"/>
              <w:rPr>
                <w:rFonts w:ascii="仿宋_GB2312" w:eastAsia="仿宋_GB2312" w:cs="仿宋_GB2312" w:hAnsiTheme="minorHAnsi"/>
                <w:kern w:val="0"/>
                <w:sz w:val="24"/>
                <w:szCs w:val="24"/>
              </w:rPr>
            </w:pPr>
            <w:r>
              <w:rPr>
                <w:rFonts w:hint="eastAsia" w:ascii="仿宋_GB2312" w:eastAsia="仿宋_GB2312" w:cs="仿宋_GB2312" w:hAnsiTheme="minorHAnsi"/>
                <w:kern w:val="0"/>
                <w:sz w:val="24"/>
                <w:szCs w:val="24"/>
              </w:rPr>
              <w:t>10 %</w:t>
            </w:r>
          </w:p>
        </w:tc>
      </w:tr>
    </w:tbl>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本赛项要求参赛队在1天内完成模块一和模块二，参赛队两名选手分别选择其中一模块参加。工作报告编制可由两名选手合作完成。参赛学校所有选手均需要独立完成模块三。</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eastAsia="黑体"/>
          <w:bCs/>
          <w:sz w:val="30"/>
          <w:szCs w:val="30"/>
        </w:rPr>
      </w:pPr>
      <w:r>
        <w:rPr>
          <w:rFonts w:hint="eastAsia" w:eastAsia="黑体"/>
          <w:bCs/>
          <w:sz w:val="30"/>
          <w:szCs w:val="30"/>
        </w:rPr>
        <w:t>七</w:t>
      </w:r>
      <w:r>
        <w:rPr>
          <w:rFonts w:eastAsia="黑体"/>
          <w:bCs/>
          <w:sz w:val="30"/>
          <w:szCs w:val="30"/>
        </w:rPr>
        <w:t>、竞赛规则</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K" w:hAnsi="方正楷体_GBK" w:eastAsia="方正楷体_GBK" w:cs="方正楷体_GBK"/>
          <w:b w:val="0"/>
          <w:bCs w:val="0"/>
          <w:sz w:val="30"/>
          <w:szCs w:val="30"/>
          <w:lang w:val="zh-TW" w:eastAsia="zh-TW"/>
        </w:rPr>
      </w:pPr>
      <w:r>
        <w:rPr>
          <w:rFonts w:hint="eastAsia" w:ascii="方正楷体_GBK" w:hAnsi="方正楷体_GBK" w:eastAsia="方正楷体_GBK" w:cs="方正楷体_GBK"/>
          <w:b w:val="0"/>
          <w:bCs w:val="0"/>
          <w:sz w:val="30"/>
          <w:szCs w:val="30"/>
          <w:lang w:val="zh-TW" w:eastAsia="zh-TW"/>
        </w:rPr>
        <w:t>（一）选手报名</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hAnsi="仿宋_GB2312" w:eastAsia="仿宋_GB2312" w:cs="仿宋_GB2312"/>
          <w:sz w:val="30"/>
          <w:szCs w:val="30"/>
        </w:rPr>
      </w:pPr>
      <w:r>
        <w:rPr>
          <w:rFonts w:hint="eastAsia" w:ascii="仿宋_GB2312" w:hAnsi="仿宋" w:eastAsia="仿宋_GB2312" w:cs="仿宋_GB2312"/>
          <w:sz w:val="30"/>
          <w:szCs w:val="30"/>
        </w:rPr>
        <w:t>参赛选手报名获得确认后不得随意更换，如参赛选手因故无法参赛，须由各参赛学校在规定时间内出具书面说明，经大赛执委会办公室核实后予以更换。</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K" w:hAnsi="方正楷体_GBK" w:eastAsia="方正楷体_GBK" w:cs="方正楷体_GBK"/>
          <w:b w:val="0"/>
          <w:bCs w:val="0"/>
          <w:sz w:val="30"/>
          <w:szCs w:val="30"/>
          <w:lang w:val="zh-TW" w:eastAsia="zh-TW"/>
        </w:rPr>
      </w:pPr>
      <w:r>
        <w:rPr>
          <w:rFonts w:hint="eastAsia" w:ascii="方正楷体_GBK" w:hAnsi="方正楷体_GBK" w:eastAsia="方正楷体_GBK" w:cs="方正楷体_GBK"/>
          <w:b w:val="0"/>
          <w:bCs w:val="0"/>
          <w:sz w:val="30"/>
          <w:szCs w:val="30"/>
          <w:lang w:val="zh-TW" w:eastAsia="zh-TW"/>
        </w:rPr>
        <w:t>（二）熟悉场地</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1.赛项执委会安排各参赛队统一有序地熟悉场地，熟悉场地时限定在指定区域，不得进入比赛区。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2.严禁与现场工作人员进行交流，不发表没有根据及有损大赛整体形象的言论。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3.严格遵守大赛各种制度，严禁拥挤、喧哗，以免发生意外事故。</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K" w:hAnsi="方正楷体_GBK" w:eastAsia="方正楷体_GBK" w:cs="方正楷体_GBK"/>
          <w:b w:val="0"/>
          <w:bCs w:val="0"/>
          <w:sz w:val="30"/>
          <w:szCs w:val="30"/>
          <w:lang w:val="zh-TW" w:eastAsia="zh-TW"/>
        </w:rPr>
      </w:pPr>
      <w:r>
        <w:rPr>
          <w:rFonts w:hint="eastAsia" w:ascii="方正楷体_GBK" w:hAnsi="方正楷体_GBK" w:eastAsia="方正楷体_GBK" w:cs="方正楷体_GBK"/>
          <w:b w:val="0"/>
          <w:bCs w:val="0"/>
          <w:sz w:val="30"/>
          <w:szCs w:val="30"/>
          <w:lang w:val="zh-TW" w:eastAsia="zh-TW"/>
        </w:rPr>
        <w:t>（三）竞赛入场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1.检录时，参赛选手提供身份证信息（姓名、年龄、相貌特征）应与参赛证一致；除赛项规程规定自带物品外，参赛选手不允许携带其他任何物品。</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2.在比赛开始30分钟后不得入场，迟到选手必须在赛场记录表中说明到场时间、迟到原因并签署赛位号确认。</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K" w:hAnsi="方正楷体_GBK" w:eastAsia="方正楷体_GBK" w:cs="方正楷体_GBK"/>
          <w:b w:val="0"/>
          <w:bCs w:val="0"/>
          <w:sz w:val="30"/>
          <w:szCs w:val="30"/>
          <w:lang w:val="zh-TW" w:eastAsia="zh-TW"/>
        </w:rPr>
      </w:pPr>
      <w:r>
        <w:rPr>
          <w:rFonts w:hint="eastAsia" w:ascii="方正楷体_GBK" w:hAnsi="方正楷体_GBK" w:eastAsia="方正楷体_GBK" w:cs="方正楷体_GBK"/>
          <w:b w:val="0"/>
          <w:bCs w:val="0"/>
          <w:sz w:val="30"/>
          <w:szCs w:val="30"/>
          <w:lang w:val="zh-TW" w:eastAsia="zh-TW"/>
        </w:rPr>
        <w:t>（四）赛场规则</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1.选手进入赛场后，必须听从现场裁判的统一指挥，不得以任何方式公开参赛队及个人信息。</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2.竞赛过程中，除裁判长和现场裁判外任何人员不得主动接近选手及其工作区域，选手有问题只能向现场裁判和裁判长反映。</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3.比赛过程中选手不得随意离开赛位，如发现设备故障等问题，选手应立即向现场裁判反映。</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4.比赛过程中严重违反赛场纪律者，由裁判长、监督仲裁长研究决定并报赛项执委会同意后，取消其该场比赛资格。</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K" w:hAnsi="方正楷体_GBK" w:eastAsia="方正楷体_GBK" w:cs="方正楷体_GBK"/>
          <w:b w:val="0"/>
          <w:bCs w:val="0"/>
          <w:sz w:val="30"/>
          <w:szCs w:val="30"/>
          <w:lang w:val="zh-TW" w:eastAsia="zh-TW"/>
        </w:rPr>
      </w:pPr>
      <w:r>
        <w:rPr>
          <w:rFonts w:hint="eastAsia" w:ascii="方正楷体_GBK" w:hAnsi="方正楷体_GBK" w:eastAsia="方正楷体_GBK" w:cs="方正楷体_GBK"/>
          <w:b w:val="0"/>
          <w:bCs w:val="0"/>
          <w:sz w:val="30"/>
          <w:szCs w:val="30"/>
          <w:lang w:val="zh-TW" w:eastAsia="zh-TW"/>
        </w:rPr>
        <w:t>（五）离场规则</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1.裁判长宣布终止比赛时，选手应立即停止工作（补时选手可以继续操作直至补时结束），并将所有竞赛资料放在工作台上。</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2.裁判检查完所有竞赛资料后，选手方可离开竞赛现场，不得带出任何竞赛实验室提供的设备、试剂及竞赛资料。</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K" w:hAnsi="方正楷体_GBK" w:eastAsia="方正楷体_GBK" w:cs="方正楷体_GBK"/>
          <w:b w:val="0"/>
          <w:bCs w:val="0"/>
          <w:sz w:val="30"/>
          <w:szCs w:val="30"/>
          <w:lang w:val="zh-TW" w:eastAsia="zh-TW"/>
        </w:rPr>
      </w:pPr>
      <w:r>
        <w:rPr>
          <w:rFonts w:hint="eastAsia" w:ascii="方正楷体_GBK" w:hAnsi="方正楷体_GBK" w:eastAsia="方正楷体_GBK" w:cs="方正楷体_GBK"/>
          <w:b w:val="0"/>
          <w:bCs w:val="0"/>
          <w:sz w:val="30"/>
          <w:szCs w:val="30"/>
          <w:lang w:val="zh-TW" w:eastAsia="zh-TW"/>
        </w:rPr>
        <w:t>（六）成绩管理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1.成绩评定实行“裁判长负责制”，设裁判长1名，全面负责赛项的裁判分工、裁判评分审核、处理比赛中出现的争议问题等工作。现场裁判负责按规定做好赛场记录、评定过程得分，阅卷裁判负责对数值型结果和工作报告撰写质量进行评阅打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2.监督仲裁组对成绩评定工作进行全程监督，对竞赛成绩抽检复核，对参赛队领队提出的申诉组织复议，及时反馈复议结果。</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3.裁判长复核评分结果无误后，由加密裁判进行逐级解密，最后由赛项执委会按规定进行竞赛成绩的公示、公布。</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eastAsia="黑体"/>
          <w:bCs/>
          <w:sz w:val="30"/>
          <w:szCs w:val="30"/>
        </w:rPr>
      </w:pPr>
      <w:r>
        <w:rPr>
          <w:rFonts w:hint="eastAsia" w:eastAsia="黑体"/>
          <w:bCs/>
          <w:sz w:val="30"/>
          <w:szCs w:val="30"/>
        </w:rPr>
        <w:t>八、技术规范</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K" w:hAnsi="方正楷体_GBK" w:eastAsia="方正楷体_GBK" w:cs="方正楷体_GBK"/>
          <w:b w:val="0"/>
          <w:bCs w:val="0"/>
          <w:sz w:val="30"/>
          <w:szCs w:val="30"/>
          <w:lang w:val="zh-TW" w:eastAsia="zh-TW"/>
        </w:rPr>
      </w:pPr>
      <w:r>
        <w:rPr>
          <w:rFonts w:hint="eastAsia" w:ascii="方正楷体_GBK" w:hAnsi="方正楷体_GBK" w:eastAsia="方正楷体_GBK" w:cs="方正楷体_GBK"/>
          <w:b w:val="0"/>
          <w:bCs w:val="0"/>
          <w:sz w:val="30"/>
          <w:szCs w:val="30"/>
          <w:lang w:val="zh-TW" w:eastAsia="zh-TW"/>
        </w:rPr>
        <w:t>（一）选手能力标准规范</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本赛项依据《中华人民共和国职业分类大典（2022年版）》中相关职业的工作任务描述，继承和发展往届全国职业院校技能大赛化学实验技术赛项的有效经验和做法，进一步完善选手能力标准规范，作为竞赛选手训练及准备的指南。</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选手能力标准规范分为7个部分，每部分权重采用总分的百分比来表示。竞赛模块及评分标准设计应尽可能地反映标准规范中所列知识点、技能点。</w:t>
      </w:r>
    </w:p>
    <w:p>
      <w:pPr>
        <w:adjustRightInd w:val="0"/>
        <w:snapToGrid w:val="0"/>
        <w:jc w:val="center"/>
        <w:rPr>
          <w:rFonts w:ascii="仿宋_GB2312" w:hAnsi="仿宋_GB2312" w:eastAsia="仿宋_GB2312" w:cs="仿宋_GB2312"/>
          <w:sz w:val="30"/>
          <w:szCs w:val="30"/>
        </w:rPr>
      </w:pPr>
      <w:r>
        <w:rPr>
          <w:rFonts w:ascii="黑体" w:hAnsi="黑体" w:eastAsia="黑体" w:cs="仿宋_GB2312"/>
          <w:sz w:val="24"/>
          <w:szCs w:val="24"/>
        </w:rPr>
        <w:t>表</w:t>
      </w:r>
      <w:r>
        <w:rPr>
          <w:rFonts w:hint="eastAsia" w:ascii="黑体" w:hAnsi="黑体" w:eastAsia="黑体" w:cs="仿宋_GB2312"/>
          <w:sz w:val="24"/>
          <w:szCs w:val="24"/>
        </w:rPr>
        <w:t>3</w:t>
      </w:r>
      <w:r>
        <w:rPr>
          <w:rFonts w:hint="eastAsia" w:ascii="黑体" w:hAnsi="黑体" w:eastAsia="黑体" w:cs="仿宋_GB2312"/>
          <w:sz w:val="24"/>
          <w:szCs w:val="24"/>
          <w:lang w:val="en-US" w:eastAsia="zh-CN"/>
        </w:rPr>
        <w:t xml:space="preserve">  </w:t>
      </w:r>
      <w:r>
        <w:rPr>
          <w:rFonts w:hint="eastAsia" w:ascii="黑体" w:hAnsi="黑体" w:eastAsia="黑体" w:cs="仿宋_GB2312"/>
          <w:sz w:val="24"/>
          <w:szCs w:val="24"/>
        </w:rPr>
        <w:t>选手能力标准规范</w:t>
      </w:r>
    </w:p>
    <w:tbl>
      <w:tblPr>
        <w:tblStyle w:val="11"/>
        <w:tblW w:w="90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6"/>
        <w:gridCol w:w="5533"/>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2646" w:type="dxa"/>
            <w:vAlign w:val="center"/>
          </w:tcPr>
          <w:p>
            <w:pPr>
              <w:rPr>
                <w:rFonts w:ascii="黑体" w:hAnsi="黑体" w:eastAsia="黑体" w:cs="仿宋_GB2312"/>
                <w:sz w:val="24"/>
                <w:szCs w:val="24"/>
              </w:rPr>
            </w:pPr>
            <w:r>
              <w:rPr>
                <w:rFonts w:hint="eastAsia" w:ascii="黑体" w:hAnsi="黑体" w:eastAsia="黑体" w:cs="仿宋_GB2312"/>
                <w:sz w:val="24"/>
                <w:szCs w:val="24"/>
              </w:rPr>
              <w:t>标准规范类别</w:t>
            </w:r>
          </w:p>
        </w:tc>
        <w:tc>
          <w:tcPr>
            <w:tcW w:w="5533" w:type="dxa"/>
            <w:vAlign w:val="center"/>
          </w:tcPr>
          <w:p>
            <w:pPr>
              <w:jc w:val="center"/>
              <w:rPr>
                <w:rFonts w:ascii="黑体" w:hAnsi="黑体" w:eastAsia="黑体" w:cs="仿宋_GB2312"/>
                <w:sz w:val="24"/>
                <w:szCs w:val="24"/>
              </w:rPr>
            </w:pPr>
            <w:r>
              <w:rPr>
                <w:rFonts w:hint="eastAsia" w:ascii="黑体" w:hAnsi="黑体" w:eastAsia="黑体" w:cs="仿宋_GB2312"/>
                <w:sz w:val="24"/>
                <w:szCs w:val="24"/>
              </w:rPr>
              <w:t>主要内容</w:t>
            </w:r>
          </w:p>
        </w:tc>
        <w:tc>
          <w:tcPr>
            <w:tcW w:w="911" w:type="dxa"/>
            <w:vAlign w:val="center"/>
          </w:tcPr>
          <w:p>
            <w:pPr>
              <w:jc w:val="center"/>
              <w:rPr>
                <w:rFonts w:ascii="黑体" w:hAnsi="黑体" w:eastAsia="黑体" w:cs="仿宋_GB2312"/>
                <w:sz w:val="24"/>
                <w:szCs w:val="24"/>
              </w:rPr>
            </w:pPr>
            <w:r>
              <w:rPr>
                <w:rFonts w:hint="eastAsia" w:ascii="黑体" w:hAnsi="黑体" w:eastAsia="黑体" w:cs="仿宋_GB2312"/>
                <w:sz w:val="24"/>
                <w:szCs w:val="24"/>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2646" w:type="dxa"/>
            <w:vAlign w:val="center"/>
          </w:tcPr>
          <w:p>
            <w:pPr>
              <w:autoSpaceDE w:val="0"/>
              <w:autoSpaceDN w:val="0"/>
              <w:adjustRightInd w:val="0"/>
              <w:jc w:val="center"/>
              <w:rPr>
                <w:rFonts w:ascii="仿宋_GB2312" w:eastAsia="仿宋_GB2312" w:cs="仿宋_GB2312" w:hAnsiTheme="minorHAnsi"/>
                <w:kern w:val="0"/>
                <w:sz w:val="24"/>
                <w:szCs w:val="24"/>
              </w:rPr>
            </w:pPr>
            <w:r>
              <w:rPr>
                <w:rFonts w:hint="eastAsia" w:ascii="仿宋_GB2312" w:eastAsia="仿宋_GB2312" w:cs="仿宋_GB2312" w:hAnsiTheme="minorHAnsi"/>
                <w:kern w:val="0"/>
                <w:sz w:val="24"/>
                <w:szCs w:val="24"/>
              </w:rPr>
              <w:t>工作组织及管理</w:t>
            </w:r>
          </w:p>
        </w:tc>
        <w:tc>
          <w:tcPr>
            <w:tcW w:w="5533" w:type="dxa"/>
            <w:vAlign w:val="center"/>
          </w:tcPr>
          <w:p>
            <w:pPr>
              <w:autoSpaceDE w:val="0"/>
              <w:autoSpaceDN w:val="0"/>
              <w:adjustRightInd w:val="0"/>
              <w:jc w:val="left"/>
              <w:rPr>
                <w:rFonts w:ascii="仿宋_GB2312" w:hAnsi="Times New Roman" w:eastAsia="仿宋_GB2312" w:cs="仿宋_GB2312"/>
                <w:kern w:val="0"/>
                <w:sz w:val="24"/>
                <w:szCs w:val="24"/>
              </w:rPr>
            </w:pPr>
            <w:r>
              <w:rPr>
                <w:rFonts w:hint="eastAsia" w:ascii="仿宋_GB2312" w:hAnsi="Times New Roman" w:eastAsia="仿宋_GB2312"/>
                <w:kern w:val="0"/>
                <w:sz w:val="24"/>
                <w:szCs w:val="24"/>
              </w:rPr>
              <w:t>1.</w:t>
            </w:r>
            <w:r>
              <w:rPr>
                <w:rFonts w:hint="eastAsia" w:ascii="仿宋_GB2312" w:hAnsi="Times New Roman" w:eastAsia="仿宋_GB2312" w:cs="仿宋_GB2312"/>
                <w:kern w:val="0"/>
                <w:sz w:val="24"/>
                <w:szCs w:val="24"/>
              </w:rPr>
              <w:t>理解健康和安全相关法律、法规，能够采取最佳防护措施</w:t>
            </w:r>
          </w:p>
          <w:p>
            <w:pPr>
              <w:autoSpaceDE w:val="0"/>
              <w:autoSpaceDN w:val="0"/>
              <w:adjustRightInd w:val="0"/>
              <w:jc w:val="left"/>
              <w:rPr>
                <w:rFonts w:ascii="仿宋_GB2312" w:hAnsi="Times New Roman" w:eastAsia="仿宋_GB2312" w:cs="仿宋_GB2312"/>
                <w:kern w:val="0"/>
                <w:sz w:val="24"/>
                <w:szCs w:val="24"/>
              </w:rPr>
            </w:pPr>
            <w:r>
              <w:rPr>
                <w:rFonts w:hint="eastAsia" w:ascii="仿宋_GB2312" w:hAnsi="Times New Roman" w:eastAsia="仿宋_GB2312"/>
                <w:kern w:val="0"/>
                <w:sz w:val="24"/>
                <w:szCs w:val="24"/>
              </w:rPr>
              <w:t>2.</w:t>
            </w:r>
            <w:r>
              <w:rPr>
                <w:rFonts w:hint="eastAsia" w:ascii="仿宋_GB2312" w:hAnsi="Times New Roman" w:eastAsia="仿宋_GB2312" w:cs="仿宋_GB2312"/>
                <w:kern w:val="0"/>
                <w:sz w:val="24"/>
                <w:szCs w:val="24"/>
              </w:rPr>
              <w:t>制定工作计划及进程安排，组织实施并完成工作任务</w:t>
            </w:r>
          </w:p>
          <w:p>
            <w:pPr>
              <w:autoSpaceDE w:val="0"/>
              <w:autoSpaceDN w:val="0"/>
              <w:adjustRightInd w:val="0"/>
              <w:jc w:val="left"/>
              <w:rPr>
                <w:rFonts w:ascii="仿宋_GB2312" w:hAnsi="Times New Roman" w:eastAsia="仿宋_GB2312" w:cs="仿宋_GB2312"/>
                <w:kern w:val="0"/>
                <w:sz w:val="24"/>
                <w:szCs w:val="24"/>
              </w:rPr>
            </w:pPr>
            <w:r>
              <w:rPr>
                <w:rFonts w:hint="eastAsia" w:ascii="仿宋_GB2312" w:hAnsi="Times New Roman" w:eastAsia="仿宋_GB2312"/>
                <w:kern w:val="0"/>
                <w:sz w:val="24"/>
                <w:szCs w:val="24"/>
              </w:rPr>
              <w:t>3.</w:t>
            </w:r>
            <w:r>
              <w:rPr>
                <w:rFonts w:hint="eastAsia" w:ascii="仿宋_GB2312" w:hAnsi="Times New Roman" w:eastAsia="仿宋_GB2312" w:cs="仿宋_GB2312"/>
                <w:kern w:val="0"/>
                <w:sz w:val="24"/>
                <w:szCs w:val="24"/>
              </w:rPr>
              <w:t>具备安全处置或回收化学物质的能力</w:t>
            </w:r>
          </w:p>
        </w:tc>
        <w:tc>
          <w:tcPr>
            <w:tcW w:w="911" w:type="dxa"/>
            <w:vAlign w:val="center"/>
          </w:tcPr>
          <w:p>
            <w:pPr>
              <w:autoSpaceDE w:val="0"/>
              <w:autoSpaceDN w:val="0"/>
              <w:adjustRightInd w:val="0"/>
              <w:jc w:val="center"/>
              <w:rPr>
                <w:rFonts w:ascii="仿宋_GB2312" w:hAnsi="Times New Roman" w:eastAsia="仿宋_GB2312"/>
                <w:kern w:val="0"/>
                <w:sz w:val="24"/>
                <w:szCs w:val="24"/>
              </w:rPr>
            </w:pPr>
            <w:r>
              <w:rPr>
                <w:rFonts w:hint="eastAsia" w:ascii="仿宋_GB2312" w:hAnsi="Times New Roman" w:eastAsia="仿宋_GB2312"/>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646" w:type="dxa"/>
            <w:vAlign w:val="center"/>
          </w:tcPr>
          <w:p>
            <w:pPr>
              <w:autoSpaceDE w:val="0"/>
              <w:autoSpaceDN w:val="0"/>
              <w:adjustRightInd w:val="0"/>
              <w:jc w:val="center"/>
              <w:rPr>
                <w:rFonts w:ascii="仿宋_GB2312" w:eastAsia="仿宋_GB2312" w:cs="仿宋_GB2312" w:hAnsiTheme="minorHAnsi"/>
                <w:kern w:val="0"/>
                <w:sz w:val="24"/>
                <w:szCs w:val="24"/>
              </w:rPr>
            </w:pPr>
            <w:r>
              <w:rPr>
                <w:rFonts w:hint="eastAsia" w:ascii="仿宋_GB2312" w:eastAsia="仿宋_GB2312" w:cs="仿宋_GB2312" w:hAnsiTheme="minorHAnsi"/>
                <w:kern w:val="0"/>
                <w:sz w:val="24"/>
                <w:szCs w:val="24"/>
              </w:rPr>
              <w:t>沟通及人际交往能力</w:t>
            </w:r>
          </w:p>
        </w:tc>
        <w:tc>
          <w:tcPr>
            <w:tcW w:w="5533" w:type="dxa"/>
            <w:vAlign w:val="center"/>
          </w:tcPr>
          <w:p>
            <w:pPr>
              <w:autoSpaceDE w:val="0"/>
              <w:autoSpaceDN w:val="0"/>
              <w:adjustRightInd w:val="0"/>
              <w:jc w:val="left"/>
              <w:rPr>
                <w:rFonts w:ascii="仿宋_GB2312" w:hAnsi="Times New Roman" w:eastAsia="仿宋_GB2312" w:cs="仿宋_GB2312"/>
                <w:kern w:val="0"/>
                <w:sz w:val="24"/>
                <w:szCs w:val="24"/>
              </w:rPr>
            </w:pPr>
            <w:r>
              <w:rPr>
                <w:rFonts w:hint="eastAsia" w:ascii="仿宋_GB2312" w:hAnsi="Times New Roman" w:eastAsia="仿宋_GB2312"/>
                <w:kern w:val="0"/>
                <w:sz w:val="24"/>
                <w:szCs w:val="24"/>
              </w:rPr>
              <w:t>1.</w:t>
            </w:r>
            <w:r>
              <w:rPr>
                <w:rFonts w:hint="eastAsia" w:ascii="仿宋_GB2312" w:hAnsi="Times New Roman" w:eastAsia="仿宋_GB2312" w:cs="仿宋_GB2312"/>
                <w:kern w:val="0"/>
                <w:sz w:val="24"/>
                <w:szCs w:val="24"/>
              </w:rPr>
              <w:t>与他人包括团队协同工作和互动沟通</w:t>
            </w:r>
          </w:p>
          <w:p>
            <w:pPr>
              <w:autoSpaceDE w:val="0"/>
              <w:autoSpaceDN w:val="0"/>
              <w:adjustRightInd w:val="0"/>
              <w:jc w:val="left"/>
              <w:rPr>
                <w:rFonts w:ascii="仿宋_GB2312" w:hAnsi="Times New Roman" w:eastAsia="仿宋_GB2312" w:cs="仿宋_GB2312"/>
                <w:kern w:val="0"/>
                <w:sz w:val="24"/>
                <w:szCs w:val="24"/>
              </w:rPr>
            </w:pPr>
            <w:r>
              <w:rPr>
                <w:rFonts w:hint="eastAsia" w:ascii="仿宋_GB2312" w:hAnsi="Times New Roman" w:eastAsia="仿宋_GB2312"/>
                <w:kern w:val="0"/>
                <w:sz w:val="24"/>
                <w:szCs w:val="24"/>
              </w:rPr>
              <w:t>2.</w:t>
            </w:r>
            <w:r>
              <w:rPr>
                <w:rFonts w:hint="eastAsia" w:ascii="仿宋_GB2312" w:hAnsi="Times New Roman" w:eastAsia="仿宋_GB2312" w:cs="仿宋_GB2312"/>
                <w:kern w:val="0"/>
                <w:sz w:val="24"/>
                <w:szCs w:val="24"/>
              </w:rPr>
              <w:t>阅读并应用与任务相关的技术文件</w:t>
            </w:r>
          </w:p>
          <w:p>
            <w:pPr>
              <w:autoSpaceDE w:val="0"/>
              <w:autoSpaceDN w:val="0"/>
              <w:adjustRightInd w:val="0"/>
              <w:jc w:val="left"/>
              <w:rPr>
                <w:rFonts w:ascii="仿宋_GB2312" w:hAnsi="Times New Roman" w:eastAsia="仿宋_GB2312" w:cs="仿宋_GB2312"/>
                <w:kern w:val="0"/>
                <w:sz w:val="24"/>
                <w:szCs w:val="24"/>
              </w:rPr>
            </w:pPr>
            <w:r>
              <w:rPr>
                <w:rFonts w:hint="eastAsia" w:ascii="仿宋_GB2312" w:hAnsi="Times New Roman" w:eastAsia="仿宋_GB2312"/>
                <w:kern w:val="0"/>
                <w:sz w:val="24"/>
                <w:szCs w:val="24"/>
              </w:rPr>
              <w:t>3.</w:t>
            </w:r>
            <w:r>
              <w:rPr>
                <w:rFonts w:hint="eastAsia" w:ascii="仿宋_GB2312" w:hAnsi="Times New Roman" w:eastAsia="仿宋_GB2312" w:cs="仿宋_GB2312"/>
                <w:kern w:val="0"/>
                <w:sz w:val="24"/>
                <w:szCs w:val="24"/>
              </w:rPr>
              <w:t>数据分析所用统计方法的意图和目的</w:t>
            </w:r>
          </w:p>
        </w:tc>
        <w:tc>
          <w:tcPr>
            <w:tcW w:w="911" w:type="dxa"/>
            <w:vAlign w:val="center"/>
          </w:tcPr>
          <w:p>
            <w:pPr>
              <w:autoSpaceDE w:val="0"/>
              <w:autoSpaceDN w:val="0"/>
              <w:adjustRightInd w:val="0"/>
              <w:jc w:val="center"/>
              <w:rPr>
                <w:rFonts w:ascii="仿宋_GB2312" w:hAnsi="Times New Roman" w:eastAsia="仿宋_GB2312"/>
                <w:kern w:val="0"/>
                <w:sz w:val="24"/>
                <w:szCs w:val="24"/>
              </w:rPr>
            </w:pPr>
            <w:r>
              <w:rPr>
                <w:rFonts w:hint="eastAsia" w:ascii="仿宋_GB2312" w:hAnsi="Times New Roman" w:eastAsia="仿宋_GB2312"/>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646" w:type="dxa"/>
            <w:vAlign w:val="center"/>
          </w:tcPr>
          <w:p>
            <w:pPr>
              <w:autoSpaceDE w:val="0"/>
              <w:autoSpaceDN w:val="0"/>
              <w:adjustRightInd w:val="0"/>
              <w:jc w:val="center"/>
              <w:rPr>
                <w:rFonts w:ascii="仿宋_GB2312" w:eastAsia="仿宋_GB2312" w:cs="仿宋_GB2312" w:hAnsiTheme="minorHAnsi"/>
                <w:kern w:val="0"/>
                <w:sz w:val="24"/>
                <w:szCs w:val="24"/>
              </w:rPr>
            </w:pPr>
            <w:r>
              <w:rPr>
                <w:rFonts w:hint="eastAsia" w:ascii="仿宋_GB2312" w:eastAsia="仿宋_GB2312" w:cs="仿宋_GB2312" w:hAnsiTheme="minorHAnsi"/>
                <w:kern w:val="0"/>
                <w:sz w:val="24"/>
                <w:szCs w:val="24"/>
              </w:rPr>
              <w:t>技术、程序和方法</w:t>
            </w:r>
          </w:p>
        </w:tc>
        <w:tc>
          <w:tcPr>
            <w:tcW w:w="5533" w:type="dxa"/>
            <w:vAlign w:val="center"/>
          </w:tcPr>
          <w:p>
            <w:pPr>
              <w:autoSpaceDE w:val="0"/>
              <w:autoSpaceDN w:val="0"/>
              <w:adjustRightInd w:val="0"/>
              <w:jc w:val="left"/>
              <w:rPr>
                <w:rFonts w:ascii="仿宋_GB2312" w:hAnsi="Times New Roman" w:eastAsia="仿宋_GB2312" w:cs="仿宋_GB2312"/>
                <w:kern w:val="0"/>
                <w:sz w:val="24"/>
                <w:szCs w:val="24"/>
              </w:rPr>
            </w:pPr>
            <w:r>
              <w:rPr>
                <w:rFonts w:hint="eastAsia" w:ascii="仿宋_GB2312" w:hAnsi="Times New Roman" w:eastAsia="仿宋_GB2312"/>
                <w:kern w:val="0"/>
                <w:sz w:val="24"/>
                <w:szCs w:val="24"/>
              </w:rPr>
              <w:t>1.</w:t>
            </w:r>
            <w:r>
              <w:rPr>
                <w:rFonts w:hint="eastAsia" w:ascii="仿宋_GB2312" w:hAnsi="Times New Roman" w:eastAsia="仿宋_GB2312" w:cs="仿宋_GB2312"/>
                <w:kern w:val="0"/>
                <w:sz w:val="24"/>
                <w:szCs w:val="24"/>
              </w:rPr>
              <w:t>掌握无机化学、有机化学、分析化学及物理的基本知识及应用</w:t>
            </w:r>
          </w:p>
          <w:p>
            <w:pPr>
              <w:autoSpaceDE w:val="0"/>
              <w:autoSpaceDN w:val="0"/>
              <w:adjustRightInd w:val="0"/>
              <w:jc w:val="left"/>
              <w:rPr>
                <w:rFonts w:ascii="仿宋_GB2312" w:hAnsi="Times New Roman" w:eastAsia="仿宋_GB2312" w:cs="仿宋_GB2312"/>
                <w:kern w:val="0"/>
                <w:sz w:val="24"/>
                <w:szCs w:val="24"/>
              </w:rPr>
            </w:pPr>
            <w:r>
              <w:rPr>
                <w:rFonts w:hint="eastAsia" w:ascii="仿宋_GB2312" w:hAnsi="Times New Roman" w:eastAsia="仿宋_GB2312"/>
                <w:kern w:val="0"/>
                <w:sz w:val="24"/>
                <w:szCs w:val="24"/>
              </w:rPr>
              <w:t>2.</w:t>
            </w:r>
            <w:r>
              <w:rPr>
                <w:rFonts w:hint="eastAsia" w:ascii="仿宋_GB2312" w:hAnsi="Times New Roman" w:eastAsia="仿宋_GB2312" w:cs="仿宋_GB2312"/>
                <w:kern w:val="0"/>
                <w:sz w:val="24"/>
                <w:szCs w:val="24"/>
              </w:rPr>
              <w:t>掌握实验室技术和科学实验的原则</w:t>
            </w:r>
          </w:p>
          <w:p>
            <w:pPr>
              <w:autoSpaceDE w:val="0"/>
              <w:autoSpaceDN w:val="0"/>
              <w:adjustRightInd w:val="0"/>
              <w:jc w:val="left"/>
              <w:rPr>
                <w:rFonts w:ascii="仿宋_GB2312" w:hAnsi="Times New Roman" w:eastAsia="仿宋_GB2312" w:cs="仿宋_GB2312"/>
                <w:kern w:val="0"/>
                <w:sz w:val="24"/>
                <w:szCs w:val="24"/>
              </w:rPr>
            </w:pPr>
            <w:r>
              <w:rPr>
                <w:rFonts w:hint="eastAsia" w:ascii="仿宋_GB2312" w:hAnsi="Times New Roman" w:eastAsia="仿宋_GB2312"/>
                <w:kern w:val="0"/>
                <w:sz w:val="24"/>
                <w:szCs w:val="24"/>
              </w:rPr>
              <w:t>3.</w:t>
            </w:r>
            <w:r>
              <w:rPr>
                <w:rFonts w:hint="eastAsia" w:ascii="仿宋_GB2312" w:hAnsi="Times New Roman" w:eastAsia="仿宋_GB2312" w:cs="仿宋_GB2312"/>
                <w:kern w:val="0"/>
                <w:sz w:val="24"/>
                <w:szCs w:val="24"/>
              </w:rPr>
              <w:t>具有分析方法和仪器的开发、验证能力</w:t>
            </w:r>
          </w:p>
        </w:tc>
        <w:tc>
          <w:tcPr>
            <w:tcW w:w="911" w:type="dxa"/>
            <w:vAlign w:val="center"/>
          </w:tcPr>
          <w:p>
            <w:pPr>
              <w:autoSpaceDE w:val="0"/>
              <w:autoSpaceDN w:val="0"/>
              <w:adjustRightInd w:val="0"/>
              <w:jc w:val="center"/>
              <w:rPr>
                <w:rFonts w:ascii="仿宋_GB2312" w:hAnsi="Times New Roman" w:eastAsia="仿宋_GB2312"/>
                <w:kern w:val="0"/>
                <w:sz w:val="24"/>
                <w:szCs w:val="24"/>
              </w:rPr>
            </w:pPr>
            <w:r>
              <w:rPr>
                <w:rFonts w:hint="eastAsia" w:ascii="仿宋_GB2312" w:hAnsi="Times New Roman" w:eastAsia="仿宋_GB2312"/>
                <w:kern w:val="0"/>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646" w:type="dxa"/>
            <w:vAlign w:val="center"/>
          </w:tcPr>
          <w:p>
            <w:pPr>
              <w:autoSpaceDE w:val="0"/>
              <w:autoSpaceDN w:val="0"/>
              <w:adjustRightInd w:val="0"/>
              <w:jc w:val="center"/>
              <w:rPr>
                <w:rFonts w:ascii="仿宋_GB2312" w:eastAsia="仿宋_GB2312" w:cs="仿宋_GB2312" w:hAnsiTheme="minorHAnsi"/>
                <w:kern w:val="0"/>
                <w:sz w:val="24"/>
                <w:szCs w:val="24"/>
              </w:rPr>
            </w:pPr>
            <w:r>
              <w:rPr>
                <w:rFonts w:hint="eastAsia" w:ascii="仿宋_GB2312" w:eastAsia="仿宋_GB2312" w:cs="仿宋_GB2312" w:hAnsiTheme="minorHAnsi"/>
                <w:kern w:val="0"/>
                <w:sz w:val="24"/>
                <w:szCs w:val="24"/>
              </w:rPr>
              <w:t>数据处理和记录保存</w:t>
            </w:r>
          </w:p>
        </w:tc>
        <w:tc>
          <w:tcPr>
            <w:tcW w:w="5533" w:type="dxa"/>
            <w:vAlign w:val="center"/>
          </w:tcPr>
          <w:p>
            <w:pPr>
              <w:autoSpaceDE w:val="0"/>
              <w:autoSpaceDN w:val="0"/>
              <w:adjustRightInd w:val="0"/>
              <w:jc w:val="left"/>
              <w:rPr>
                <w:rFonts w:ascii="仿宋_GB2312" w:hAnsi="Times New Roman" w:eastAsia="仿宋_GB2312" w:cs="仿宋_GB2312"/>
                <w:kern w:val="0"/>
                <w:sz w:val="24"/>
                <w:szCs w:val="24"/>
              </w:rPr>
            </w:pPr>
            <w:r>
              <w:rPr>
                <w:rFonts w:hint="eastAsia" w:ascii="仿宋_GB2312" w:hAnsi="Times New Roman" w:eastAsia="仿宋_GB2312"/>
                <w:kern w:val="0"/>
                <w:sz w:val="24"/>
                <w:szCs w:val="24"/>
              </w:rPr>
              <w:t>1.</w:t>
            </w:r>
            <w:r>
              <w:rPr>
                <w:rFonts w:hint="eastAsia" w:ascii="仿宋_GB2312" w:hAnsi="Times New Roman" w:eastAsia="仿宋_GB2312" w:cs="仿宋_GB2312"/>
                <w:kern w:val="0"/>
                <w:sz w:val="24"/>
                <w:szCs w:val="24"/>
              </w:rPr>
              <w:t>能对实验工作进行记录并保留文档</w:t>
            </w:r>
          </w:p>
          <w:p>
            <w:pPr>
              <w:autoSpaceDE w:val="0"/>
              <w:autoSpaceDN w:val="0"/>
              <w:adjustRightInd w:val="0"/>
              <w:jc w:val="left"/>
              <w:rPr>
                <w:rFonts w:ascii="仿宋_GB2312" w:hAnsi="Times New Roman" w:eastAsia="仿宋_GB2312" w:cs="仿宋_GB2312"/>
                <w:kern w:val="0"/>
                <w:sz w:val="24"/>
                <w:szCs w:val="24"/>
              </w:rPr>
            </w:pPr>
            <w:r>
              <w:rPr>
                <w:rFonts w:hint="eastAsia" w:ascii="仿宋_GB2312" w:hAnsi="Times New Roman" w:eastAsia="仿宋_GB2312"/>
                <w:kern w:val="0"/>
                <w:sz w:val="24"/>
                <w:szCs w:val="24"/>
              </w:rPr>
              <w:t>2.</w:t>
            </w:r>
            <w:r>
              <w:rPr>
                <w:rFonts w:hint="eastAsia" w:ascii="仿宋_GB2312" w:hAnsi="Times New Roman" w:eastAsia="仿宋_GB2312" w:cs="仿宋_GB2312"/>
                <w:kern w:val="0"/>
                <w:sz w:val="24"/>
                <w:szCs w:val="24"/>
              </w:rPr>
              <w:t>能够对实验数据进行的整理和处理</w:t>
            </w:r>
          </w:p>
          <w:p>
            <w:pPr>
              <w:autoSpaceDE w:val="0"/>
              <w:autoSpaceDN w:val="0"/>
              <w:adjustRightInd w:val="0"/>
              <w:jc w:val="left"/>
              <w:rPr>
                <w:rFonts w:ascii="仿宋_GB2312" w:hAnsi="Times New Roman" w:eastAsia="仿宋_GB2312" w:cs="仿宋_GB2312"/>
                <w:kern w:val="0"/>
                <w:sz w:val="24"/>
                <w:szCs w:val="24"/>
              </w:rPr>
            </w:pPr>
            <w:r>
              <w:rPr>
                <w:rFonts w:hint="eastAsia" w:ascii="仿宋_GB2312" w:hAnsi="Times New Roman" w:eastAsia="仿宋_GB2312"/>
                <w:kern w:val="0"/>
                <w:sz w:val="24"/>
                <w:szCs w:val="24"/>
              </w:rPr>
              <w:t>3.</w:t>
            </w:r>
            <w:r>
              <w:rPr>
                <w:rFonts w:hint="eastAsia" w:ascii="仿宋_GB2312" w:hAnsi="Times New Roman" w:eastAsia="仿宋_GB2312" w:cs="仿宋_GB2312"/>
                <w:kern w:val="0"/>
                <w:sz w:val="24"/>
                <w:szCs w:val="24"/>
              </w:rPr>
              <w:t>能书面呈现实验工作和问题解决的结果</w:t>
            </w:r>
          </w:p>
        </w:tc>
        <w:tc>
          <w:tcPr>
            <w:tcW w:w="911" w:type="dxa"/>
            <w:vAlign w:val="center"/>
          </w:tcPr>
          <w:p>
            <w:pPr>
              <w:autoSpaceDE w:val="0"/>
              <w:autoSpaceDN w:val="0"/>
              <w:adjustRightInd w:val="0"/>
              <w:jc w:val="center"/>
              <w:rPr>
                <w:rFonts w:ascii="仿宋_GB2312" w:hAnsi="Times New Roman" w:eastAsia="仿宋_GB2312"/>
                <w:kern w:val="0"/>
                <w:sz w:val="24"/>
                <w:szCs w:val="24"/>
              </w:rPr>
            </w:pPr>
            <w:r>
              <w:rPr>
                <w:rFonts w:hint="eastAsia" w:ascii="仿宋_GB2312" w:hAnsi="Times New Roman" w:eastAsia="仿宋_GB2312"/>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646" w:type="dxa"/>
            <w:vAlign w:val="center"/>
          </w:tcPr>
          <w:p>
            <w:pPr>
              <w:autoSpaceDE w:val="0"/>
              <w:autoSpaceDN w:val="0"/>
              <w:adjustRightInd w:val="0"/>
              <w:jc w:val="center"/>
              <w:rPr>
                <w:rFonts w:ascii="仿宋_GB2312" w:eastAsia="仿宋_GB2312" w:cs="仿宋_GB2312" w:hAnsiTheme="minorHAnsi"/>
                <w:kern w:val="0"/>
                <w:sz w:val="24"/>
                <w:szCs w:val="24"/>
              </w:rPr>
            </w:pPr>
            <w:r>
              <w:rPr>
                <w:rFonts w:hint="eastAsia" w:ascii="仿宋_GB2312" w:eastAsia="仿宋_GB2312" w:cs="仿宋_GB2312" w:hAnsiTheme="minorHAnsi"/>
                <w:kern w:val="0"/>
                <w:sz w:val="24"/>
                <w:szCs w:val="24"/>
              </w:rPr>
              <w:t>分析、解释和评价</w:t>
            </w:r>
          </w:p>
        </w:tc>
        <w:tc>
          <w:tcPr>
            <w:tcW w:w="5533" w:type="dxa"/>
            <w:vAlign w:val="center"/>
          </w:tcPr>
          <w:p>
            <w:pPr>
              <w:autoSpaceDE w:val="0"/>
              <w:autoSpaceDN w:val="0"/>
              <w:adjustRightInd w:val="0"/>
              <w:jc w:val="left"/>
              <w:rPr>
                <w:rFonts w:ascii="仿宋_GB2312" w:hAnsi="Times New Roman" w:eastAsia="仿宋_GB2312" w:cs="仿宋_GB2312"/>
                <w:kern w:val="0"/>
                <w:sz w:val="24"/>
                <w:szCs w:val="24"/>
              </w:rPr>
            </w:pPr>
            <w:r>
              <w:rPr>
                <w:rFonts w:hint="eastAsia" w:ascii="仿宋_GB2312" w:hAnsi="Times New Roman" w:eastAsia="仿宋_GB2312"/>
                <w:kern w:val="0"/>
                <w:sz w:val="24"/>
                <w:szCs w:val="24"/>
              </w:rPr>
              <w:t>1.</w:t>
            </w:r>
            <w:r>
              <w:rPr>
                <w:rFonts w:hint="eastAsia" w:ascii="仿宋_GB2312" w:hAnsi="Times New Roman" w:eastAsia="仿宋_GB2312" w:cs="仿宋_GB2312"/>
                <w:kern w:val="0"/>
                <w:sz w:val="24"/>
                <w:szCs w:val="24"/>
              </w:rPr>
              <w:t>科学数据分析中使用的数学和统计方法</w:t>
            </w:r>
          </w:p>
          <w:p>
            <w:pPr>
              <w:autoSpaceDE w:val="0"/>
              <w:autoSpaceDN w:val="0"/>
              <w:adjustRightInd w:val="0"/>
              <w:jc w:val="left"/>
              <w:rPr>
                <w:rFonts w:ascii="仿宋_GB2312" w:hAnsi="Times New Roman" w:eastAsia="仿宋_GB2312" w:cs="仿宋_GB2312"/>
                <w:kern w:val="0"/>
                <w:sz w:val="24"/>
                <w:szCs w:val="24"/>
              </w:rPr>
            </w:pPr>
            <w:r>
              <w:rPr>
                <w:rFonts w:hint="eastAsia" w:ascii="仿宋_GB2312" w:hAnsi="Times New Roman" w:eastAsia="仿宋_GB2312"/>
                <w:kern w:val="0"/>
                <w:sz w:val="24"/>
                <w:szCs w:val="24"/>
              </w:rPr>
              <w:t>2.</w:t>
            </w:r>
            <w:r>
              <w:rPr>
                <w:rFonts w:hint="eastAsia" w:ascii="仿宋_GB2312" w:hAnsi="Times New Roman" w:eastAsia="仿宋_GB2312" w:cs="仿宋_GB2312"/>
                <w:kern w:val="0"/>
                <w:sz w:val="24"/>
                <w:szCs w:val="24"/>
              </w:rPr>
              <w:t>误差的性质、概率、来源和类型</w:t>
            </w:r>
          </w:p>
          <w:p>
            <w:pPr>
              <w:autoSpaceDE w:val="0"/>
              <w:autoSpaceDN w:val="0"/>
              <w:adjustRightInd w:val="0"/>
              <w:jc w:val="left"/>
              <w:rPr>
                <w:rFonts w:ascii="仿宋_GB2312" w:hAnsi="Times New Roman" w:eastAsia="仿宋_GB2312" w:cs="仿宋_GB2312"/>
                <w:kern w:val="0"/>
                <w:sz w:val="24"/>
                <w:szCs w:val="24"/>
              </w:rPr>
            </w:pPr>
            <w:r>
              <w:rPr>
                <w:rFonts w:hint="eastAsia" w:ascii="仿宋_GB2312" w:hAnsi="Times New Roman" w:eastAsia="仿宋_GB2312"/>
                <w:kern w:val="0"/>
                <w:sz w:val="24"/>
                <w:szCs w:val="24"/>
              </w:rPr>
              <w:t>3.</w:t>
            </w:r>
            <w:r>
              <w:rPr>
                <w:rFonts w:hint="eastAsia" w:ascii="仿宋_GB2312" w:hAnsi="Times New Roman" w:eastAsia="仿宋_GB2312" w:cs="仿宋_GB2312"/>
                <w:kern w:val="0"/>
                <w:sz w:val="24"/>
                <w:szCs w:val="24"/>
              </w:rPr>
              <w:t>质量控制的原则和方法</w:t>
            </w:r>
          </w:p>
          <w:p>
            <w:pPr>
              <w:autoSpaceDE w:val="0"/>
              <w:autoSpaceDN w:val="0"/>
              <w:adjustRightInd w:val="0"/>
              <w:jc w:val="left"/>
              <w:rPr>
                <w:rFonts w:ascii="仿宋_GB2312" w:hAnsi="Times New Roman" w:eastAsia="仿宋_GB2312" w:cs="仿宋_GB2312"/>
                <w:kern w:val="0"/>
                <w:sz w:val="24"/>
                <w:szCs w:val="24"/>
              </w:rPr>
            </w:pPr>
            <w:r>
              <w:rPr>
                <w:rFonts w:hint="eastAsia" w:ascii="仿宋_GB2312" w:hAnsi="Times New Roman" w:eastAsia="仿宋_GB2312"/>
                <w:kern w:val="0"/>
                <w:sz w:val="24"/>
                <w:szCs w:val="24"/>
              </w:rPr>
              <w:t>4.</w:t>
            </w:r>
            <w:r>
              <w:rPr>
                <w:rFonts w:hint="eastAsia" w:ascii="仿宋_GB2312" w:hAnsi="Times New Roman" w:eastAsia="仿宋_GB2312" w:cs="仿宋_GB2312"/>
                <w:kern w:val="0"/>
                <w:sz w:val="24"/>
                <w:szCs w:val="24"/>
              </w:rPr>
              <w:t>持续改进的原则和应用</w:t>
            </w:r>
          </w:p>
        </w:tc>
        <w:tc>
          <w:tcPr>
            <w:tcW w:w="911" w:type="dxa"/>
            <w:vAlign w:val="center"/>
          </w:tcPr>
          <w:p>
            <w:pPr>
              <w:autoSpaceDE w:val="0"/>
              <w:autoSpaceDN w:val="0"/>
              <w:adjustRightInd w:val="0"/>
              <w:jc w:val="center"/>
              <w:rPr>
                <w:rFonts w:ascii="仿宋_GB2312" w:hAnsi="Times New Roman" w:eastAsia="仿宋_GB2312"/>
                <w:kern w:val="0"/>
                <w:sz w:val="24"/>
                <w:szCs w:val="24"/>
              </w:rPr>
            </w:pPr>
            <w:r>
              <w:rPr>
                <w:rFonts w:hint="eastAsia" w:ascii="仿宋_GB2312" w:hAnsi="Times New Roman" w:eastAsia="仿宋_GB2312"/>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646" w:type="dxa"/>
            <w:vAlign w:val="center"/>
          </w:tcPr>
          <w:p>
            <w:pPr>
              <w:autoSpaceDE w:val="0"/>
              <w:autoSpaceDN w:val="0"/>
              <w:adjustRightInd w:val="0"/>
              <w:jc w:val="center"/>
              <w:rPr>
                <w:rFonts w:ascii="仿宋_GB2312" w:eastAsia="仿宋_GB2312" w:cs="仿宋_GB2312" w:hAnsiTheme="minorHAnsi"/>
                <w:kern w:val="0"/>
                <w:sz w:val="24"/>
                <w:szCs w:val="24"/>
              </w:rPr>
            </w:pPr>
            <w:r>
              <w:rPr>
                <w:rFonts w:hint="eastAsia" w:ascii="仿宋_GB2312" w:eastAsia="仿宋_GB2312" w:cs="仿宋_GB2312" w:hAnsiTheme="minorHAnsi"/>
                <w:kern w:val="0"/>
                <w:sz w:val="24"/>
                <w:szCs w:val="24"/>
              </w:rPr>
              <w:t>应用科学方法解决问题</w:t>
            </w:r>
          </w:p>
        </w:tc>
        <w:tc>
          <w:tcPr>
            <w:tcW w:w="5533" w:type="dxa"/>
            <w:vAlign w:val="center"/>
          </w:tcPr>
          <w:p>
            <w:pPr>
              <w:autoSpaceDE w:val="0"/>
              <w:autoSpaceDN w:val="0"/>
              <w:adjustRightInd w:val="0"/>
              <w:jc w:val="left"/>
              <w:rPr>
                <w:rFonts w:ascii="仿宋_GB2312" w:hAnsi="Times New Roman" w:eastAsia="仿宋_GB2312" w:cs="仿宋_GB2312"/>
                <w:kern w:val="0"/>
                <w:sz w:val="24"/>
                <w:szCs w:val="24"/>
              </w:rPr>
            </w:pPr>
            <w:r>
              <w:rPr>
                <w:rFonts w:hint="eastAsia" w:ascii="仿宋_GB2312" w:hAnsi="Times New Roman" w:eastAsia="仿宋_GB2312"/>
                <w:kern w:val="0"/>
                <w:sz w:val="24"/>
                <w:szCs w:val="24"/>
              </w:rPr>
              <w:t>1.</w:t>
            </w:r>
            <w:r>
              <w:rPr>
                <w:rFonts w:hint="eastAsia" w:ascii="仿宋_GB2312" w:hAnsi="Times New Roman" w:eastAsia="仿宋_GB2312" w:cs="仿宋_GB2312"/>
                <w:kern w:val="0"/>
                <w:sz w:val="24"/>
                <w:szCs w:val="24"/>
              </w:rPr>
              <w:t>识别出现问题的可能性，应用适当的科学方法确定原因并获得解决方案</w:t>
            </w:r>
          </w:p>
          <w:p>
            <w:pPr>
              <w:autoSpaceDE w:val="0"/>
              <w:autoSpaceDN w:val="0"/>
              <w:adjustRightInd w:val="0"/>
              <w:jc w:val="left"/>
              <w:rPr>
                <w:rFonts w:ascii="仿宋_GB2312" w:hAnsi="Times New Roman" w:eastAsia="仿宋_GB2312" w:cs="仿宋_GB2312"/>
                <w:kern w:val="0"/>
                <w:sz w:val="24"/>
                <w:szCs w:val="24"/>
              </w:rPr>
            </w:pPr>
            <w:r>
              <w:rPr>
                <w:rFonts w:hint="eastAsia" w:ascii="仿宋_GB2312" w:hAnsi="Times New Roman" w:eastAsia="仿宋_GB2312"/>
                <w:kern w:val="0"/>
                <w:sz w:val="24"/>
                <w:szCs w:val="24"/>
              </w:rPr>
              <w:t>2.</w:t>
            </w:r>
            <w:r>
              <w:rPr>
                <w:rFonts w:hint="eastAsia" w:ascii="仿宋_GB2312" w:hAnsi="Times New Roman" w:eastAsia="仿宋_GB2312" w:cs="仿宋_GB2312"/>
                <w:kern w:val="0"/>
                <w:sz w:val="24"/>
                <w:szCs w:val="24"/>
              </w:rPr>
              <w:t>识别和确定谱图中的明显干扰</w:t>
            </w:r>
          </w:p>
          <w:p>
            <w:pPr>
              <w:autoSpaceDE w:val="0"/>
              <w:autoSpaceDN w:val="0"/>
              <w:adjustRightInd w:val="0"/>
              <w:jc w:val="left"/>
              <w:rPr>
                <w:rFonts w:ascii="仿宋_GB2312" w:hAnsi="Times New Roman" w:eastAsia="仿宋_GB2312" w:cs="仿宋_GB2312"/>
                <w:kern w:val="0"/>
                <w:sz w:val="24"/>
                <w:szCs w:val="24"/>
              </w:rPr>
            </w:pPr>
            <w:r>
              <w:rPr>
                <w:rFonts w:hint="eastAsia" w:ascii="仿宋_GB2312" w:hAnsi="Times New Roman" w:eastAsia="仿宋_GB2312"/>
                <w:kern w:val="0"/>
                <w:sz w:val="24"/>
                <w:szCs w:val="24"/>
              </w:rPr>
              <w:t>3.</w:t>
            </w:r>
            <w:r>
              <w:rPr>
                <w:rFonts w:hint="eastAsia" w:ascii="仿宋_GB2312" w:hAnsi="Times New Roman" w:eastAsia="仿宋_GB2312" w:cs="仿宋_GB2312"/>
                <w:kern w:val="0"/>
                <w:sz w:val="24"/>
                <w:szCs w:val="24"/>
              </w:rPr>
              <w:t>提出改进工作流程或科学解决方案的建议</w:t>
            </w:r>
          </w:p>
        </w:tc>
        <w:tc>
          <w:tcPr>
            <w:tcW w:w="911" w:type="dxa"/>
            <w:vAlign w:val="center"/>
          </w:tcPr>
          <w:p>
            <w:pPr>
              <w:autoSpaceDE w:val="0"/>
              <w:autoSpaceDN w:val="0"/>
              <w:adjustRightInd w:val="0"/>
              <w:jc w:val="center"/>
              <w:rPr>
                <w:rFonts w:ascii="仿宋_GB2312" w:hAnsi="Times New Roman" w:eastAsia="仿宋_GB2312"/>
                <w:kern w:val="0"/>
                <w:sz w:val="24"/>
                <w:szCs w:val="24"/>
              </w:rPr>
            </w:pPr>
            <w:r>
              <w:rPr>
                <w:rFonts w:hint="eastAsia" w:ascii="仿宋_GB2312" w:hAnsi="Times New Roman" w:eastAsia="仿宋_GB2312"/>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646" w:type="dxa"/>
            <w:vAlign w:val="center"/>
          </w:tcPr>
          <w:p>
            <w:pPr>
              <w:autoSpaceDE w:val="0"/>
              <w:autoSpaceDN w:val="0"/>
              <w:adjustRightInd w:val="0"/>
              <w:jc w:val="center"/>
              <w:rPr>
                <w:rFonts w:ascii="仿宋_GB2312" w:eastAsia="仿宋_GB2312" w:cs="仿宋_GB2312" w:hAnsiTheme="minorHAnsi"/>
                <w:kern w:val="0"/>
                <w:sz w:val="24"/>
                <w:szCs w:val="24"/>
              </w:rPr>
            </w:pPr>
            <w:r>
              <w:rPr>
                <w:rFonts w:hint="eastAsia" w:ascii="仿宋_GB2312" w:eastAsia="仿宋_GB2312" w:cs="仿宋_GB2312" w:hAnsiTheme="minorHAnsi"/>
                <w:kern w:val="0"/>
                <w:sz w:val="24"/>
                <w:szCs w:val="24"/>
              </w:rPr>
              <w:t>应用化学发展趋势</w:t>
            </w:r>
          </w:p>
        </w:tc>
        <w:tc>
          <w:tcPr>
            <w:tcW w:w="5533" w:type="dxa"/>
            <w:vAlign w:val="center"/>
          </w:tcPr>
          <w:p>
            <w:pPr>
              <w:autoSpaceDE w:val="0"/>
              <w:autoSpaceDN w:val="0"/>
              <w:adjustRightInd w:val="0"/>
              <w:jc w:val="left"/>
              <w:rPr>
                <w:rFonts w:ascii="仿宋_GB2312" w:hAnsi="Times New Roman" w:eastAsia="仿宋_GB2312" w:cs="仿宋_GB2312"/>
                <w:kern w:val="0"/>
                <w:sz w:val="24"/>
                <w:szCs w:val="24"/>
              </w:rPr>
            </w:pPr>
            <w:r>
              <w:rPr>
                <w:rFonts w:hint="eastAsia" w:ascii="仿宋_GB2312" w:hAnsi="Times New Roman" w:eastAsia="仿宋_GB2312"/>
                <w:kern w:val="0"/>
                <w:sz w:val="24"/>
                <w:szCs w:val="24"/>
              </w:rPr>
              <w:t>1.</w:t>
            </w:r>
            <w:r>
              <w:rPr>
                <w:rFonts w:hint="eastAsia" w:ascii="仿宋_GB2312" w:hAnsi="Times New Roman" w:eastAsia="仿宋_GB2312" w:cs="仿宋_GB2312"/>
                <w:kern w:val="0"/>
                <w:sz w:val="24"/>
                <w:szCs w:val="24"/>
              </w:rPr>
              <w:t>调试、操作自动化实验室系统</w:t>
            </w:r>
          </w:p>
          <w:p>
            <w:pPr>
              <w:autoSpaceDE w:val="0"/>
              <w:autoSpaceDN w:val="0"/>
              <w:adjustRightInd w:val="0"/>
              <w:jc w:val="left"/>
              <w:rPr>
                <w:rFonts w:ascii="仿宋_GB2312" w:hAnsi="Times New Roman" w:eastAsia="仿宋_GB2312" w:cs="仿宋_GB2312"/>
                <w:kern w:val="0"/>
                <w:sz w:val="24"/>
                <w:szCs w:val="24"/>
              </w:rPr>
            </w:pPr>
            <w:r>
              <w:rPr>
                <w:rFonts w:hint="eastAsia" w:ascii="仿宋_GB2312" w:hAnsi="Times New Roman" w:eastAsia="仿宋_GB2312"/>
                <w:kern w:val="0"/>
                <w:sz w:val="24"/>
                <w:szCs w:val="24"/>
              </w:rPr>
              <w:t>2.</w:t>
            </w:r>
            <w:r>
              <w:rPr>
                <w:rFonts w:hint="eastAsia" w:ascii="仿宋_GB2312" w:hAnsi="Times New Roman" w:eastAsia="仿宋_GB2312" w:cs="仿宋_GB2312"/>
                <w:kern w:val="0"/>
                <w:sz w:val="24"/>
                <w:szCs w:val="24"/>
              </w:rPr>
              <w:t>优化自动化实验室系统的条件设置</w:t>
            </w:r>
          </w:p>
          <w:p>
            <w:pPr>
              <w:autoSpaceDE w:val="0"/>
              <w:autoSpaceDN w:val="0"/>
              <w:adjustRightInd w:val="0"/>
              <w:jc w:val="left"/>
              <w:rPr>
                <w:rFonts w:ascii="仿宋_GB2312" w:hAnsi="Times New Roman" w:eastAsia="仿宋_GB2312" w:cs="仿宋_GB2312"/>
                <w:kern w:val="0"/>
                <w:sz w:val="24"/>
                <w:szCs w:val="24"/>
              </w:rPr>
            </w:pPr>
            <w:r>
              <w:rPr>
                <w:rFonts w:hint="eastAsia" w:ascii="仿宋_GB2312" w:hAnsi="Times New Roman" w:eastAsia="仿宋_GB2312"/>
                <w:kern w:val="0"/>
                <w:sz w:val="24"/>
                <w:szCs w:val="24"/>
              </w:rPr>
              <w:t>3.</w:t>
            </w:r>
            <w:r>
              <w:rPr>
                <w:rFonts w:hint="eastAsia" w:ascii="仿宋_GB2312" w:hAnsi="Times New Roman" w:eastAsia="仿宋_GB2312" w:cs="仿宋_GB2312"/>
                <w:kern w:val="0"/>
                <w:sz w:val="24"/>
                <w:szCs w:val="24"/>
              </w:rPr>
              <w:t>维护自动化实验室系统，能排除有关故障</w:t>
            </w:r>
          </w:p>
        </w:tc>
        <w:tc>
          <w:tcPr>
            <w:tcW w:w="911" w:type="dxa"/>
            <w:vAlign w:val="center"/>
          </w:tcPr>
          <w:p>
            <w:pPr>
              <w:autoSpaceDE w:val="0"/>
              <w:autoSpaceDN w:val="0"/>
              <w:adjustRightInd w:val="0"/>
              <w:jc w:val="center"/>
              <w:rPr>
                <w:rFonts w:ascii="仿宋_GB2312" w:hAnsi="Times New Roman" w:eastAsia="仿宋_GB2312"/>
                <w:kern w:val="0"/>
                <w:sz w:val="24"/>
                <w:szCs w:val="24"/>
              </w:rPr>
            </w:pPr>
            <w:r>
              <w:rPr>
                <w:rFonts w:hint="eastAsia" w:ascii="仿宋_GB2312" w:hAnsi="Times New Roman" w:eastAsia="仿宋_GB2312"/>
                <w:kern w:val="0"/>
                <w:sz w:val="24"/>
                <w:szCs w:val="24"/>
              </w:rPr>
              <w:t>10%</w:t>
            </w:r>
          </w:p>
        </w:tc>
      </w:tr>
    </w:tbl>
    <w:p>
      <w:pPr>
        <w:keepNext w:val="0"/>
        <w:keepLines w:val="0"/>
        <w:pageBreakBefore w:val="0"/>
        <w:widowControl w:val="0"/>
        <w:kinsoku/>
        <w:wordWrap/>
        <w:overflowPunct/>
        <w:topLinePunct w:val="0"/>
        <w:bidi w:val="0"/>
        <w:snapToGrid/>
        <w:spacing w:line="560" w:lineRule="exact"/>
        <w:ind w:firstLine="600" w:firstLineChars="200"/>
        <w:textAlignment w:val="auto"/>
        <w:rPr>
          <w:rFonts w:hint="eastAsia" w:ascii="方正楷体_GBK" w:hAnsi="方正楷体_GBK" w:eastAsia="方正楷体_GBK" w:cs="方正楷体_GBK"/>
          <w:b w:val="0"/>
          <w:bCs w:val="0"/>
          <w:sz w:val="30"/>
          <w:szCs w:val="30"/>
          <w:lang w:val="zh-TW" w:eastAsia="zh-TW"/>
        </w:rPr>
      </w:pPr>
      <w:r>
        <w:rPr>
          <w:rFonts w:hint="eastAsia" w:ascii="方正楷体_GBK" w:hAnsi="方正楷体_GBK" w:eastAsia="方正楷体_GBK" w:cs="方正楷体_GBK"/>
          <w:b w:val="0"/>
          <w:bCs w:val="0"/>
          <w:sz w:val="30"/>
          <w:szCs w:val="30"/>
          <w:lang w:val="zh-TW" w:eastAsia="zh-TW"/>
        </w:rPr>
        <w:t>（二）赛题技术标准规范</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赛题内容主要依据高等职业学校化工技术类专业教学标准中实践性教学环节《无机化学实验》《有机化学实验》设计，参考教材如下：</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高职高专化学教材编写组. 无机化学实验（第五版）[M]. 高等教育出版社: 2020年.</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高职高专化学教材编写组. 有机化学实验（第五版）[M]. 高等教育出版社: 2020年.</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高职高专化学教材编写组. 分析化学实验（第五版）[M]. 高等教育出版社: 2020年.</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赛题任务书中所涉及的试剂配制和产品分析方法，主要参考下列国家标准和行业标准：</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GB/T 601-2016 化学试剂标准滴定溶液的制备</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JJG 196-2006 常用玻璃量器检定规程</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GB/T 603-2002 试验方法中所用制剂及制品的制备</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GB/T 676-2007 化学试剂乙酸（冰醋酸）</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GB/T 12717-2007 工业用乙酸酯类试验方法</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GB/T 10345-2022 白酒分析方法</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GB/T 39107-2020 消费品中可挥发性有机物含量的测定静态顶空进样法</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jc w:val="left"/>
        <w:textAlignment w:val="auto"/>
        <w:rPr>
          <w:rFonts w:ascii="黑体" w:eastAsia="黑体" w:cs="黑体" w:hAnsiTheme="minorHAnsi"/>
          <w:kern w:val="0"/>
          <w:sz w:val="30"/>
          <w:szCs w:val="30"/>
        </w:rPr>
      </w:pPr>
      <w:r>
        <w:rPr>
          <w:rFonts w:hint="eastAsia" w:ascii="黑体" w:eastAsia="黑体" w:cs="黑体" w:hAnsiTheme="minorHAnsi"/>
          <w:kern w:val="0"/>
          <w:sz w:val="30"/>
          <w:szCs w:val="30"/>
        </w:rPr>
        <w:t>九、技术环境</w:t>
      </w:r>
    </w:p>
    <w:p>
      <w:pPr>
        <w:keepNext w:val="0"/>
        <w:keepLines w:val="0"/>
        <w:pageBreakBefore w:val="0"/>
        <w:widowControl w:val="0"/>
        <w:kinsoku/>
        <w:wordWrap/>
        <w:overflowPunct/>
        <w:topLinePunct w:val="0"/>
        <w:bidi w:val="0"/>
        <w:snapToGrid/>
        <w:spacing w:line="560" w:lineRule="exact"/>
        <w:ind w:firstLine="600" w:firstLineChars="200"/>
        <w:textAlignment w:val="auto"/>
        <w:rPr>
          <w:rFonts w:hint="eastAsia" w:ascii="方正楷体_GBK" w:hAnsi="方正楷体_GBK" w:eastAsia="方正楷体_GBK" w:cs="方正楷体_GBK"/>
          <w:b w:val="0"/>
          <w:bCs w:val="0"/>
          <w:sz w:val="30"/>
          <w:szCs w:val="30"/>
          <w:lang w:val="zh-TW" w:eastAsia="zh-TW"/>
        </w:rPr>
      </w:pPr>
      <w:r>
        <w:rPr>
          <w:rFonts w:hint="eastAsia" w:ascii="方正楷体_GBK" w:hAnsi="方正楷体_GBK" w:eastAsia="方正楷体_GBK" w:cs="方正楷体_GBK"/>
          <w:b w:val="0"/>
          <w:bCs w:val="0"/>
          <w:sz w:val="30"/>
          <w:szCs w:val="30"/>
          <w:lang w:val="zh-TW" w:eastAsia="zh-TW"/>
        </w:rPr>
        <w:t>（一）竞赛场地及环境设施要求</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1.比赛场地</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满足每队选手有单独的实验赛位，每个选手具有独立的实验装置、设备及试剂，每个赛位具有独立的水、电、通风设备。比赛过程采取全程实时监控。</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2.辅助场所</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竞赛须设置检录隔离区、独立阅卷室等辅助场所，并全程实时监控。</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3.医疗保障</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赛场设医疗服务站，比赛时安排救护人员现场服务。</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4.安全防护</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赛位配有安全警示标语、安全提示、护目镜、口罩等安全保护用品；赛场设有实训室安全管理规定、应急处理规定、化学药品使用规定，洗眼器、消防沙、消防毯、医护用品等消防和个人防护用品；实训楼设有紧急疏散指示、安排专职疏散人员。</w:t>
      </w:r>
    </w:p>
    <w:p>
      <w:pPr>
        <w:keepNext w:val="0"/>
        <w:keepLines w:val="0"/>
        <w:pageBreakBefore w:val="0"/>
        <w:widowControl w:val="0"/>
        <w:kinsoku/>
        <w:wordWrap/>
        <w:overflowPunct/>
        <w:topLinePunct w:val="0"/>
        <w:bidi w:val="0"/>
        <w:snapToGrid/>
        <w:spacing w:line="560" w:lineRule="exact"/>
        <w:ind w:firstLine="600" w:firstLineChars="200"/>
        <w:textAlignment w:val="auto"/>
        <w:rPr>
          <w:rFonts w:hint="eastAsia" w:ascii="方正楷体_GBK" w:hAnsi="方正楷体_GBK" w:eastAsia="方正楷体_GBK" w:cs="方正楷体_GBK"/>
          <w:b w:val="0"/>
          <w:bCs w:val="0"/>
          <w:sz w:val="30"/>
          <w:szCs w:val="30"/>
          <w:lang w:val="zh-TW" w:eastAsia="zh-TW"/>
        </w:rPr>
      </w:pPr>
      <w:r>
        <w:rPr>
          <w:rFonts w:hint="eastAsia" w:ascii="方正楷体_GBK" w:hAnsi="方正楷体_GBK" w:eastAsia="方正楷体_GBK" w:cs="方正楷体_GBK"/>
          <w:b w:val="0"/>
          <w:bCs w:val="0"/>
          <w:sz w:val="30"/>
          <w:szCs w:val="30"/>
          <w:lang w:val="zh-TW" w:eastAsia="zh-TW"/>
        </w:rPr>
        <w:t>（二）仪器设备及实验设施要求</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根据化学实验技术核心技能的要求及命题的需要，比赛设备应包括实验室常规使用玻璃器皿与工具、反应与蒸馏装置、常规检测仪器与设备等。</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1.实验中所需计量器具（滴定管、吸量管、容量瓶）需由选手自带，使用数量较多的玻璃器具（锥形瓶、具塞锥形瓶、烧杯、量筒等）可以自带，其它仪器、设备均由赛场提供。赛场提供常规防护用品（口罩、护目镜、头帽、手套）。</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2.本赛项谨遵绿色办赛和节俭办赛的宗旨，将对竞赛过程中所有试剂进行用量控制，尤其是标准样品等特殊试剂，用完即止，不再进行补充。</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3.赛位主要设施：根据竞赛需要，每个比赛赛位应配置如下设施：比赛仪器设备1套、实验台1张、座椅2把、废液杯4只、垃圾桶1个、计算器 1 台、记号笔2支、剪刀1把、标签纸 2 张、实验服2件。</w:t>
      </w:r>
    </w:p>
    <w:p>
      <w:pPr>
        <w:keepNext w:val="0"/>
        <w:keepLines w:val="0"/>
        <w:pageBreakBefore w:val="0"/>
        <w:widowControl w:val="0"/>
        <w:kinsoku/>
        <w:wordWrap/>
        <w:overflowPunct/>
        <w:topLinePunct w:val="0"/>
        <w:bidi w:val="0"/>
        <w:snapToGrid/>
        <w:spacing w:line="560" w:lineRule="exact"/>
        <w:ind w:firstLine="600" w:firstLineChars="200"/>
        <w:textAlignment w:val="auto"/>
        <w:rPr>
          <w:rFonts w:hint="eastAsia" w:ascii="方正楷体_GBK" w:hAnsi="方正楷体_GBK" w:eastAsia="方正楷体_GBK" w:cs="方正楷体_GBK"/>
          <w:b w:val="0"/>
          <w:bCs w:val="0"/>
          <w:sz w:val="30"/>
          <w:szCs w:val="30"/>
          <w:lang w:val="zh-TW" w:eastAsia="zh-TW"/>
        </w:rPr>
      </w:pPr>
      <w:r>
        <w:rPr>
          <w:rFonts w:hint="eastAsia" w:ascii="方正楷体_GBK" w:hAnsi="方正楷体_GBK" w:eastAsia="方正楷体_GBK" w:cs="方正楷体_GBK"/>
          <w:b w:val="0"/>
          <w:bCs w:val="0"/>
          <w:sz w:val="30"/>
          <w:szCs w:val="30"/>
          <w:lang w:val="zh-TW" w:eastAsia="zh-TW"/>
        </w:rPr>
        <w:t>（三）技术平台</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1.本赛项的技术平台主要指竞赛所用的玻璃器皿和分析设备。</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2.玻璃量器按照国家规范和行业标准进行采购，玻璃器皿符合JJG196-2006 常用玻璃量器检定规程。设备符合国家质量监督部门相关仪器检测标准，各项指标均符合或高于国家标准。</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3.分析设备规格要求如下：</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分析天平，精度0.0001g；</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天平，精度0.01g；</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气相色谱仪，配石英毛细管色谱柱。</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4.气相色谱虚拟实验室（仿真考核平台）：平台按照国家对行业的规范和标准设计，在技术上“先进成熟、稳定高效、安全可靠”；平台须经过 5 年以上的推广使用，用户范围广、满意度高。</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color w:val="000000" w:themeColor="text1"/>
          <w:sz w:val="30"/>
          <w:szCs w:val="30"/>
          <w14:textFill>
            <w14:solidFill>
              <w14:schemeClr w14:val="tx1"/>
            </w14:solidFill>
          </w14:textFill>
        </w:rPr>
      </w:pPr>
      <w:r>
        <w:rPr>
          <w:rFonts w:hint="eastAsia" w:ascii="仿宋_GB2312" w:hAnsi="仿宋" w:eastAsia="仿宋_GB2312" w:cs="仿宋_GB2312"/>
          <w:color w:val="000000" w:themeColor="text1"/>
          <w:sz w:val="30"/>
          <w:szCs w:val="30"/>
          <w14:textFill>
            <w14:solidFill>
              <w14:schemeClr w14:val="tx1"/>
            </w14:solidFill>
          </w14:textFill>
        </w:rPr>
        <w:t>依据河南省教育厅《关于公布2023年河南省高等职业教育技能大赛赛项承办学校的公告》中说明：“各赛项的技术支持设备等原则上参照相应国赛公布的技术支持施行。请各参赛队在报名时，对2家企业及以上技术支持的赛项，选定1家技术支持。</w:t>
      </w:r>
      <w:r>
        <w:rPr>
          <w:rFonts w:hint="eastAsia" w:ascii="仿宋_GB2312" w:hAnsi="仿宋" w:eastAsia="仿宋_GB2312" w:cs="仿宋_GB2312"/>
          <w:color w:val="000000" w:themeColor="text1"/>
          <w:sz w:val="30"/>
          <w:szCs w:val="30"/>
          <w:lang w:val="en-US" w:eastAsia="zh-CN"/>
          <w14:textFill>
            <w14:solidFill>
              <w14:schemeClr w14:val="tx1"/>
            </w14:solidFill>
          </w14:textFill>
        </w:rPr>
        <w:t>承办学校根据报名情况准备赛场。</w:t>
      </w:r>
      <w:r>
        <w:rPr>
          <w:rFonts w:hint="eastAsia" w:ascii="仿宋_GB2312" w:hAnsi="仿宋" w:eastAsia="仿宋_GB2312" w:cs="仿宋_GB2312"/>
          <w:color w:val="000000" w:themeColor="text1"/>
          <w:sz w:val="30"/>
          <w:szCs w:val="30"/>
          <w14:textFill>
            <w14:solidFill>
              <w14:schemeClr w14:val="tx1"/>
            </w14:solidFill>
          </w14:textFill>
        </w:rPr>
        <w:t>”</w:t>
      </w:r>
    </w:p>
    <w:tbl>
      <w:tblPr>
        <w:tblStyle w:val="11"/>
        <w:tblW w:w="8816" w:type="dxa"/>
        <w:jc w:val="center"/>
        <w:tblLayout w:type="fixed"/>
        <w:tblCellMar>
          <w:top w:w="0" w:type="dxa"/>
          <w:left w:w="108" w:type="dxa"/>
          <w:bottom w:w="0" w:type="dxa"/>
          <w:right w:w="108" w:type="dxa"/>
        </w:tblCellMar>
      </w:tblPr>
      <w:tblGrid>
        <w:gridCol w:w="1843"/>
        <w:gridCol w:w="3772"/>
        <w:gridCol w:w="3201"/>
      </w:tblGrid>
      <w:tr>
        <w:tblPrEx>
          <w:tblCellMar>
            <w:top w:w="0" w:type="dxa"/>
            <w:left w:w="108" w:type="dxa"/>
            <w:bottom w:w="0" w:type="dxa"/>
            <w:right w:w="108" w:type="dxa"/>
          </w:tblCellMar>
        </w:tblPrEx>
        <w:trPr>
          <w:trHeight w:val="915" w:hRule="atLeast"/>
          <w:jc w:val="center"/>
        </w:trPr>
        <w:tc>
          <w:tcPr>
            <w:tcW w:w="8816" w:type="dxa"/>
            <w:gridSpan w:val="3"/>
            <w:tcBorders>
              <w:top w:val="nil"/>
              <w:left w:val="nil"/>
              <w:bottom w:val="single" w:color="auto" w:sz="4" w:space="0"/>
              <w:right w:val="nil"/>
            </w:tcBorders>
            <w:shd w:val="clear" w:color="auto" w:fill="auto"/>
            <w:vAlign w:val="center"/>
          </w:tcPr>
          <w:p>
            <w:pPr>
              <w:widowControl/>
              <w:spacing w:line="520" w:lineRule="exact"/>
              <w:jc w:val="center"/>
              <w:rPr>
                <w:rFonts w:ascii="宋体" w:hAnsi="宋体" w:cs="宋体"/>
                <w:b/>
                <w:bCs/>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 xml:space="preserve">表4 </w:t>
            </w:r>
            <w:r>
              <w:rPr>
                <w:rFonts w:hint="eastAsia" w:ascii="黑体" w:hAnsi="黑体" w:eastAsia="黑体" w:cs="黑体"/>
                <w:color w:val="000000" w:themeColor="text1"/>
                <w:kern w:val="0"/>
                <w:sz w:val="24"/>
                <w:szCs w:val="24"/>
                <w:lang w:val="en-US" w:eastAsia="zh-CN"/>
                <w14:textFill>
                  <w14:solidFill>
                    <w14:schemeClr w14:val="tx1"/>
                  </w14:solidFill>
                </w14:textFill>
              </w:rPr>
              <w:t xml:space="preserve"> </w:t>
            </w:r>
            <w:r>
              <w:rPr>
                <w:rFonts w:hint="eastAsia" w:ascii="黑体" w:hAnsi="黑体" w:eastAsia="黑体" w:cs="黑体"/>
                <w:color w:val="000000" w:themeColor="text1"/>
                <w:kern w:val="0"/>
                <w:sz w:val="24"/>
                <w:szCs w:val="24"/>
                <w14:textFill>
                  <w14:solidFill>
                    <w14:schemeClr w14:val="tx1"/>
                  </w14:solidFill>
                </w14:textFill>
              </w:rPr>
              <w:t>2023年全国职业院校技能大赛                                                          “化学实验技术”赛项</w:t>
            </w:r>
            <w:r>
              <w:rPr>
                <w:rFonts w:hint="eastAsia" w:ascii="黑体" w:hAnsi="黑体" w:eastAsia="黑体" w:cs="黑体"/>
                <w:color w:val="000000" w:themeColor="text1"/>
                <w:kern w:val="0"/>
                <w:sz w:val="24"/>
                <w:szCs w:val="24"/>
                <w:lang w:val="en-US" w:eastAsia="zh-CN"/>
                <w14:textFill>
                  <w14:solidFill>
                    <w14:schemeClr w14:val="tx1"/>
                  </w14:solidFill>
                </w14:textFill>
              </w:rPr>
              <w:t>现场提供</w:t>
            </w:r>
            <w:r>
              <w:rPr>
                <w:rFonts w:hint="eastAsia" w:ascii="黑体" w:hAnsi="黑体" w:eastAsia="黑体" w:cs="黑体"/>
                <w:color w:val="000000" w:themeColor="text1"/>
                <w:kern w:val="0"/>
                <w:sz w:val="24"/>
                <w:szCs w:val="24"/>
                <w14:textFill>
                  <w14:solidFill>
                    <w14:schemeClr w14:val="tx1"/>
                  </w14:solidFill>
                </w14:textFill>
              </w:rPr>
              <w:t>技术平台合作企业统计表</w:t>
            </w:r>
          </w:p>
        </w:tc>
      </w:tr>
      <w:tr>
        <w:tblPrEx>
          <w:tblCellMar>
            <w:top w:w="0" w:type="dxa"/>
            <w:left w:w="108" w:type="dxa"/>
            <w:bottom w:w="0" w:type="dxa"/>
            <w:right w:w="108" w:type="dxa"/>
          </w:tblCellMar>
        </w:tblPrEx>
        <w:trPr>
          <w:trHeight w:val="567" w:hRule="atLeast"/>
          <w:jc w:val="center"/>
        </w:trPr>
        <w:tc>
          <w:tcPr>
            <w:tcW w:w="1843" w:type="dxa"/>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spacing w:line="360" w:lineRule="auto"/>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企业编号</w:t>
            </w:r>
          </w:p>
        </w:tc>
        <w:tc>
          <w:tcPr>
            <w:tcW w:w="3772"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spacing w:line="360" w:lineRule="auto"/>
              <w:jc w:val="cente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w:t>
            </w:r>
          </w:p>
        </w:tc>
        <w:tc>
          <w:tcPr>
            <w:tcW w:w="3201"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spacing w:line="360" w:lineRule="auto"/>
              <w:jc w:val="cente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w:t>
            </w:r>
          </w:p>
        </w:tc>
      </w:tr>
      <w:tr>
        <w:tblPrEx>
          <w:tblCellMar>
            <w:top w:w="0" w:type="dxa"/>
            <w:left w:w="108" w:type="dxa"/>
            <w:bottom w:w="0" w:type="dxa"/>
            <w:right w:w="108" w:type="dxa"/>
          </w:tblCellMar>
        </w:tblPrEx>
        <w:trPr>
          <w:trHeight w:val="567" w:hRule="atLeast"/>
          <w:jc w:val="center"/>
        </w:trPr>
        <w:tc>
          <w:tcPr>
            <w:tcW w:w="1843" w:type="dxa"/>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spacing w:line="360" w:lineRule="auto"/>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企业名称</w:t>
            </w:r>
          </w:p>
        </w:tc>
        <w:tc>
          <w:tcPr>
            <w:tcW w:w="3772" w:type="dxa"/>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auto"/>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浙江福立分析仪器股份有限公司</w:t>
            </w:r>
          </w:p>
        </w:tc>
        <w:tc>
          <w:tcPr>
            <w:tcW w:w="3201" w:type="dxa"/>
            <w:tcBorders>
              <w:top w:val="nil"/>
              <w:left w:val="nil"/>
              <w:bottom w:val="single" w:color="auto" w:sz="4" w:space="0"/>
              <w:right w:val="single" w:color="auto" w:sz="4" w:space="0"/>
            </w:tcBorders>
            <w:shd w:val="clear" w:color="auto" w:fill="auto"/>
            <w:vAlign w:val="center"/>
          </w:tcPr>
          <w:p>
            <w:pPr>
              <w:autoSpaceDE w:val="0"/>
              <w:autoSpaceDN w:val="0"/>
              <w:adjustRightInd w:val="0"/>
              <w:spacing w:line="360" w:lineRule="auto"/>
              <w:jc w:val="center"/>
              <w:rPr>
                <w:rFonts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山东惠分仪器有限公司</w:t>
            </w:r>
          </w:p>
        </w:tc>
      </w:tr>
      <w:tr>
        <w:tblPrEx>
          <w:tblCellMar>
            <w:top w:w="0" w:type="dxa"/>
            <w:left w:w="108" w:type="dxa"/>
            <w:bottom w:w="0" w:type="dxa"/>
            <w:right w:w="108" w:type="dxa"/>
          </w:tblCellMar>
        </w:tblPrEx>
        <w:trPr>
          <w:trHeight w:val="567" w:hRule="atLeast"/>
          <w:jc w:val="center"/>
        </w:trPr>
        <w:tc>
          <w:tcPr>
            <w:tcW w:w="1843" w:type="dxa"/>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spacing w:line="360" w:lineRule="auto"/>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提供技术平台</w:t>
            </w:r>
          </w:p>
        </w:tc>
        <w:tc>
          <w:tcPr>
            <w:tcW w:w="3772"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spacing w:line="360" w:lineRule="auto"/>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气相</w:t>
            </w:r>
            <w:r>
              <w:rPr>
                <w:rFonts w:hint="eastAsia" w:ascii="仿宋_GB2312" w:hAnsi="仿宋_GB2312" w:eastAsia="仿宋_GB2312" w:cs="仿宋_GB2312"/>
                <w:color w:val="000000" w:themeColor="text1"/>
                <w:sz w:val="24"/>
                <w:szCs w:val="24"/>
                <w14:textFill>
                  <w14:solidFill>
                    <w14:schemeClr w14:val="tx1"/>
                  </w14:solidFill>
                </w14:textFill>
              </w:rPr>
              <w:t>色谱仪</w:t>
            </w:r>
          </w:p>
        </w:tc>
        <w:tc>
          <w:tcPr>
            <w:tcW w:w="3201"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spacing w:line="360" w:lineRule="auto"/>
              <w:jc w:val="center"/>
              <w:rPr>
                <w:rFonts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气相</w:t>
            </w:r>
            <w:r>
              <w:rPr>
                <w:rFonts w:hint="eastAsia" w:ascii="仿宋_GB2312" w:hAnsi="仿宋_GB2312" w:eastAsia="仿宋_GB2312" w:cs="仿宋_GB2312"/>
                <w:color w:val="000000" w:themeColor="text1"/>
                <w:sz w:val="24"/>
                <w:szCs w:val="24"/>
                <w14:textFill>
                  <w14:solidFill>
                    <w14:schemeClr w14:val="tx1"/>
                  </w14:solidFill>
                </w14:textFill>
              </w:rPr>
              <w:t>色谱仪</w:t>
            </w:r>
          </w:p>
        </w:tc>
      </w:tr>
    </w:tbl>
    <w:p>
      <w:pPr>
        <w:autoSpaceDE w:val="0"/>
        <w:autoSpaceDN w:val="0"/>
        <w:adjustRightInd w:val="0"/>
        <w:spacing w:line="360" w:lineRule="auto"/>
        <w:ind w:firstLine="600" w:firstLineChars="200"/>
        <w:rPr>
          <w:rFonts w:ascii="黑体" w:eastAsia="黑体" w:cs="黑体" w:hAnsiTheme="minorHAnsi"/>
          <w:kern w:val="0"/>
          <w:sz w:val="30"/>
          <w:szCs w:val="30"/>
        </w:rPr>
      </w:pPr>
    </w:p>
    <w:p>
      <w:pPr>
        <w:keepNext w:val="0"/>
        <w:keepLines w:val="0"/>
        <w:pageBreakBefore w:val="0"/>
        <w:kinsoku/>
        <w:wordWrap/>
        <w:overflowPunct/>
        <w:topLinePunct w:val="0"/>
        <w:autoSpaceDE w:val="0"/>
        <w:autoSpaceDN w:val="0"/>
        <w:bidi w:val="0"/>
        <w:adjustRightInd w:val="0"/>
        <w:snapToGrid/>
        <w:spacing w:line="560" w:lineRule="exact"/>
        <w:ind w:firstLine="600" w:firstLineChars="200"/>
        <w:textAlignment w:val="auto"/>
        <w:rPr>
          <w:rFonts w:ascii="黑体" w:eastAsia="黑体" w:cs="黑体" w:hAnsiTheme="minorHAnsi"/>
          <w:kern w:val="0"/>
          <w:sz w:val="30"/>
          <w:szCs w:val="30"/>
        </w:rPr>
      </w:pPr>
      <w:r>
        <w:rPr>
          <w:rFonts w:hint="eastAsia" w:ascii="黑体" w:eastAsia="黑体" w:cs="黑体" w:hAnsiTheme="minorHAnsi"/>
          <w:kern w:val="0"/>
          <w:sz w:val="30"/>
          <w:szCs w:val="30"/>
        </w:rPr>
        <w:t>十、竞赛样题</w:t>
      </w:r>
    </w:p>
    <w:p>
      <w:pPr>
        <w:keepNext w:val="0"/>
        <w:keepLines w:val="0"/>
        <w:pageBreakBefore w:val="0"/>
        <w:kinsoku/>
        <w:wordWrap/>
        <w:overflowPunct/>
        <w:topLinePunct w:val="0"/>
        <w:autoSpaceDE w:val="0"/>
        <w:autoSpaceDN w:val="0"/>
        <w:bidi w:val="0"/>
        <w:adjustRightInd w:val="0"/>
        <w:snapToGrid/>
        <w:spacing w:line="560" w:lineRule="exact"/>
        <w:ind w:firstLine="600" w:firstLineChars="200"/>
        <w:textAlignment w:val="auto"/>
        <w:rPr>
          <w:rFonts w:hint="eastAsia" w:ascii="方正楷体_GBK" w:hAnsi="方正楷体_GBK" w:eastAsia="方正楷体_GBK" w:cs="方正楷体_GBK"/>
          <w:b w:val="0"/>
          <w:bCs w:val="0"/>
          <w:sz w:val="30"/>
          <w:szCs w:val="30"/>
        </w:rPr>
      </w:pPr>
      <w:r>
        <w:rPr>
          <w:rFonts w:hint="eastAsia" w:ascii="方正楷体_GBK" w:hAnsi="方正楷体_GBK" w:eastAsia="方正楷体_GBK" w:cs="方正楷体_GBK"/>
          <w:b w:val="0"/>
          <w:bCs w:val="0"/>
          <w:sz w:val="30"/>
          <w:szCs w:val="30"/>
        </w:rPr>
        <w:t>（一）赛卷设计原则</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1.每一份赛卷都必须涵盖原材料分析及目标产品制备、产品定性定量分析、结果分析与工作评价等方面的系统且完整的工作过程。</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2.每个竞赛模块均有明确的考核目标和规定的解决方案。</w:t>
      </w:r>
    </w:p>
    <w:p>
      <w:pPr>
        <w:keepNext w:val="0"/>
        <w:keepLines w:val="0"/>
        <w:pageBreakBefore w:val="0"/>
        <w:kinsoku/>
        <w:wordWrap/>
        <w:overflowPunct/>
        <w:topLinePunct w:val="0"/>
        <w:autoSpaceDE w:val="0"/>
        <w:autoSpaceDN w:val="0"/>
        <w:bidi w:val="0"/>
        <w:adjustRightInd w:val="0"/>
        <w:snapToGrid/>
        <w:spacing w:line="560" w:lineRule="exact"/>
        <w:ind w:firstLine="600" w:firstLineChars="200"/>
        <w:textAlignment w:val="auto"/>
        <w:rPr>
          <w:rFonts w:hint="eastAsia" w:ascii="方正楷体_GBK" w:hAnsi="方正楷体_GBK" w:eastAsia="方正楷体_GBK" w:cs="方正楷体_GBK"/>
          <w:b w:val="0"/>
          <w:bCs w:val="0"/>
          <w:sz w:val="30"/>
          <w:szCs w:val="30"/>
        </w:rPr>
      </w:pPr>
      <w:r>
        <w:rPr>
          <w:rFonts w:hint="eastAsia" w:ascii="方正楷体_GBK" w:hAnsi="方正楷体_GBK" w:eastAsia="方正楷体_GBK" w:cs="方正楷体_GBK"/>
          <w:b w:val="0"/>
          <w:bCs w:val="0"/>
          <w:sz w:val="30"/>
          <w:szCs w:val="30"/>
        </w:rPr>
        <w:t>（二）赛题库的建立</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根据教育部大赛办有关要求及历届化学实验技术赛项题库等，河南省教育厅组织化学实验技术赛项赛题的命题，一般命题5套左右，在赛前一周左右抽取其中1套实施竞赛。</w:t>
      </w:r>
    </w:p>
    <w:p>
      <w:pPr>
        <w:keepNext w:val="0"/>
        <w:keepLines w:val="0"/>
        <w:pageBreakBefore w:val="0"/>
        <w:kinsoku/>
        <w:wordWrap/>
        <w:overflowPunct/>
        <w:topLinePunct w:val="0"/>
        <w:autoSpaceDE w:val="0"/>
        <w:autoSpaceDN w:val="0"/>
        <w:bidi w:val="0"/>
        <w:adjustRightInd w:val="0"/>
        <w:snapToGrid/>
        <w:spacing w:line="560" w:lineRule="exact"/>
        <w:ind w:firstLine="600" w:firstLineChars="200"/>
        <w:textAlignment w:val="auto"/>
        <w:rPr>
          <w:rFonts w:hint="eastAsia" w:ascii="方正楷体_GBK" w:hAnsi="方正楷体_GBK" w:eastAsia="方正楷体_GBK" w:cs="方正楷体_GBK"/>
          <w:b w:val="0"/>
          <w:bCs w:val="0"/>
          <w:sz w:val="30"/>
          <w:szCs w:val="30"/>
        </w:rPr>
      </w:pPr>
      <w:r>
        <w:rPr>
          <w:rFonts w:hint="eastAsia" w:ascii="方正楷体_GBK" w:hAnsi="方正楷体_GBK" w:eastAsia="方正楷体_GBK" w:cs="方正楷体_GBK"/>
          <w:b w:val="0"/>
          <w:bCs w:val="0"/>
          <w:sz w:val="30"/>
          <w:szCs w:val="30"/>
        </w:rPr>
        <w:t>（三）赛题内容简述</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1.赛题名称：有机化工产品的合成及质量评价</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2.内容要求：</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（1）模块一：乙酸乙酯的合成</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考核目标：</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①促进有机合成的理论应用与操作能力；</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②提高合成实验中设备选择、装置搭建与调试能力；</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③提高有机物质的合成条件优化及确认能力；</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④提升化学类实验室的组织与管理能力。</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具备技能：</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①HSE的应用；</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②制订原料分析、产品合成的工作方案；</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③根据实验需要配制相关溶液；</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④完成合成实验原材料的定量分析；</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⑤完成有机物合成操作并对合成条件进行优化；</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⑥对合成产品进行纯化；</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⑦完成化学类实验室组织与管理。</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（2）模块二：原料及产品质量分析与评价</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考核目标：</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①促进化学分析法的理论应用及操作技能；</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②促进仪器分析法的理论应用及操作技能；</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③提高测试结果处理和工作评价能力；</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④提升化学类及大型仪器实验室的组织与管理能力。</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具备技能：</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①按要求做好仪器分析实验的个人安全规范操作；</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②按照指定测定方法对产品进行定量分析；</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③根据实验需要配制相关溶液；</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④对气相色谱仪的使用能力；</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⑤运用信息技术对测试数据进行处理并得出结论；</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⑥完成化学类及大型仪器实验室的组织与管理。</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（3）模块三：实验室安全与气相色谱仿真</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考核目标：</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color w:val="000000" w:themeColor="text1"/>
          <w:sz w:val="30"/>
          <w:szCs w:val="30"/>
          <w14:textFill>
            <w14:solidFill>
              <w14:schemeClr w14:val="tx1"/>
            </w14:solidFill>
          </w14:textFill>
        </w:rPr>
      </w:pPr>
      <w:r>
        <w:rPr>
          <w:rFonts w:hint="eastAsia" w:ascii="仿宋_GB2312" w:hAnsi="仿宋" w:eastAsia="仿宋_GB2312" w:cs="仿宋_GB2312"/>
          <w:color w:val="000000" w:themeColor="text1"/>
          <w:sz w:val="30"/>
          <w:szCs w:val="30"/>
          <w14:textFill>
            <w14:solidFill>
              <w14:schemeClr w14:val="tx1"/>
            </w14:solidFill>
          </w14:textFill>
        </w:rPr>
        <w:t>①正确认知仿真软件中色谱实验室安全事项；</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color w:val="000000" w:themeColor="text1"/>
          <w:sz w:val="30"/>
          <w:szCs w:val="30"/>
          <w14:textFill>
            <w14:solidFill>
              <w14:schemeClr w14:val="tx1"/>
            </w14:solidFill>
          </w14:textFill>
        </w:rPr>
      </w:pPr>
      <w:r>
        <w:rPr>
          <w:rFonts w:hint="eastAsia" w:ascii="仿宋_GB2312" w:hAnsi="仿宋" w:eastAsia="仿宋_GB2312" w:cs="仿宋_GB2312"/>
          <w:color w:val="000000" w:themeColor="text1"/>
          <w:sz w:val="30"/>
          <w:szCs w:val="30"/>
          <w14:textFill>
            <w14:solidFill>
              <w14:schemeClr w14:val="tx1"/>
            </w14:solidFill>
          </w14:textFill>
        </w:rPr>
        <w:t>②正确配制试剂，完成系统开机，建立检测方法；</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color w:val="000000" w:themeColor="text1"/>
          <w:sz w:val="30"/>
          <w:szCs w:val="30"/>
          <w14:textFill>
            <w14:solidFill>
              <w14:schemeClr w14:val="tx1"/>
            </w14:solidFill>
          </w14:textFill>
        </w:rPr>
      </w:pPr>
      <w:r>
        <w:rPr>
          <w:rFonts w:hint="eastAsia" w:ascii="仿宋_GB2312" w:hAnsi="仿宋" w:eastAsia="仿宋_GB2312" w:cs="仿宋_GB2312"/>
          <w:color w:val="000000" w:themeColor="text1"/>
          <w:sz w:val="30"/>
          <w:szCs w:val="30"/>
          <w14:textFill>
            <w14:solidFill>
              <w14:schemeClr w14:val="tx1"/>
            </w14:solidFill>
          </w14:textFill>
        </w:rPr>
        <w:t>③建立标准曲线，对未知样品进行定性定量分析；</w:t>
      </w:r>
    </w:p>
    <w:p>
      <w:pPr>
        <w:keepNext w:val="0"/>
        <w:keepLines w:val="0"/>
        <w:pageBreakBefore w:val="0"/>
        <w:kinsoku/>
        <w:wordWrap/>
        <w:overflowPunct/>
        <w:topLinePunct w:val="0"/>
        <w:bidi w:val="0"/>
        <w:snapToGrid/>
        <w:spacing w:line="560" w:lineRule="exact"/>
        <w:ind w:firstLine="600" w:firstLineChars="200"/>
        <w:jc w:val="left"/>
        <w:textAlignment w:val="auto"/>
        <w:rPr>
          <w:rFonts w:hint="eastAsia" w:ascii="仿宋_GB2312" w:hAnsi="仿宋" w:eastAsia="仿宋_GB2312" w:cs="仿宋_GB2312"/>
          <w:color w:val="000000" w:themeColor="text1"/>
          <w:sz w:val="30"/>
          <w:szCs w:val="30"/>
          <w:lang w:eastAsia="zh-CN"/>
          <w14:textFill>
            <w14:solidFill>
              <w14:schemeClr w14:val="tx1"/>
            </w14:solidFill>
          </w14:textFill>
        </w:rPr>
      </w:pPr>
      <w:r>
        <w:rPr>
          <w:rFonts w:hint="eastAsia" w:ascii="仿宋_GB2312" w:hAnsi="仿宋" w:eastAsia="仿宋_GB2312" w:cs="仿宋_GB2312"/>
          <w:color w:val="000000" w:themeColor="text1"/>
          <w:sz w:val="30"/>
          <w:szCs w:val="30"/>
          <w14:textFill>
            <w14:solidFill>
              <w14:schemeClr w14:val="tx1"/>
            </w14:solidFill>
          </w14:textFill>
        </w:rPr>
        <w:t>④进行仪器设备故障排除及处理</w:t>
      </w:r>
      <w:r>
        <w:rPr>
          <w:rFonts w:hint="eastAsia" w:ascii="仿宋_GB2312" w:hAnsi="仿宋" w:eastAsia="仿宋_GB2312" w:cs="仿宋_GB2312"/>
          <w:color w:val="000000" w:themeColor="text1"/>
          <w:sz w:val="30"/>
          <w:szCs w:val="30"/>
          <w:lang w:eastAsia="zh-CN"/>
          <w14:textFill>
            <w14:solidFill>
              <w14:schemeClr w14:val="tx1"/>
            </w14:solidFill>
          </w14:textFill>
        </w:rPr>
        <w:t>；</w:t>
      </w:r>
    </w:p>
    <w:p>
      <w:pPr>
        <w:keepNext w:val="0"/>
        <w:keepLines w:val="0"/>
        <w:pageBreakBefore w:val="0"/>
        <w:kinsoku/>
        <w:wordWrap/>
        <w:overflowPunct/>
        <w:topLinePunct w:val="0"/>
        <w:bidi w:val="0"/>
        <w:snapToGrid/>
        <w:spacing w:line="560" w:lineRule="exact"/>
        <w:ind w:firstLine="600" w:firstLineChars="200"/>
        <w:jc w:val="left"/>
        <w:textAlignment w:val="auto"/>
        <w:rPr>
          <w:rFonts w:hint="eastAsia" w:ascii="仿宋_GB2312" w:hAnsi="仿宋" w:eastAsia="仿宋_GB2312" w:cs="仿宋_GB2312"/>
          <w:color w:val="000000" w:themeColor="text1"/>
          <w:sz w:val="30"/>
          <w:szCs w:val="30"/>
          <w14:textFill>
            <w14:solidFill>
              <w14:schemeClr w14:val="tx1"/>
            </w14:solidFill>
          </w14:textFill>
        </w:rPr>
      </w:pPr>
      <w:r>
        <w:rPr>
          <w:rFonts w:hint="eastAsia" w:ascii="仿宋_GB2312" w:hAnsi="仿宋" w:eastAsia="仿宋_GB2312" w:cs="仿宋_GB2312"/>
          <w:color w:val="000000" w:themeColor="text1"/>
          <w:sz w:val="30"/>
          <w:szCs w:val="30"/>
          <w:lang w:val="en-US" w:eastAsia="zh-CN"/>
          <w14:textFill>
            <w14:solidFill>
              <w14:schemeClr w14:val="tx1"/>
            </w14:solidFill>
          </w14:textFill>
        </w:rPr>
        <w:t>⑤</w:t>
      </w:r>
      <w:r>
        <w:rPr>
          <w:rFonts w:hint="eastAsia" w:ascii="仿宋_GB2312" w:hAnsi="仿宋" w:eastAsia="仿宋_GB2312" w:cs="仿宋_GB2312"/>
          <w:color w:val="000000" w:themeColor="text1"/>
          <w:sz w:val="30"/>
          <w:szCs w:val="30"/>
          <w14:textFill>
            <w14:solidFill>
              <w14:schemeClr w14:val="tx1"/>
            </w14:solidFill>
          </w14:textFill>
        </w:rPr>
        <w:t>进行</w:t>
      </w:r>
      <w:r>
        <w:rPr>
          <w:rFonts w:hint="eastAsia" w:ascii="仿宋_GB2312" w:hAnsi="仿宋" w:eastAsia="仿宋_GB2312" w:cs="仿宋_GB2312"/>
          <w:color w:val="000000" w:themeColor="text1"/>
          <w:sz w:val="30"/>
          <w:szCs w:val="30"/>
          <w:lang w:val="en-US" w:eastAsia="zh-CN"/>
          <w14:textFill>
            <w14:solidFill>
              <w14:schemeClr w14:val="tx1"/>
            </w14:solidFill>
          </w14:textFill>
        </w:rPr>
        <w:t>实验室气瓶泄漏事故</w:t>
      </w:r>
      <w:r>
        <w:rPr>
          <w:rFonts w:hint="eastAsia" w:ascii="仿宋_GB2312" w:hAnsi="仿宋" w:eastAsia="仿宋_GB2312" w:cs="仿宋_GB2312"/>
          <w:color w:val="000000" w:themeColor="text1"/>
          <w:sz w:val="30"/>
          <w:szCs w:val="30"/>
          <w14:textFill>
            <w14:solidFill>
              <w14:schemeClr w14:val="tx1"/>
            </w14:solidFill>
          </w14:textFill>
        </w:rPr>
        <w:t>及处理。</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color w:val="000000" w:themeColor="text1"/>
          <w:sz w:val="30"/>
          <w:szCs w:val="30"/>
          <w14:textFill>
            <w14:solidFill>
              <w14:schemeClr w14:val="tx1"/>
            </w14:solidFill>
          </w14:textFill>
        </w:rPr>
      </w:pPr>
      <w:r>
        <w:rPr>
          <w:rFonts w:hint="eastAsia" w:ascii="仿宋_GB2312" w:hAnsi="仿宋" w:eastAsia="仿宋_GB2312" w:cs="仿宋_GB2312"/>
          <w:color w:val="000000" w:themeColor="text1"/>
          <w:sz w:val="30"/>
          <w:szCs w:val="30"/>
          <w14:textFill>
            <w14:solidFill>
              <w14:schemeClr w14:val="tx1"/>
            </w14:solidFill>
          </w14:textFill>
        </w:rPr>
        <w:t>具备技能：</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color w:val="000000" w:themeColor="text1"/>
          <w:sz w:val="30"/>
          <w:szCs w:val="30"/>
          <w14:textFill>
            <w14:solidFill>
              <w14:schemeClr w14:val="tx1"/>
            </w14:solidFill>
          </w14:textFill>
        </w:rPr>
      </w:pPr>
      <w:r>
        <w:rPr>
          <w:rFonts w:hint="eastAsia" w:ascii="仿宋_GB2312" w:hAnsi="仿宋" w:eastAsia="仿宋_GB2312" w:cs="仿宋_GB2312"/>
          <w:color w:val="000000" w:themeColor="text1"/>
          <w:sz w:val="30"/>
          <w:szCs w:val="30"/>
          <w14:textFill>
            <w14:solidFill>
              <w14:schemeClr w14:val="tx1"/>
            </w14:solidFill>
          </w14:textFill>
        </w:rPr>
        <w:t>①良好的实验室安全意识和实验操作技能；能够有效地控制实验室风险；</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color w:val="000000" w:themeColor="text1"/>
          <w:sz w:val="30"/>
          <w:szCs w:val="30"/>
          <w14:textFill>
            <w14:solidFill>
              <w14:schemeClr w14:val="tx1"/>
            </w14:solidFill>
          </w14:textFill>
        </w:rPr>
      </w:pPr>
      <w:r>
        <w:rPr>
          <w:rFonts w:hint="eastAsia" w:ascii="仿宋_GB2312" w:hAnsi="仿宋" w:eastAsia="仿宋_GB2312" w:cs="仿宋_GB2312"/>
          <w:color w:val="000000" w:themeColor="text1"/>
          <w:sz w:val="30"/>
          <w:szCs w:val="30"/>
          <w14:textFill>
            <w14:solidFill>
              <w14:schemeClr w14:val="tx1"/>
            </w14:solidFill>
          </w14:textFill>
        </w:rPr>
        <w:t>②熟练掌握化学分析、仪器分析方法和技术，能够准确地进行分析检验；</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color w:val="000000" w:themeColor="text1"/>
          <w:sz w:val="30"/>
          <w:szCs w:val="30"/>
          <w14:textFill>
            <w14:solidFill>
              <w14:schemeClr w14:val="tx1"/>
            </w14:solidFill>
          </w14:textFill>
        </w:rPr>
      </w:pPr>
      <w:r>
        <w:rPr>
          <w:rFonts w:hint="eastAsia" w:ascii="仿宋_GB2312" w:hAnsi="仿宋" w:eastAsia="仿宋_GB2312" w:cs="仿宋_GB2312"/>
          <w:color w:val="000000" w:themeColor="text1"/>
          <w:sz w:val="30"/>
          <w:szCs w:val="30"/>
          <w14:textFill>
            <w14:solidFill>
              <w14:schemeClr w14:val="tx1"/>
            </w14:solidFill>
          </w14:textFill>
        </w:rPr>
        <w:t>③具有严谨的实验记录和数据处理能力，能够准确地记录实验数据、分析结果和结论；</w:t>
      </w:r>
    </w:p>
    <w:p>
      <w:pPr>
        <w:keepNext w:val="0"/>
        <w:keepLines w:val="0"/>
        <w:pageBreakBefore w:val="0"/>
        <w:kinsoku/>
        <w:wordWrap/>
        <w:overflowPunct/>
        <w:topLinePunct w:val="0"/>
        <w:bidi w:val="0"/>
        <w:snapToGrid/>
        <w:spacing w:line="560" w:lineRule="exact"/>
        <w:ind w:firstLine="600" w:firstLineChars="200"/>
        <w:jc w:val="left"/>
        <w:textAlignment w:val="auto"/>
        <w:rPr>
          <w:rFonts w:hint="eastAsia" w:ascii="仿宋_GB2312" w:hAnsi="仿宋" w:eastAsia="仿宋_GB2312" w:cs="仿宋_GB2312"/>
          <w:color w:val="000000" w:themeColor="text1"/>
          <w:sz w:val="30"/>
          <w:szCs w:val="30"/>
          <w:lang w:eastAsia="zh-CN"/>
          <w14:textFill>
            <w14:solidFill>
              <w14:schemeClr w14:val="tx1"/>
            </w14:solidFill>
          </w14:textFill>
        </w:rPr>
      </w:pPr>
      <w:r>
        <w:rPr>
          <w:rFonts w:hint="eastAsia" w:ascii="仿宋_GB2312" w:hAnsi="仿宋" w:eastAsia="仿宋_GB2312" w:cs="仿宋_GB2312"/>
          <w:color w:val="000000" w:themeColor="text1"/>
          <w:sz w:val="30"/>
          <w:szCs w:val="30"/>
          <w14:textFill>
            <w14:solidFill>
              <w14:schemeClr w14:val="tx1"/>
            </w14:solidFill>
          </w14:textFill>
        </w:rPr>
        <w:t>④具备较强的解决问题能力和创新意识，能够快速解决实验操作中的问题</w:t>
      </w:r>
      <w:r>
        <w:rPr>
          <w:rFonts w:hint="eastAsia" w:ascii="仿宋_GB2312" w:hAnsi="仿宋" w:eastAsia="仿宋_GB2312" w:cs="仿宋_GB2312"/>
          <w:color w:val="000000" w:themeColor="text1"/>
          <w:sz w:val="30"/>
          <w:szCs w:val="30"/>
          <w:lang w:eastAsia="zh-CN"/>
          <w14:textFill>
            <w14:solidFill>
              <w14:schemeClr w14:val="tx1"/>
            </w14:solidFill>
          </w14:textFill>
        </w:rPr>
        <w:t>；</w:t>
      </w:r>
    </w:p>
    <w:p>
      <w:pPr>
        <w:pStyle w:val="2"/>
        <w:keepNext w:val="0"/>
        <w:keepLines w:val="0"/>
        <w:pageBreakBefore w:val="0"/>
        <w:kinsoku/>
        <w:wordWrap/>
        <w:overflowPunct/>
        <w:topLinePunct w:val="0"/>
        <w:bidi w:val="0"/>
        <w:snapToGrid/>
        <w:spacing w:after="0" w:line="560" w:lineRule="exact"/>
        <w:ind w:firstLine="600" w:firstLineChars="200"/>
        <w:textAlignment w:val="auto"/>
        <w:rPr>
          <w:color w:val="000000" w:themeColor="text1"/>
          <w14:textFill>
            <w14:solidFill>
              <w14:schemeClr w14:val="tx1"/>
            </w14:solidFill>
          </w14:textFill>
        </w:rPr>
      </w:pPr>
      <w:r>
        <w:rPr>
          <w:rFonts w:hint="eastAsia" w:ascii="仿宋_GB2312" w:hAnsi="仿宋" w:eastAsia="仿宋_GB2312" w:cs="仿宋_GB2312"/>
          <w:color w:val="000000" w:themeColor="text1"/>
          <w:sz w:val="30"/>
          <w:szCs w:val="30"/>
          <w:lang w:val="en-US" w:eastAsia="zh-CN"/>
          <w14:textFill>
            <w14:solidFill>
              <w14:schemeClr w14:val="tx1"/>
            </w14:solidFill>
          </w14:textFill>
        </w:rPr>
        <w:t>⑤具备实验检测过程中故障处理能力，能够通过给定现象，判断可能出现的故障点，通过处理故障，恢复仪器检测性能。</w:t>
      </w:r>
    </w:p>
    <w:p>
      <w:pPr>
        <w:keepNext w:val="0"/>
        <w:keepLines w:val="0"/>
        <w:pageBreakBefore w:val="0"/>
        <w:kinsoku/>
        <w:wordWrap/>
        <w:overflowPunct/>
        <w:topLinePunct w:val="0"/>
        <w:autoSpaceDE w:val="0"/>
        <w:autoSpaceDN w:val="0"/>
        <w:bidi w:val="0"/>
        <w:adjustRightInd w:val="0"/>
        <w:snapToGrid/>
        <w:spacing w:line="560" w:lineRule="exact"/>
        <w:ind w:firstLine="600" w:firstLineChars="200"/>
        <w:jc w:val="left"/>
        <w:textAlignment w:val="auto"/>
        <w:rPr>
          <w:rFonts w:ascii="黑体" w:eastAsia="黑体" w:cs="黑体" w:hAnsiTheme="minorHAnsi"/>
          <w:color w:val="000000" w:themeColor="text1"/>
          <w:kern w:val="0"/>
          <w:sz w:val="30"/>
          <w:szCs w:val="30"/>
          <w14:textFill>
            <w14:solidFill>
              <w14:schemeClr w14:val="tx1"/>
            </w14:solidFill>
          </w14:textFill>
        </w:rPr>
      </w:pPr>
      <w:r>
        <w:rPr>
          <w:rFonts w:hint="eastAsia" w:ascii="黑体" w:eastAsia="黑体" w:cs="黑体" w:hAnsiTheme="minorHAnsi"/>
          <w:color w:val="000000" w:themeColor="text1"/>
          <w:kern w:val="0"/>
          <w:sz w:val="30"/>
          <w:szCs w:val="30"/>
          <w14:textFill>
            <w14:solidFill>
              <w14:schemeClr w14:val="tx1"/>
            </w14:solidFill>
          </w14:textFill>
        </w:rPr>
        <w:t>十一、赛项安全</w:t>
      </w:r>
    </w:p>
    <w:p>
      <w:pPr>
        <w:keepNext w:val="0"/>
        <w:keepLines w:val="0"/>
        <w:pageBreakBefore w:val="0"/>
        <w:kinsoku/>
        <w:wordWrap/>
        <w:overflowPunct/>
        <w:topLinePunct w:val="0"/>
        <w:autoSpaceDE w:val="0"/>
        <w:autoSpaceDN w:val="0"/>
        <w:bidi w:val="0"/>
        <w:adjustRightInd w:val="0"/>
        <w:snapToGrid/>
        <w:spacing w:line="560" w:lineRule="exact"/>
        <w:ind w:firstLine="600" w:firstLineChars="200"/>
        <w:textAlignment w:val="auto"/>
        <w:rPr>
          <w:rFonts w:hint="eastAsia" w:ascii="方正楷体_GBK" w:hAnsi="方正楷体_GBK" w:eastAsia="方正楷体_GBK" w:cs="方正楷体_GBK"/>
          <w:b w:val="0"/>
          <w:bCs w:val="0"/>
          <w:color w:val="000000" w:themeColor="text1"/>
          <w:sz w:val="30"/>
          <w:szCs w:val="30"/>
          <w14:textFill>
            <w14:solidFill>
              <w14:schemeClr w14:val="tx1"/>
            </w14:solidFill>
          </w14:textFill>
        </w:rPr>
      </w:pPr>
      <w:r>
        <w:rPr>
          <w:rFonts w:hint="eastAsia" w:ascii="方正楷体_GBK" w:hAnsi="方正楷体_GBK" w:eastAsia="方正楷体_GBK" w:cs="方正楷体_GBK"/>
          <w:b w:val="0"/>
          <w:bCs w:val="0"/>
          <w:color w:val="000000" w:themeColor="text1"/>
          <w:sz w:val="30"/>
          <w:szCs w:val="30"/>
          <w14:textFill>
            <w14:solidFill>
              <w14:schemeClr w14:val="tx1"/>
            </w14:solidFill>
          </w14:textFill>
        </w:rPr>
        <w:t>（一）安全操作</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color w:val="000000" w:themeColor="text1"/>
          <w:sz w:val="30"/>
          <w:szCs w:val="30"/>
          <w14:textFill>
            <w14:solidFill>
              <w14:schemeClr w14:val="tx1"/>
            </w14:solidFill>
          </w14:textFill>
        </w:rPr>
      </w:pPr>
      <w:r>
        <w:rPr>
          <w:rFonts w:hint="eastAsia" w:ascii="仿宋_GB2312" w:hAnsi="仿宋" w:eastAsia="仿宋_GB2312" w:cs="仿宋_GB2312"/>
          <w:color w:val="000000" w:themeColor="text1"/>
          <w:sz w:val="30"/>
          <w:szCs w:val="30"/>
          <w14:textFill>
            <w14:solidFill>
              <w14:schemeClr w14:val="tx1"/>
            </w14:solidFill>
          </w14:textFill>
        </w:rPr>
        <w:t>1.参赛选手的个人防护用品穿戴必须符合《化学化工实验室安全管理规范》（T/CCSAS 005-2019）要求。</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color w:val="000000" w:themeColor="text1"/>
          <w:sz w:val="30"/>
          <w:szCs w:val="30"/>
          <w14:textFill>
            <w14:solidFill>
              <w14:schemeClr w14:val="tx1"/>
            </w14:solidFill>
          </w14:textFill>
        </w:rPr>
      </w:pPr>
      <w:r>
        <w:rPr>
          <w:rFonts w:hint="eastAsia" w:ascii="仿宋_GB2312" w:hAnsi="仿宋" w:eastAsia="仿宋_GB2312" w:cs="仿宋_GB2312"/>
          <w:color w:val="000000" w:themeColor="text1"/>
          <w:sz w:val="30"/>
          <w:szCs w:val="30"/>
          <w14:textFill>
            <w14:solidFill>
              <w14:schemeClr w14:val="tx1"/>
            </w14:solidFill>
          </w14:textFill>
        </w:rPr>
        <w:t>2.参赛选手在比赛过程中，要注意安全用电，不要用湿手、湿物接触电源，比赛结束后应关闭电源。</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color w:val="000000" w:themeColor="text1"/>
          <w:sz w:val="30"/>
          <w:szCs w:val="30"/>
          <w14:textFill>
            <w14:solidFill>
              <w14:schemeClr w14:val="tx1"/>
            </w14:solidFill>
          </w14:textFill>
        </w:rPr>
      </w:pPr>
      <w:r>
        <w:rPr>
          <w:rFonts w:hint="eastAsia" w:ascii="仿宋_GB2312" w:hAnsi="仿宋" w:eastAsia="仿宋_GB2312" w:cs="仿宋_GB2312"/>
          <w:color w:val="000000" w:themeColor="text1"/>
          <w:sz w:val="30"/>
          <w:szCs w:val="30"/>
          <w14:textFill>
            <w14:solidFill>
              <w14:schemeClr w14:val="tx1"/>
            </w14:solidFill>
          </w14:textFill>
        </w:rPr>
        <w:t>3.要熟悉掌握实验中的注意事项和化学试剂特性，严禁进行具有安全风险的操作。</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Times New Roman" w:eastAsia="仿宋_GB2312" w:cs="仿宋_GB2312"/>
          <w:color w:val="000000" w:themeColor="text1"/>
          <w:kern w:val="0"/>
          <w:sz w:val="30"/>
          <w:szCs w:val="30"/>
          <w14:textFill>
            <w14:solidFill>
              <w14:schemeClr w14:val="tx1"/>
            </w14:solidFill>
          </w14:textFill>
        </w:rPr>
      </w:pPr>
      <w:r>
        <w:rPr>
          <w:rFonts w:hint="eastAsia" w:ascii="仿宋_GB2312" w:hAnsi="仿宋" w:eastAsia="仿宋_GB2312" w:cs="仿宋_GB2312"/>
          <w:color w:val="000000" w:themeColor="text1"/>
          <w:sz w:val="30"/>
          <w:szCs w:val="30"/>
          <w14:textFill>
            <w14:solidFill>
              <w14:schemeClr w14:val="tx1"/>
            </w14:solidFill>
          </w14:textFill>
        </w:rPr>
        <w:t>4.严禁在比赛场地内饮食或把餐具带进比赛场地。</w:t>
      </w:r>
    </w:p>
    <w:p>
      <w:pPr>
        <w:keepNext w:val="0"/>
        <w:keepLines w:val="0"/>
        <w:pageBreakBefore w:val="0"/>
        <w:kinsoku/>
        <w:wordWrap/>
        <w:overflowPunct/>
        <w:topLinePunct w:val="0"/>
        <w:autoSpaceDE w:val="0"/>
        <w:autoSpaceDN w:val="0"/>
        <w:bidi w:val="0"/>
        <w:adjustRightInd w:val="0"/>
        <w:snapToGrid/>
        <w:spacing w:line="560" w:lineRule="exact"/>
        <w:ind w:firstLine="600" w:firstLineChars="200"/>
        <w:textAlignment w:val="auto"/>
        <w:rPr>
          <w:rFonts w:hint="eastAsia" w:ascii="方正楷体_GBK" w:hAnsi="方正楷体_GBK" w:eastAsia="方正楷体_GBK" w:cs="方正楷体_GBK"/>
          <w:b w:val="0"/>
          <w:bCs w:val="0"/>
          <w:color w:val="000000" w:themeColor="text1"/>
          <w:sz w:val="30"/>
          <w:szCs w:val="30"/>
          <w14:textFill>
            <w14:solidFill>
              <w14:schemeClr w14:val="tx1"/>
            </w14:solidFill>
          </w14:textFill>
        </w:rPr>
      </w:pPr>
      <w:r>
        <w:rPr>
          <w:rFonts w:hint="eastAsia" w:ascii="方正楷体_GBK" w:hAnsi="方正楷体_GBK" w:eastAsia="方正楷体_GBK" w:cs="方正楷体_GBK"/>
          <w:b w:val="0"/>
          <w:bCs w:val="0"/>
          <w:color w:val="000000" w:themeColor="text1"/>
          <w:sz w:val="30"/>
          <w:szCs w:val="30"/>
          <w14:textFill>
            <w14:solidFill>
              <w14:schemeClr w14:val="tx1"/>
            </w14:solidFill>
          </w14:textFill>
        </w:rPr>
        <w:t>（二）赛场安全保障</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color w:val="000000" w:themeColor="text1"/>
          <w:sz w:val="30"/>
          <w:szCs w:val="30"/>
          <w14:textFill>
            <w14:solidFill>
              <w14:schemeClr w14:val="tx1"/>
            </w14:solidFill>
          </w14:textFill>
        </w:rPr>
      </w:pPr>
      <w:r>
        <w:rPr>
          <w:rFonts w:hint="eastAsia" w:ascii="仿宋_GB2312" w:hAnsi="仿宋" w:eastAsia="仿宋_GB2312" w:cs="仿宋_GB2312"/>
          <w:color w:val="000000" w:themeColor="text1"/>
          <w:sz w:val="30"/>
          <w:szCs w:val="30"/>
          <w14:textFill>
            <w14:solidFill>
              <w14:schemeClr w14:val="tx1"/>
            </w14:solidFill>
          </w14:textFill>
        </w:rPr>
        <w:t>1.所有人员不准携带液体饮料、管制器械及易燃易爆等危险物品进入指定区域，不准在禁烟区吸烟。</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2.比赛期间如发生火情等特殊情况，要保持镇静，在第一时间向现场工作人员报告，并按照现场工作人员的统一指挥，参与扑救或有序撤离。</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Times New Roman" w:eastAsia="仿宋_GB2312" w:cs="仿宋_GB2312"/>
          <w:kern w:val="0"/>
          <w:sz w:val="30"/>
          <w:szCs w:val="30"/>
        </w:rPr>
      </w:pPr>
      <w:r>
        <w:rPr>
          <w:rFonts w:hint="eastAsia" w:ascii="仿宋_GB2312" w:hAnsi="仿宋" w:eastAsia="仿宋_GB2312" w:cs="仿宋_GB2312"/>
          <w:sz w:val="30"/>
          <w:szCs w:val="30"/>
        </w:rPr>
        <w:t>3.比赛期间一旦发生人员意外伤害或紧急突发病情，要服从现场救护人员指挥，医护人员应采取积极有效的医疗救治措施；遇有病情严重情况时，要尽快指派专人护送病人到医院进行救治。</w:t>
      </w:r>
    </w:p>
    <w:p>
      <w:pPr>
        <w:keepNext w:val="0"/>
        <w:keepLines w:val="0"/>
        <w:pageBreakBefore w:val="0"/>
        <w:kinsoku/>
        <w:wordWrap/>
        <w:overflowPunct/>
        <w:topLinePunct w:val="0"/>
        <w:autoSpaceDE w:val="0"/>
        <w:autoSpaceDN w:val="0"/>
        <w:bidi w:val="0"/>
        <w:adjustRightInd w:val="0"/>
        <w:snapToGrid/>
        <w:spacing w:line="560" w:lineRule="exact"/>
        <w:ind w:firstLine="600" w:firstLineChars="200"/>
        <w:textAlignment w:val="auto"/>
        <w:rPr>
          <w:rFonts w:hint="eastAsia" w:ascii="方正楷体_GBK" w:hAnsi="方正楷体_GBK" w:eastAsia="方正楷体_GBK" w:cs="方正楷体_GBK"/>
          <w:b w:val="0"/>
          <w:bCs w:val="0"/>
          <w:sz w:val="30"/>
          <w:szCs w:val="30"/>
        </w:rPr>
      </w:pPr>
      <w:r>
        <w:rPr>
          <w:rFonts w:hint="eastAsia" w:ascii="方正楷体_GBK" w:hAnsi="方正楷体_GBK" w:eastAsia="方正楷体_GBK" w:cs="方正楷体_GBK"/>
          <w:b w:val="0"/>
          <w:bCs w:val="0"/>
          <w:sz w:val="30"/>
          <w:szCs w:val="30"/>
        </w:rPr>
        <w:t xml:space="preserve">（三）安保工作要求 </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1.在发生突发事件时，安保工作负责人要掌握信息，统一布置工作，全体安保人员必须服从命令、听从指挥，不得顶撞、拖延或临时逃脱，在未接到撤岗指令之前，不得离开岗位。</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2.发现安全隐患或突发事件时，现场人员应立即向保卫组汇报，保卫组接报后要立即到达现场，指挥并配合专业人员做好抢救工作；视突发事件的具体情况，分别向相关部门报告，立即启动《赛区安全保卫突发事件处理预案》。</w:t>
      </w:r>
    </w:p>
    <w:p>
      <w:pPr>
        <w:keepNext w:val="0"/>
        <w:keepLines w:val="0"/>
        <w:pageBreakBefore w:val="0"/>
        <w:kinsoku/>
        <w:wordWrap/>
        <w:overflowPunct/>
        <w:topLinePunct w:val="0"/>
        <w:autoSpaceDE w:val="0"/>
        <w:autoSpaceDN w:val="0"/>
        <w:bidi w:val="0"/>
        <w:adjustRightInd w:val="0"/>
        <w:snapToGrid/>
        <w:spacing w:line="560" w:lineRule="exact"/>
        <w:ind w:firstLine="600" w:firstLineChars="200"/>
        <w:jc w:val="left"/>
        <w:textAlignment w:val="auto"/>
        <w:rPr>
          <w:rFonts w:ascii="黑体" w:eastAsia="黑体" w:cs="黑体" w:hAnsiTheme="minorHAnsi"/>
          <w:color w:val="000000" w:themeColor="text1"/>
          <w:kern w:val="0"/>
          <w:sz w:val="30"/>
          <w:szCs w:val="30"/>
          <w14:textFill>
            <w14:solidFill>
              <w14:schemeClr w14:val="tx1"/>
            </w14:solidFill>
          </w14:textFill>
        </w:rPr>
      </w:pPr>
      <w:r>
        <w:rPr>
          <w:rFonts w:hint="eastAsia" w:ascii="黑体" w:eastAsia="黑体" w:cs="黑体" w:hAnsiTheme="minorHAnsi"/>
          <w:color w:val="000000" w:themeColor="text1"/>
          <w:kern w:val="0"/>
          <w:sz w:val="30"/>
          <w:szCs w:val="30"/>
          <w14:textFill>
            <w14:solidFill>
              <w14:schemeClr w14:val="tx1"/>
            </w14:solidFill>
          </w14:textFill>
        </w:rPr>
        <w:t>十二、成绩评定</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color w:val="000000" w:themeColor="text1"/>
          <w:sz w:val="30"/>
          <w:szCs w:val="30"/>
          <w14:textFill>
            <w14:solidFill>
              <w14:schemeClr w14:val="tx1"/>
            </w14:solidFill>
          </w14:textFill>
        </w:rPr>
      </w:pPr>
      <w:r>
        <w:rPr>
          <w:rFonts w:hint="eastAsia" w:ascii="仿宋_GB2312" w:hAnsi="仿宋" w:eastAsia="仿宋_GB2312" w:cs="仿宋_GB2312"/>
          <w:color w:val="000000" w:themeColor="text1"/>
          <w:sz w:val="30"/>
          <w:szCs w:val="30"/>
          <w14:textFill>
            <w14:solidFill>
              <w14:schemeClr w14:val="tx1"/>
            </w14:solidFill>
          </w14:textFill>
        </w:rPr>
        <w:t>本赛项各模块的评分由过程性考核评分和结果性考核评分组成。</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color w:val="000000" w:themeColor="text1"/>
          <w:sz w:val="30"/>
          <w:szCs w:val="30"/>
          <w14:textFill>
            <w14:solidFill>
              <w14:schemeClr w14:val="tx1"/>
            </w14:solidFill>
          </w14:textFill>
        </w:rPr>
      </w:pPr>
      <w:r>
        <w:rPr>
          <w:rFonts w:hint="eastAsia" w:ascii="仿宋_GB2312" w:hAnsi="仿宋" w:eastAsia="仿宋_GB2312" w:cs="仿宋_GB2312"/>
          <w:color w:val="000000" w:themeColor="text1"/>
          <w:sz w:val="30"/>
          <w:szCs w:val="30"/>
          <w14:textFill>
            <w14:solidFill>
              <w14:schemeClr w14:val="tx1"/>
            </w14:solidFill>
          </w14:textFill>
        </w:rPr>
        <w:t>过程评分：由现场裁判根据选手现场实际操作表现，依据评分表进行主观评判（J）和客观评价（M）。对每个考核项目客观评分项的得分点，现场裁判只能给出一个分值，即最高分或者零分，否则必须另有说明。</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color w:val="000000" w:themeColor="text1"/>
          <w:sz w:val="30"/>
          <w:szCs w:val="30"/>
          <w14:textFill>
            <w14:solidFill>
              <w14:schemeClr w14:val="tx1"/>
            </w14:solidFill>
          </w14:textFill>
        </w:rPr>
      </w:pPr>
      <w:r>
        <w:rPr>
          <w:rFonts w:hint="eastAsia" w:ascii="仿宋_GB2312" w:hAnsi="仿宋" w:eastAsia="仿宋_GB2312" w:cs="仿宋_GB2312"/>
          <w:color w:val="000000" w:themeColor="text1"/>
          <w:sz w:val="30"/>
          <w:szCs w:val="30"/>
          <w14:textFill>
            <w14:solidFill>
              <w14:schemeClr w14:val="tx1"/>
            </w14:solidFill>
          </w14:textFill>
        </w:rPr>
        <w:t>结果评分：现场考核结束后，密封试卷。每位选手的试卷由阅卷裁判依据真值对选手数值型结果（质量分数、精密度、准确度、相对校正因子、纯度和产率等）和工作报告撰写质量进行评阅打分，现场测定的结果进行精密度和准确度的评定，并经分项裁判长、裁判长的复核签字确定。上述所有行为须在监督仲裁人员监督下完成。</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在监督仲裁人员的现场监督下，由加密裁判汇总选手各模块项目评分，并计算出参赛选手的总成绩，复核无误后，经裁判长、监督仲裁人员签字确认后提交监督仲裁组组长再次复核。</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监督仲裁组对总成绩排名前 30% 的参赛选手成绩进行再次复核；对其余选手成绩进行抽检复核，抽检覆盖率不得低于 15%。如发现成绩错误以书面方式及时告知裁判长，由裁判长更正成绩并签字确认。复核、抽检错误率超过 5% 的，则对所有选手成绩进行复核。</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赛项最终得分按百分制计分，选手总成绩精确至小数点后两位。若选手总成绩相同时，则比较选手完成两个模块的总时长，以总时长较短者名次在前。</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记分员将解密后的各参赛选手成绩汇总制表，经裁判长、监督仲裁组组长签字后进行公布，2小时后无异议，将选手成绩录入赛务管理系统并上报河南省高等职业教育技能大赛组委会。</w:t>
      </w:r>
    </w:p>
    <w:p>
      <w:pPr>
        <w:keepNext w:val="0"/>
        <w:keepLines w:val="0"/>
        <w:pageBreakBefore w:val="0"/>
        <w:kinsoku/>
        <w:wordWrap/>
        <w:overflowPunct/>
        <w:topLinePunct w:val="0"/>
        <w:autoSpaceDE w:val="0"/>
        <w:autoSpaceDN w:val="0"/>
        <w:bidi w:val="0"/>
        <w:adjustRightInd w:val="0"/>
        <w:snapToGrid/>
        <w:spacing w:line="560" w:lineRule="exact"/>
        <w:ind w:firstLine="600" w:firstLineChars="200"/>
        <w:jc w:val="left"/>
        <w:textAlignment w:val="auto"/>
        <w:rPr>
          <w:rFonts w:ascii="黑体" w:eastAsia="黑体" w:cs="黑体" w:hAnsiTheme="minorHAnsi"/>
          <w:kern w:val="0"/>
          <w:sz w:val="30"/>
          <w:szCs w:val="30"/>
        </w:rPr>
      </w:pPr>
      <w:r>
        <w:rPr>
          <w:rFonts w:hint="eastAsia" w:ascii="黑体" w:eastAsia="黑体" w:cs="黑体" w:hAnsiTheme="minorHAnsi"/>
          <w:kern w:val="0"/>
          <w:sz w:val="30"/>
          <w:szCs w:val="30"/>
        </w:rPr>
        <w:t>十三、奖项设置</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本赛项设参赛选手团体奖，获奖等次与比例分别为：一等奖15%、二等奖25%、三等奖30%（小数点后四舍五入）。对竞赛获奖学生的指导教师，颁发优秀指导教师奖。</w:t>
      </w:r>
    </w:p>
    <w:p>
      <w:pPr>
        <w:keepNext w:val="0"/>
        <w:keepLines w:val="0"/>
        <w:pageBreakBefore w:val="0"/>
        <w:kinsoku/>
        <w:wordWrap/>
        <w:overflowPunct/>
        <w:topLinePunct w:val="0"/>
        <w:bidi w:val="0"/>
        <w:snapToGrid/>
        <w:spacing w:line="560" w:lineRule="exact"/>
        <w:ind w:firstLine="600" w:firstLineChars="200"/>
        <w:textAlignment w:val="auto"/>
        <w:rPr>
          <w:rFonts w:eastAsia="黑体"/>
          <w:bCs/>
          <w:sz w:val="30"/>
          <w:szCs w:val="30"/>
          <w:lang w:val="zh-TW"/>
        </w:rPr>
      </w:pPr>
      <w:r>
        <w:rPr>
          <w:rFonts w:hint="eastAsia" w:eastAsia="黑体"/>
          <w:bCs/>
          <w:sz w:val="30"/>
          <w:szCs w:val="30"/>
        </w:rPr>
        <w:t>十四、</w:t>
      </w:r>
      <w:r>
        <w:rPr>
          <w:rFonts w:hint="eastAsia" w:eastAsia="黑体"/>
          <w:bCs/>
          <w:sz w:val="30"/>
          <w:szCs w:val="30"/>
          <w:lang w:val="zh-TW"/>
        </w:rPr>
        <w:t>赛场</w:t>
      </w:r>
      <w:r>
        <w:rPr>
          <w:rFonts w:hint="eastAsia" w:eastAsia="黑体"/>
          <w:bCs/>
          <w:sz w:val="30"/>
          <w:szCs w:val="30"/>
        </w:rPr>
        <w:t>安全</w:t>
      </w:r>
      <w:r>
        <w:rPr>
          <w:rFonts w:hint="eastAsia" w:eastAsia="黑体"/>
          <w:bCs/>
          <w:sz w:val="30"/>
          <w:szCs w:val="30"/>
          <w:lang w:val="zh-TW"/>
        </w:rPr>
        <w:t>预案</w:t>
      </w:r>
    </w:p>
    <w:p>
      <w:pPr>
        <w:keepNext w:val="0"/>
        <w:keepLines w:val="0"/>
        <w:pageBreakBefore w:val="0"/>
        <w:kinsoku/>
        <w:wordWrap/>
        <w:overflowPunct/>
        <w:topLinePunct w:val="0"/>
        <w:autoSpaceDE w:val="0"/>
        <w:autoSpaceDN w:val="0"/>
        <w:bidi w:val="0"/>
        <w:adjustRightInd w:val="0"/>
        <w:snapToGrid/>
        <w:spacing w:line="560" w:lineRule="exact"/>
        <w:ind w:firstLine="600" w:firstLineChars="200"/>
        <w:textAlignment w:val="auto"/>
        <w:rPr>
          <w:rFonts w:hint="eastAsia" w:ascii="方正楷体_GBK" w:hAnsi="方正楷体_GBK" w:eastAsia="方正楷体_GBK" w:cs="方正楷体_GBK"/>
          <w:b w:val="0"/>
          <w:bCs w:val="0"/>
          <w:sz w:val="30"/>
          <w:szCs w:val="30"/>
          <w:lang w:val="zh-TW"/>
        </w:rPr>
      </w:pPr>
      <w:r>
        <w:rPr>
          <w:rFonts w:hint="eastAsia" w:ascii="方正楷体_GBK" w:hAnsi="方正楷体_GBK" w:eastAsia="方正楷体_GBK" w:cs="方正楷体_GBK"/>
          <w:b w:val="0"/>
          <w:bCs w:val="0"/>
          <w:sz w:val="30"/>
          <w:szCs w:val="30"/>
          <w:lang w:val="zh-TW"/>
        </w:rPr>
        <w:t>（一）指导思想</w:t>
      </w:r>
    </w:p>
    <w:p>
      <w:pPr>
        <w:keepNext w:val="0"/>
        <w:keepLines w:val="0"/>
        <w:pageBreakBefore w:val="0"/>
        <w:tabs>
          <w:tab w:val="left" w:pos="6120"/>
        </w:tabs>
        <w:kinsoku/>
        <w:wordWrap/>
        <w:overflowPunct/>
        <w:topLinePunct w:val="0"/>
        <w:bidi w:val="0"/>
        <w:snapToGrid/>
        <w:spacing w:line="560" w:lineRule="exact"/>
        <w:ind w:firstLine="600" w:firstLineChars="200"/>
        <w:textAlignment w:val="auto"/>
        <w:outlineLvl w:val="1"/>
        <w:rPr>
          <w:rFonts w:ascii="仿宋_GB2312" w:hAnsi="仿宋_GB2312" w:eastAsia="仿宋_GB2312" w:cs="仿宋_GB2312"/>
          <w:sz w:val="30"/>
          <w:szCs w:val="30"/>
          <w:lang w:val="zh-TW"/>
        </w:rPr>
      </w:pPr>
      <w:bookmarkStart w:id="0" w:name="_Toc21291"/>
      <w:r>
        <w:rPr>
          <w:rFonts w:hint="eastAsia" w:ascii="仿宋_GB2312" w:hAnsi="仿宋" w:eastAsia="仿宋_GB2312" w:cs="仿宋_GB2312"/>
          <w:sz w:val="30"/>
          <w:szCs w:val="30"/>
          <w:lang w:val="zh-TW"/>
        </w:rPr>
        <w:t>根据“安全第一，预防为主”的原则，保障大赛期间赛场安全，防范安全事故发生，对引发的突发性事故有充分的思想准备和应变措施，确保赛场在发生事故后，能科学有效地实施处置，切实有效降低和控制安全事故的危害，确保竞赛顺利开展。</w:t>
      </w:r>
      <w:bookmarkEnd w:id="0"/>
    </w:p>
    <w:p>
      <w:pPr>
        <w:keepNext w:val="0"/>
        <w:keepLines w:val="0"/>
        <w:pageBreakBefore w:val="0"/>
        <w:kinsoku/>
        <w:wordWrap/>
        <w:overflowPunct/>
        <w:topLinePunct w:val="0"/>
        <w:autoSpaceDE w:val="0"/>
        <w:autoSpaceDN w:val="0"/>
        <w:bidi w:val="0"/>
        <w:adjustRightInd w:val="0"/>
        <w:snapToGrid/>
        <w:spacing w:line="560" w:lineRule="exact"/>
        <w:ind w:firstLine="600" w:firstLineChars="200"/>
        <w:textAlignment w:val="auto"/>
        <w:rPr>
          <w:rFonts w:hint="eastAsia" w:ascii="方正楷体_GBK" w:hAnsi="方正楷体_GBK" w:eastAsia="方正楷体_GBK" w:cs="方正楷体_GBK"/>
          <w:b w:val="0"/>
          <w:bCs w:val="0"/>
          <w:sz w:val="30"/>
          <w:szCs w:val="30"/>
          <w:lang w:val="zh-TW"/>
        </w:rPr>
      </w:pPr>
      <w:r>
        <w:rPr>
          <w:rFonts w:hint="eastAsia" w:ascii="方正楷体_GBK" w:hAnsi="方正楷体_GBK" w:eastAsia="方正楷体_GBK" w:cs="方正楷体_GBK"/>
          <w:b w:val="0"/>
          <w:bCs w:val="0"/>
          <w:sz w:val="30"/>
          <w:szCs w:val="30"/>
          <w:lang w:val="zh-TW"/>
        </w:rPr>
        <w:t>（二）组织领导</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lang w:val="zh-TW"/>
        </w:rPr>
      </w:pPr>
      <w:bookmarkStart w:id="1" w:name="_Toc1330"/>
      <w:r>
        <w:rPr>
          <w:rFonts w:hint="eastAsia" w:ascii="仿宋_GB2312" w:hAnsi="仿宋" w:eastAsia="仿宋_GB2312" w:cs="仿宋_GB2312"/>
          <w:sz w:val="30"/>
          <w:szCs w:val="30"/>
          <w:lang w:val="zh-TW"/>
        </w:rPr>
        <w:t>成立赛项竞赛安全应急工作领导小组。</w:t>
      </w:r>
      <w:bookmarkEnd w:id="1"/>
    </w:p>
    <w:p>
      <w:pPr>
        <w:keepNext w:val="0"/>
        <w:keepLines w:val="0"/>
        <w:pageBreakBefore w:val="0"/>
        <w:kinsoku/>
        <w:wordWrap/>
        <w:overflowPunct/>
        <w:topLinePunct w:val="0"/>
        <w:autoSpaceDE w:val="0"/>
        <w:autoSpaceDN w:val="0"/>
        <w:bidi w:val="0"/>
        <w:adjustRightInd w:val="0"/>
        <w:snapToGrid/>
        <w:spacing w:line="560" w:lineRule="exact"/>
        <w:ind w:firstLine="600" w:firstLineChars="200"/>
        <w:textAlignment w:val="auto"/>
        <w:rPr>
          <w:rFonts w:hint="eastAsia" w:ascii="方正楷体_GBK" w:hAnsi="方正楷体_GBK" w:eastAsia="方正楷体_GBK" w:cs="方正楷体_GBK"/>
          <w:b w:val="0"/>
          <w:bCs w:val="0"/>
          <w:sz w:val="30"/>
          <w:szCs w:val="30"/>
          <w:lang w:val="zh-TW"/>
        </w:rPr>
      </w:pPr>
      <w:r>
        <w:rPr>
          <w:rFonts w:hint="eastAsia" w:ascii="方正楷体_GBK" w:hAnsi="方正楷体_GBK" w:eastAsia="方正楷体_GBK" w:cs="方正楷体_GBK"/>
          <w:b w:val="0"/>
          <w:bCs w:val="0"/>
          <w:sz w:val="30"/>
          <w:szCs w:val="30"/>
          <w:lang w:val="zh-TW"/>
        </w:rPr>
        <w:t>（三）赛场布局要求</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lang w:val="zh-TW"/>
        </w:rPr>
      </w:pPr>
      <w:r>
        <w:rPr>
          <w:rFonts w:hint="eastAsia" w:ascii="仿宋_GB2312" w:hAnsi="仿宋" w:eastAsia="仿宋_GB2312" w:cs="仿宋_GB2312"/>
          <w:sz w:val="30"/>
          <w:szCs w:val="30"/>
        </w:rPr>
        <w:t>1.</w:t>
      </w:r>
      <w:r>
        <w:rPr>
          <w:rFonts w:hint="eastAsia" w:ascii="仿宋_GB2312" w:hAnsi="仿宋" w:eastAsia="仿宋_GB2312" w:cs="仿宋_GB2312"/>
          <w:sz w:val="30"/>
          <w:szCs w:val="30"/>
          <w:lang w:val="zh-TW"/>
        </w:rPr>
        <w:t>赛场布局应符合赛项模块要求，水、电、通风等设施齐全。赛场周围设置裁判休息室一间，选手休息室一间，竞赛物资储物间一间，成绩录入室一间。</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lang w:val="zh-TW"/>
        </w:rPr>
      </w:pPr>
      <w:bookmarkStart w:id="2" w:name="_Toc4598"/>
      <w:r>
        <w:rPr>
          <w:rFonts w:hint="eastAsia" w:ascii="仿宋_GB2312" w:hAnsi="仿宋" w:eastAsia="仿宋_GB2312" w:cs="仿宋_GB2312"/>
          <w:sz w:val="30"/>
          <w:szCs w:val="30"/>
        </w:rPr>
        <w:t>2.</w:t>
      </w:r>
      <w:r>
        <w:rPr>
          <w:rFonts w:hint="eastAsia" w:ascii="仿宋_GB2312" w:hAnsi="仿宋" w:eastAsia="仿宋_GB2312" w:cs="仿宋_GB2312"/>
          <w:sz w:val="30"/>
          <w:szCs w:val="30"/>
          <w:lang w:val="zh-TW"/>
        </w:rPr>
        <w:t>赛场设定安全警戒标志。对</w:t>
      </w:r>
      <w:r>
        <w:rPr>
          <w:rFonts w:hint="eastAsia" w:ascii="仿宋_GB2312" w:hAnsi="仿宋" w:eastAsia="仿宋_GB2312" w:cs="仿宋_GB2312"/>
          <w:sz w:val="30"/>
          <w:szCs w:val="30"/>
        </w:rPr>
        <w:t>赛场</w:t>
      </w:r>
      <w:r>
        <w:rPr>
          <w:rFonts w:hint="eastAsia" w:ascii="仿宋_GB2312" w:hAnsi="仿宋" w:eastAsia="仿宋_GB2312" w:cs="仿宋_GB2312"/>
          <w:sz w:val="30"/>
          <w:szCs w:val="30"/>
          <w:lang w:val="zh-TW"/>
        </w:rPr>
        <w:t>实行封闭式管理，赛场内除指定的裁判、参赛选手、工作人员外，其他与会人员须经组织委员会同意或在委员会负责人陪同下，佩带相应的标志方可进入赛场。</w:t>
      </w:r>
      <w:bookmarkEnd w:id="2"/>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lang w:val="zh-TW"/>
        </w:rPr>
      </w:pPr>
      <w:bookmarkStart w:id="3" w:name="_Toc29393"/>
      <w:r>
        <w:rPr>
          <w:rFonts w:hint="eastAsia" w:ascii="仿宋_GB2312" w:hAnsi="仿宋" w:eastAsia="仿宋_GB2312" w:cs="仿宋_GB2312"/>
          <w:sz w:val="30"/>
          <w:szCs w:val="30"/>
        </w:rPr>
        <w:t>3.</w:t>
      </w:r>
      <w:r>
        <w:rPr>
          <w:rFonts w:hint="eastAsia" w:ascii="仿宋_GB2312" w:hAnsi="仿宋" w:eastAsia="仿宋_GB2312" w:cs="仿宋_GB2312"/>
          <w:sz w:val="30"/>
          <w:szCs w:val="30"/>
          <w:lang w:val="zh-TW"/>
        </w:rPr>
        <w:t>赛场具有良好的通风条件，配备必要的安全防护用品。赛场所有废弃物应有效分类并处理，尽可能地回收利用。</w:t>
      </w:r>
      <w:bookmarkEnd w:id="3"/>
    </w:p>
    <w:p>
      <w:pPr>
        <w:keepNext w:val="0"/>
        <w:keepLines w:val="0"/>
        <w:pageBreakBefore w:val="0"/>
        <w:kinsoku/>
        <w:wordWrap/>
        <w:overflowPunct/>
        <w:topLinePunct w:val="0"/>
        <w:autoSpaceDE w:val="0"/>
        <w:autoSpaceDN w:val="0"/>
        <w:bidi w:val="0"/>
        <w:adjustRightInd w:val="0"/>
        <w:snapToGrid/>
        <w:spacing w:line="560" w:lineRule="exact"/>
        <w:ind w:firstLine="600" w:firstLineChars="200"/>
        <w:textAlignment w:val="auto"/>
        <w:rPr>
          <w:rFonts w:hint="eastAsia" w:ascii="方正楷体_GBK" w:hAnsi="方正楷体_GBK" w:eastAsia="方正楷体_GBK" w:cs="方正楷体_GBK"/>
          <w:b w:val="0"/>
          <w:bCs w:val="0"/>
          <w:sz w:val="30"/>
          <w:szCs w:val="30"/>
          <w:lang w:val="zh-TW"/>
        </w:rPr>
      </w:pPr>
      <w:r>
        <w:rPr>
          <w:rFonts w:hint="eastAsia" w:ascii="方正楷体_GBK" w:hAnsi="方正楷体_GBK" w:eastAsia="方正楷体_GBK" w:cs="方正楷体_GBK"/>
          <w:b w:val="0"/>
          <w:bCs w:val="0"/>
          <w:sz w:val="30"/>
          <w:szCs w:val="30"/>
          <w:lang w:val="zh-TW"/>
        </w:rPr>
        <w:t>（四）竞赛过程中主要突发事故及应急处理方法</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lang w:val="zh-TW"/>
        </w:rPr>
      </w:pPr>
      <w:r>
        <w:rPr>
          <w:rFonts w:hint="eastAsia" w:ascii="仿宋_GB2312" w:hAnsi="仿宋" w:eastAsia="仿宋_GB2312" w:cs="仿宋_GB2312"/>
          <w:sz w:val="30"/>
          <w:szCs w:val="30"/>
          <w:lang w:val="zh-TW"/>
        </w:rPr>
        <w:t>1.药品使用事故</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lang w:val="zh-TW"/>
        </w:rPr>
      </w:pPr>
      <w:r>
        <w:rPr>
          <w:rFonts w:hint="eastAsia" w:ascii="仿宋_GB2312" w:hAnsi="仿宋" w:eastAsia="仿宋_GB2312" w:cs="仿宋_GB2312"/>
          <w:sz w:val="30"/>
          <w:szCs w:val="30"/>
          <w:lang w:val="zh-TW"/>
        </w:rPr>
        <w:t>（1）比赛用药品由专人统一保管和更换。</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lang w:val="zh-TW"/>
        </w:rPr>
      </w:pPr>
      <w:r>
        <w:rPr>
          <w:rFonts w:hint="eastAsia" w:ascii="仿宋_GB2312" w:hAnsi="仿宋" w:eastAsia="仿宋_GB2312" w:cs="仿宋_GB2312"/>
          <w:sz w:val="30"/>
          <w:szCs w:val="30"/>
          <w:lang w:val="zh-TW"/>
        </w:rPr>
        <w:t>（2）取用药品要佩戴专用防护手套。</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lang w:val="zh-TW"/>
        </w:rPr>
      </w:pPr>
      <w:r>
        <w:rPr>
          <w:rFonts w:hint="eastAsia" w:ascii="仿宋_GB2312" w:hAnsi="仿宋" w:eastAsia="仿宋_GB2312" w:cs="仿宋_GB2312"/>
          <w:sz w:val="30"/>
          <w:szCs w:val="30"/>
          <w:lang w:val="zh-TW"/>
        </w:rPr>
        <w:t>（3）药品分组使用不能串用、混用，使用后要及时归还回位置。</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lang w:val="zh-TW"/>
        </w:rPr>
      </w:pPr>
      <w:r>
        <w:rPr>
          <w:rFonts w:hint="eastAsia" w:ascii="仿宋_GB2312" w:hAnsi="仿宋" w:eastAsia="仿宋_GB2312" w:cs="仿宋_GB2312"/>
          <w:sz w:val="30"/>
          <w:szCs w:val="30"/>
          <w:lang w:val="zh-TW"/>
        </w:rPr>
        <w:t>（4）发生涉及药品的安全事故，由现场人员依不同情况酌情实施急救，并及时上报。</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lang w:val="zh-TW"/>
        </w:rPr>
      </w:pPr>
      <w:r>
        <w:rPr>
          <w:rFonts w:hint="eastAsia" w:ascii="仿宋_GB2312" w:hAnsi="仿宋" w:eastAsia="仿宋_GB2312" w:cs="仿宋_GB2312"/>
          <w:sz w:val="30"/>
          <w:szCs w:val="30"/>
          <w:lang w:val="zh-TW"/>
        </w:rPr>
        <w:t>（5）组织人员对事发场地外围进行封锁，严禁无关人员进入，防止危害进一步扩大。</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lang w:val="zh-TW"/>
        </w:rPr>
      </w:pPr>
      <w:r>
        <w:rPr>
          <w:rFonts w:hint="eastAsia" w:ascii="仿宋_GB2312" w:hAnsi="仿宋" w:eastAsia="仿宋_GB2312" w:cs="仿宋_GB2312"/>
          <w:sz w:val="30"/>
          <w:szCs w:val="30"/>
          <w:lang w:val="zh-TW"/>
        </w:rPr>
        <w:t>（6）立即联系医疗救护人员到现场进行医疗救护工作，同时拨打120急救电话。</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lang w:val="zh-TW"/>
        </w:rPr>
      </w:pPr>
      <w:r>
        <w:rPr>
          <w:rFonts w:hint="eastAsia" w:ascii="仿宋_GB2312" w:hAnsi="仿宋" w:eastAsia="仿宋_GB2312" w:cs="仿宋_GB2312"/>
          <w:sz w:val="30"/>
          <w:szCs w:val="30"/>
          <w:lang w:val="zh-TW"/>
        </w:rPr>
        <w:t>2.水、电使用事故</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lang w:val="zh-TW"/>
        </w:rPr>
      </w:pPr>
      <w:r>
        <w:rPr>
          <w:rFonts w:hint="eastAsia" w:ascii="仿宋_GB2312" w:hAnsi="仿宋" w:eastAsia="仿宋_GB2312" w:cs="仿宋_GB2312"/>
          <w:sz w:val="30"/>
          <w:szCs w:val="30"/>
          <w:lang w:val="zh-TW"/>
        </w:rPr>
        <w:t>（1）一旦发生水电路故障、停水、停电等现象，现场人员要在第一时间向应急处置小组报告，并采取有效措施，防止发生事故。</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lang w:val="zh-TW"/>
        </w:rPr>
      </w:pPr>
      <w:r>
        <w:rPr>
          <w:rFonts w:hint="eastAsia" w:ascii="仿宋_GB2312" w:hAnsi="仿宋" w:eastAsia="仿宋_GB2312" w:cs="仿宋_GB2312"/>
          <w:sz w:val="30"/>
          <w:szCs w:val="30"/>
          <w:lang w:val="zh-TW"/>
        </w:rPr>
        <w:t>（2）应急小组接到报告后，立即启动预案。</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lang w:val="zh-TW"/>
        </w:rPr>
      </w:pPr>
      <w:r>
        <w:rPr>
          <w:rFonts w:hint="eastAsia" w:ascii="仿宋_GB2312" w:hAnsi="仿宋" w:eastAsia="仿宋_GB2312" w:cs="仿宋_GB2312"/>
          <w:sz w:val="30"/>
          <w:szCs w:val="30"/>
          <w:lang w:val="zh-TW"/>
        </w:rPr>
        <w:t>① 发生水、电路故障，立即联系学院后勤处，由后勤处立即安排专业人员在第一时间到现场进行检测、维修，尽快修复。</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lang w:val="zh-TW"/>
        </w:rPr>
      </w:pPr>
      <w:r>
        <w:rPr>
          <w:rFonts w:hint="eastAsia" w:ascii="仿宋_GB2312" w:hAnsi="仿宋" w:eastAsia="仿宋_GB2312" w:cs="仿宋_GB2312"/>
          <w:sz w:val="30"/>
          <w:szCs w:val="30"/>
          <w:lang w:val="zh-TW"/>
        </w:rPr>
        <w:t>② 发生停水、停电现象，立即联系承办单位后勤部门，立即安排人员查明停电原因，组织发电工作。</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lang w:val="zh-TW"/>
        </w:rPr>
      </w:pPr>
      <w:r>
        <w:rPr>
          <w:rFonts w:hint="eastAsia" w:ascii="仿宋_GB2312" w:hAnsi="仿宋" w:eastAsia="仿宋_GB2312" w:cs="仿宋_GB2312"/>
          <w:sz w:val="30"/>
          <w:szCs w:val="30"/>
          <w:lang w:val="zh-TW"/>
        </w:rPr>
        <w:t>（3）触电事故</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lang w:val="zh-TW"/>
        </w:rPr>
      </w:pPr>
      <w:r>
        <w:rPr>
          <w:rFonts w:hint="eastAsia" w:ascii="仿宋_GB2312" w:hAnsi="仿宋" w:eastAsia="仿宋_GB2312" w:cs="仿宋_GB2312"/>
          <w:sz w:val="30"/>
          <w:szCs w:val="30"/>
          <w:lang w:val="zh-TW"/>
        </w:rPr>
        <w:t>①一旦发生触电事故，首先要在安全的情况下使触电者尽快脱离电源。</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lang w:val="zh-TW"/>
        </w:rPr>
      </w:pPr>
      <w:r>
        <w:rPr>
          <w:rFonts w:hint="eastAsia" w:ascii="仿宋_GB2312" w:hAnsi="仿宋" w:eastAsia="仿宋_GB2312" w:cs="仿宋_GB2312"/>
          <w:sz w:val="30"/>
          <w:szCs w:val="30"/>
          <w:lang w:val="zh-TW"/>
        </w:rPr>
        <w:t>②责任人员负责协调救援工作，下达救援指令等工作。并向承办单位相关部门及主要领导报告救援信息。</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lang w:val="zh-TW"/>
        </w:rPr>
      </w:pPr>
      <w:r>
        <w:rPr>
          <w:rFonts w:hint="eastAsia" w:ascii="仿宋_GB2312" w:hAnsi="仿宋" w:eastAsia="仿宋_GB2312" w:cs="仿宋_GB2312"/>
          <w:sz w:val="30"/>
          <w:szCs w:val="30"/>
          <w:lang w:val="zh-TW"/>
        </w:rPr>
        <w:t>③根据触电者症状及时进行现场紧急救护。触电者脱离电源后，救护者应立即将其就近移至干燥通风处，可依不同情况酌情实施救护。</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lang w:val="zh-TW"/>
        </w:rPr>
      </w:pPr>
      <w:r>
        <w:rPr>
          <w:rFonts w:hint="eastAsia" w:ascii="仿宋_GB2312" w:hAnsi="仿宋" w:eastAsia="仿宋_GB2312" w:cs="仿宋_GB2312"/>
          <w:sz w:val="30"/>
          <w:szCs w:val="30"/>
          <w:lang w:val="zh-TW"/>
        </w:rPr>
        <w:t>④组织人员对事发场地外围进行封锁，严禁无关人员进入，防止造成更大灾害。</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lang w:val="zh-TW"/>
        </w:rPr>
      </w:pPr>
      <w:r>
        <w:rPr>
          <w:rFonts w:hint="eastAsia" w:ascii="仿宋_GB2312" w:hAnsi="仿宋" w:eastAsia="仿宋_GB2312" w:cs="仿宋_GB2312"/>
          <w:sz w:val="30"/>
          <w:szCs w:val="30"/>
          <w:lang w:val="zh-TW"/>
        </w:rPr>
        <w:t>⑤立即联系医疗救护人员到现场进行医疗救护工作，同时拨打120急救电话。</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lang w:val="zh-TW"/>
        </w:rPr>
      </w:pPr>
      <w:r>
        <w:rPr>
          <w:rFonts w:hint="eastAsia" w:ascii="仿宋_GB2312" w:hAnsi="仿宋" w:eastAsia="仿宋_GB2312" w:cs="仿宋_GB2312"/>
          <w:sz w:val="30"/>
          <w:szCs w:val="30"/>
          <w:lang w:val="zh-TW"/>
        </w:rPr>
        <w:t>3.其他设备安全事故</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lang w:val="zh-TW"/>
        </w:rPr>
      </w:pPr>
      <w:r>
        <w:rPr>
          <w:rFonts w:hint="eastAsia" w:ascii="仿宋_GB2312" w:hAnsi="仿宋" w:eastAsia="仿宋_GB2312" w:cs="仿宋_GB2312"/>
          <w:sz w:val="30"/>
          <w:szCs w:val="30"/>
          <w:lang w:val="zh-TW"/>
        </w:rPr>
        <w:t>（1）玻璃器皿使用</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lang w:val="zh-TW"/>
        </w:rPr>
      </w:pPr>
      <w:r>
        <w:rPr>
          <w:rFonts w:hint="eastAsia" w:ascii="仿宋_GB2312" w:hAnsi="仿宋" w:eastAsia="仿宋_GB2312" w:cs="仿宋_GB2312"/>
          <w:sz w:val="30"/>
          <w:szCs w:val="30"/>
          <w:lang w:val="zh-TW"/>
        </w:rPr>
        <w:t>①玻璃器皿要按规定使用，防止破碎及产生继生伤害事故。</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lang w:val="zh-TW"/>
        </w:rPr>
      </w:pPr>
      <w:r>
        <w:rPr>
          <w:rFonts w:hint="eastAsia" w:ascii="仿宋_GB2312" w:hAnsi="仿宋" w:eastAsia="仿宋_GB2312" w:cs="仿宋_GB2312"/>
          <w:sz w:val="30"/>
          <w:szCs w:val="30"/>
          <w:lang w:val="zh-TW"/>
        </w:rPr>
        <w:t>②发生玻璃割伤事故，由现场人员依不同情况酌情实施急救，并及时上报。</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lang w:val="zh-TW"/>
        </w:rPr>
      </w:pPr>
      <w:r>
        <w:rPr>
          <w:rFonts w:hint="eastAsia" w:ascii="仿宋_GB2312" w:hAnsi="仿宋" w:eastAsia="仿宋_GB2312" w:cs="仿宋_GB2312"/>
          <w:sz w:val="30"/>
          <w:szCs w:val="30"/>
          <w:lang w:val="zh-TW"/>
        </w:rPr>
        <w:t>③情况严重时由责任人员立即联系医疗救护人员到现场进行医疗救护工作。或同时拨打120急救电话。</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lang w:val="zh-TW"/>
        </w:rPr>
      </w:pPr>
      <w:r>
        <w:rPr>
          <w:rFonts w:hint="eastAsia" w:ascii="仿宋_GB2312" w:hAnsi="仿宋" w:eastAsia="仿宋_GB2312" w:cs="仿宋_GB2312"/>
          <w:sz w:val="30"/>
          <w:szCs w:val="30"/>
          <w:lang w:val="zh-TW"/>
        </w:rPr>
        <w:t>（2）精密仪器</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lang w:val="zh-TW"/>
        </w:rPr>
      </w:pPr>
      <w:r>
        <w:rPr>
          <w:rFonts w:hint="eastAsia" w:ascii="仿宋_GB2312" w:hAnsi="仿宋" w:eastAsia="仿宋_GB2312" w:cs="仿宋_GB2312"/>
          <w:sz w:val="30"/>
          <w:szCs w:val="30"/>
          <w:lang w:val="zh-TW"/>
        </w:rPr>
        <w:t>①精密仪器要按规定使用，防止触电及产生继生伤害事故。</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lang w:val="zh-TW"/>
        </w:rPr>
      </w:pPr>
      <w:r>
        <w:rPr>
          <w:rFonts w:hint="eastAsia" w:ascii="仿宋_GB2312" w:hAnsi="仿宋" w:eastAsia="仿宋_GB2312" w:cs="仿宋_GB2312"/>
          <w:sz w:val="30"/>
          <w:szCs w:val="30"/>
          <w:lang w:val="zh-TW"/>
        </w:rPr>
        <w:t>②如遇仪器产生故障，由责任人员负责更换。</w:t>
      </w:r>
    </w:p>
    <w:p>
      <w:pPr>
        <w:keepNext w:val="0"/>
        <w:keepLines w:val="0"/>
        <w:pageBreakBefore w:val="0"/>
        <w:kinsoku/>
        <w:wordWrap/>
        <w:overflowPunct/>
        <w:topLinePunct w:val="0"/>
        <w:bidi w:val="0"/>
        <w:snapToGrid/>
        <w:spacing w:line="560" w:lineRule="exact"/>
        <w:ind w:firstLine="600" w:firstLineChars="200"/>
        <w:textAlignment w:val="auto"/>
        <w:rPr>
          <w:rFonts w:eastAsia="黑体"/>
          <w:bCs/>
          <w:sz w:val="30"/>
          <w:szCs w:val="30"/>
          <w:lang w:val="zh-TW"/>
        </w:rPr>
      </w:pPr>
      <w:r>
        <w:rPr>
          <w:rFonts w:hint="eastAsia" w:eastAsia="黑体"/>
          <w:bCs/>
          <w:sz w:val="30"/>
          <w:szCs w:val="30"/>
        </w:rPr>
        <w:t>十五、</w:t>
      </w:r>
      <w:r>
        <w:rPr>
          <w:rFonts w:hint="eastAsia" w:ascii="黑体" w:hAnsi="黑体" w:eastAsia="黑体" w:cs="黑体"/>
          <w:sz w:val="30"/>
          <w:szCs w:val="30"/>
        </w:rPr>
        <w:t>申诉与仲裁</w:t>
      </w:r>
    </w:p>
    <w:p>
      <w:pPr>
        <w:keepNext w:val="0"/>
        <w:keepLines w:val="0"/>
        <w:pageBreakBefore w:val="0"/>
        <w:kinsoku/>
        <w:wordWrap/>
        <w:overflowPunct/>
        <w:topLinePunct w:val="0"/>
        <w:autoSpaceDE w:val="0"/>
        <w:autoSpaceDN w:val="0"/>
        <w:bidi w:val="0"/>
        <w:adjustRightInd w:val="0"/>
        <w:snapToGrid/>
        <w:spacing w:line="560" w:lineRule="exact"/>
        <w:ind w:firstLine="600" w:firstLineChars="200"/>
        <w:textAlignment w:val="auto"/>
        <w:rPr>
          <w:rFonts w:hint="eastAsia" w:ascii="方正楷体_GBK" w:hAnsi="方正楷体_GBK" w:eastAsia="方正楷体_GBK" w:cs="方正楷体_GBK"/>
          <w:b w:val="0"/>
          <w:bCs w:val="0"/>
          <w:sz w:val="30"/>
          <w:szCs w:val="30"/>
          <w:lang w:val="zh-TW"/>
        </w:rPr>
      </w:pPr>
      <w:bookmarkStart w:id="4" w:name="_Toc11195"/>
      <w:r>
        <w:rPr>
          <w:rFonts w:hint="eastAsia" w:ascii="方正楷体_GBK" w:hAnsi="方正楷体_GBK" w:eastAsia="方正楷体_GBK" w:cs="方正楷体_GBK"/>
          <w:b w:val="0"/>
          <w:bCs w:val="0"/>
          <w:sz w:val="30"/>
          <w:szCs w:val="30"/>
          <w:lang w:val="zh-TW"/>
        </w:rPr>
        <w:t>（一）申诉</w:t>
      </w:r>
      <w:bookmarkEnd w:id="4"/>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lang w:val="zh-TW"/>
        </w:rPr>
      </w:pPr>
      <w:bookmarkStart w:id="5" w:name="_Toc23489"/>
      <w:r>
        <w:rPr>
          <w:rFonts w:hint="eastAsia" w:ascii="仿宋_GB2312" w:hAnsi="仿宋" w:eastAsia="仿宋_GB2312" w:cs="仿宋_GB2312"/>
          <w:sz w:val="30"/>
          <w:szCs w:val="30"/>
          <w:lang w:val="zh-TW"/>
        </w:rPr>
        <w:t>1.参赛队对不符合竞赛规定的设备、工具、软件，有失公正的评判、奖励，以及对工作人员的违规行为等，均可提出申诉。</w:t>
      </w:r>
      <w:bookmarkEnd w:id="5"/>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lang w:val="zh-TW"/>
        </w:rPr>
      </w:pPr>
      <w:bookmarkStart w:id="6" w:name="_Toc13268"/>
      <w:r>
        <w:rPr>
          <w:rFonts w:hint="eastAsia" w:ascii="仿宋_GB2312" w:hAnsi="仿宋" w:eastAsia="仿宋_GB2312" w:cs="仿宋_GB2312"/>
          <w:sz w:val="30"/>
          <w:szCs w:val="30"/>
          <w:lang w:val="zh-TW"/>
        </w:rPr>
        <w:t>2.申诉应在竞赛结束后2小时内提出，超过时效将不予受理。申诉时，应按照规定的程序由参赛队领队向仲裁工作组递交书面申诉报告。报告应对申诉事件的现象、发生的时间、涉及到的人员、申诉依据与理由等进行充分、实事求是的叙述。事实依据不充分、仅凭主观臆断的申诉将不予受理。申诉报告须由申诉的参赛选手、领队签名。非书面申诉不予受理。</w:t>
      </w:r>
      <w:bookmarkEnd w:id="6"/>
    </w:p>
    <w:p>
      <w:pPr>
        <w:keepNext w:val="0"/>
        <w:keepLines w:val="0"/>
        <w:pageBreakBefore w:val="0"/>
        <w:kinsoku/>
        <w:wordWrap/>
        <w:overflowPunct/>
        <w:topLinePunct w:val="0"/>
        <w:autoSpaceDE w:val="0"/>
        <w:autoSpaceDN w:val="0"/>
        <w:bidi w:val="0"/>
        <w:adjustRightInd w:val="0"/>
        <w:snapToGrid/>
        <w:spacing w:line="560" w:lineRule="exact"/>
        <w:ind w:firstLine="600" w:firstLineChars="200"/>
        <w:textAlignment w:val="auto"/>
        <w:rPr>
          <w:rFonts w:hint="eastAsia" w:ascii="方正楷体_GBK" w:hAnsi="方正楷体_GBK" w:eastAsia="方正楷体_GBK" w:cs="方正楷体_GBK"/>
          <w:b w:val="0"/>
          <w:bCs w:val="0"/>
          <w:sz w:val="30"/>
          <w:szCs w:val="30"/>
        </w:rPr>
      </w:pPr>
      <w:r>
        <w:rPr>
          <w:rFonts w:hint="eastAsia" w:ascii="方正楷体_GBK" w:hAnsi="方正楷体_GBK" w:eastAsia="方正楷体_GBK" w:cs="方正楷体_GBK"/>
          <w:b w:val="0"/>
          <w:bCs w:val="0"/>
          <w:sz w:val="30"/>
          <w:szCs w:val="30"/>
          <w:lang w:val="zh-TW"/>
        </w:rPr>
        <w:t>（</w:t>
      </w:r>
      <w:r>
        <w:rPr>
          <w:rFonts w:hint="eastAsia" w:ascii="方正楷体_GBK" w:hAnsi="方正楷体_GBK" w:eastAsia="方正楷体_GBK" w:cs="方正楷体_GBK"/>
          <w:b w:val="0"/>
          <w:bCs w:val="0"/>
          <w:sz w:val="30"/>
          <w:szCs w:val="30"/>
        </w:rPr>
        <w:t>二</w:t>
      </w:r>
      <w:r>
        <w:rPr>
          <w:rFonts w:hint="eastAsia" w:ascii="方正楷体_GBK" w:hAnsi="方正楷体_GBK" w:eastAsia="方正楷体_GBK" w:cs="方正楷体_GBK"/>
          <w:b w:val="0"/>
          <w:bCs w:val="0"/>
          <w:sz w:val="30"/>
          <w:szCs w:val="30"/>
          <w:lang w:val="zh-TW"/>
        </w:rPr>
        <w:t>）</w:t>
      </w:r>
      <w:r>
        <w:rPr>
          <w:rFonts w:hint="eastAsia" w:ascii="方正楷体_GBK" w:hAnsi="方正楷体_GBK" w:eastAsia="方正楷体_GBK" w:cs="方正楷体_GBK"/>
          <w:b w:val="0"/>
          <w:bCs w:val="0"/>
          <w:sz w:val="30"/>
          <w:szCs w:val="30"/>
        </w:rPr>
        <w:t>仲裁</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lang w:val="zh-TW"/>
        </w:rPr>
      </w:pPr>
      <w:r>
        <w:rPr>
          <w:rFonts w:hint="eastAsia" w:ascii="仿宋_GB2312" w:hAnsi="仿宋" w:eastAsia="仿宋_GB2312" w:cs="仿宋_GB2312"/>
          <w:sz w:val="30"/>
          <w:szCs w:val="30"/>
          <w:lang w:val="zh-TW"/>
        </w:rPr>
        <w:t>1.赛项仲裁工作组收到申诉报告后,应根据申诉事由进行审查,2h内通知申诉方,告知申诉处理结果。如不受理申诉,须说明理由。</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lang w:val="zh-TW"/>
        </w:rPr>
      </w:pPr>
      <w:r>
        <w:rPr>
          <w:rFonts w:hint="eastAsia" w:ascii="仿宋_GB2312" w:hAnsi="仿宋" w:eastAsia="仿宋_GB2312" w:cs="仿宋_GB2312"/>
          <w:sz w:val="30"/>
          <w:szCs w:val="30"/>
          <w:lang w:val="zh-TW"/>
        </w:rPr>
        <w:t>2.申诉人不得无故拒不接受处理结果,不允许采取过激行为刁难、攻击工作人员,否则视为放弃申诉。</w:t>
      </w:r>
    </w:p>
    <w:p>
      <w:pPr>
        <w:keepNext w:val="0"/>
        <w:keepLines w:val="0"/>
        <w:pageBreakBefore w:val="0"/>
        <w:kinsoku/>
        <w:wordWrap/>
        <w:overflowPunct/>
        <w:topLinePunct w:val="0"/>
        <w:autoSpaceDE w:val="0"/>
        <w:autoSpaceDN w:val="0"/>
        <w:bidi w:val="0"/>
        <w:adjustRightInd w:val="0"/>
        <w:snapToGrid/>
        <w:spacing w:line="560" w:lineRule="exact"/>
        <w:ind w:firstLine="600" w:firstLineChars="200"/>
        <w:textAlignment w:val="auto"/>
        <w:rPr>
          <w:rFonts w:hint="eastAsia" w:ascii="方正楷体_GBK" w:hAnsi="方正楷体_GBK" w:eastAsia="方正楷体_GBK" w:cs="方正楷体_GBK"/>
          <w:b w:val="0"/>
          <w:bCs w:val="0"/>
          <w:sz w:val="30"/>
          <w:szCs w:val="30"/>
          <w:lang w:val="zh-TW"/>
        </w:rPr>
      </w:pPr>
      <w:r>
        <w:rPr>
          <w:rFonts w:hint="eastAsia" w:ascii="方正楷体_GBK" w:hAnsi="方正楷体_GBK" w:eastAsia="方正楷体_GBK" w:cs="方正楷体_GBK"/>
          <w:b w:val="0"/>
          <w:bCs w:val="0"/>
          <w:sz w:val="30"/>
          <w:szCs w:val="30"/>
          <w:lang w:val="zh-TW"/>
        </w:rPr>
        <w:t>(三）其他</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lang w:val="zh-TW"/>
        </w:rPr>
      </w:pPr>
      <w:r>
        <w:rPr>
          <w:rFonts w:hint="eastAsia" w:ascii="仿宋_GB2312" w:hAnsi="仿宋" w:eastAsia="仿宋_GB2312" w:cs="仿宋_GB2312"/>
          <w:sz w:val="30"/>
          <w:szCs w:val="30"/>
          <w:lang w:val="zh-TW"/>
        </w:rPr>
        <w:t>凡是本规程没有说明的事项由竞赛组委会决定。本规则最终解释权归竞赛组委会。</w:t>
      </w:r>
    </w:p>
    <w:p>
      <w:pPr>
        <w:keepNext w:val="0"/>
        <w:keepLines w:val="0"/>
        <w:pageBreakBefore w:val="0"/>
        <w:kinsoku/>
        <w:wordWrap/>
        <w:overflowPunct/>
        <w:topLinePunct w:val="0"/>
        <w:bidi w:val="0"/>
        <w:snapToGrid/>
        <w:spacing w:line="560" w:lineRule="exact"/>
        <w:ind w:firstLine="600" w:firstLineChars="200"/>
        <w:textAlignment w:val="auto"/>
        <w:rPr>
          <w:rFonts w:eastAsia="黑体"/>
          <w:bCs/>
          <w:sz w:val="32"/>
          <w:szCs w:val="32"/>
          <w:lang w:val="zh-TW"/>
        </w:rPr>
      </w:pPr>
      <w:r>
        <w:rPr>
          <w:rFonts w:hint="eastAsia" w:eastAsia="黑体"/>
          <w:bCs/>
          <w:sz w:val="30"/>
          <w:szCs w:val="30"/>
          <w:lang w:val="zh-TW"/>
        </w:rPr>
        <w:t>十</w:t>
      </w:r>
      <w:r>
        <w:rPr>
          <w:rFonts w:hint="eastAsia" w:eastAsia="黑体"/>
          <w:bCs/>
          <w:sz w:val="30"/>
          <w:szCs w:val="30"/>
        </w:rPr>
        <w:t>六</w:t>
      </w:r>
      <w:r>
        <w:rPr>
          <w:rFonts w:hint="eastAsia" w:eastAsia="黑体"/>
          <w:bCs/>
          <w:sz w:val="30"/>
          <w:szCs w:val="30"/>
          <w:lang w:val="zh-TW"/>
        </w:rPr>
        <w:t>、竞赛须知</w:t>
      </w:r>
    </w:p>
    <w:p>
      <w:pPr>
        <w:keepNext w:val="0"/>
        <w:keepLines w:val="0"/>
        <w:pageBreakBefore w:val="0"/>
        <w:kinsoku/>
        <w:wordWrap/>
        <w:overflowPunct/>
        <w:topLinePunct w:val="0"/>
        <w:autoSpaceDE w:val="0"/>
        <w:autoSpaceDN w:val="0"/>
        <w:bidi w:val="0"/>
        <w:adjustRightInd w:val="0"/>
        <w:snapToGrid/>
        <w:spacing w:line="560" w:lineRule="exact"/>
        <w:ind w:firstLine="600" w:firstLineChars="200"/>
        <w:textAlignment w:val="auto"/>
        <w:rPr>
          <w:rFonts w:hint="eastAsia" w:ascii="方正楷体_GBK" w:hAnsi="方正楷体_GBK" w:eastAsia="方正楷体_GBK" w:cs="方正楷体_GBK"/>
          <w:b w:val="0"/>
          <w:bCs w:val="0"/>
          <w:sz w:val="30"/>
          <w:szCs w:val="30"/>
        </w:rPr>
      </w:pPr>
      <w:r>
        <w:rPr>
          <w:rFonts w:hint="eastAsia" w:ascii="方正楷体_GBK" w:hAnsi="方正楷体_GBK" w:eastAsia="方正楷体_GBK" w:cs="方正楷体_GBK"/>
          <w:b w:val="0"/>
          <w:bCs w:val="0"/>
          <w:sz w:val="30"/>
          <w:szCs w:val="30"/>
        </w:rPr>
        <w:t>（一）赛场须知</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1.赛场各类工作人员必须统一佩戴由竞赛组委会印制的相应证件，着装整齐，进入工作岗位。</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2.各赛场除竞赛组委会成员、专家组成员、现场裁判、赛场配备的工作人员外，其他人员未经竞赛组委会允许不得进入赛场。</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3.新闻媒体等进入赛场必须经过竞赛组委会允许，并且听从现场工作人员的安排和指挥，不得影响竞赛正常进行。</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4.各参赛队的领队、指导教师以及随行人员谢绝进入赛场。</w:t>
      </w:r>
    </w:p>
    <w:p>
      <w:pPr>
        <w:keepNext w:val="0"/>
        <w:keepLines w:val="0"/>
        <w:pageBreakBefore w:val="0"/>
        <w:kinsoku/>
        <w:wordWrap/>
        <w:overflowPunct/>
        <w:topLinePunct w:val="0"/>
        <w:autoSpaceDE w:val="0"/>
        <w:autoSpaceDN w:val="0"/>
        <w:bidi w:val="0"/>
        <w:adjustRightInd w:val="0"/>
        <w:snapToGrid/>
        <w:spacing w:line="560" w:lineRule="exact"/>
        <w:ind w:firstLine="600" w:firstLineChars="200"/>
        <w:textAlignment w:val="auto"/>
        <w:rPr>
          <w:rFonts w:hint="eastAsia" w:ascii="方正楷体_GBK" w:hAnsi="方正楷体_GBK" w:eastAsia="方正楷体_GBK" w:cs="方正楷体_GBK"/>
          <w:b w:val="0"/>
          <w:bCs w:val="0"/>
          <w:sz w:val="30"/>
          <w:szCs w:val="30"/>
        </w:rPr>
      </w:pPr>
      <w:r>
        <w:rPr>
          <w:rFonts w:hint="eastAsia" w:ascii="方正楷体_GBK" w:hAnsi="方正楷体_GBK" w:eastAsia="方正楷体_GBK" w:cs="方正楷体_GBK"/>
          <w:b w:val="0"/>
          <w:bCs w:val="0"/>
          <w:sz w:val="30"/>
          <w:szCs w:val="30"/>
        </w:rPr>
        <w:t>（二）参赛队须知</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1.默认学校代表队排名在前的选手为单号，排名在后的选手为双号。</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2.参赛选手须提供个人真实身份证明。参赛选手在报名获得确认后，原则上不再更换。</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3.参赛队按照赛程安排和具体时间前往指定地点，各参赛选手凭参赛证和有效身份证件参加比赛及相关活动。</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4.各参赛队在赛前做好健康自测，不得带病参加比赛。</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5.参赛选手证件齐全，选手本人的参赛证、有效身份证、检录后赛位号严格一致。自行变更参赛选手、参赛赛位的参赛队按作弊处理，取消该参赛队参赛资格。</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6.竞赛期间严格遵守竞赛规则，如有意见由领队在竞赛当天向竞赛组委会仲裁组反映。如发现弄虚作假者，取消参赛资格，名次无效。</w:t>
      </w:r>
    </w:p>
    <w:p>
      <w:pPr>
        <w:keepNext w:val="0"/>
        <w:keepLines w:val="0"/>
        <w:pageBreakBefore w:val="0"/>
        <w:kinsoku/>
        <w:wordWrap/>
        <w:overflowPunct/>
        <w:topLinePunct w:val="0"/>
        <w:autoSpaceDE w:val="0"/>
        <w:autoSpaceDN w:val="0"/>
        <w:bidi w:val="0"/>
        <w:adjustRightInd w:val="0"/>
        <w:snapToGrid/>
        <w:spacing w:line="560" w:lineRule="exact"/>
        <w:ind w:firstLine="600" w:firstLineChars="200"/>
        <w:textAlignment w:val="auto"/>
        <w:rPr>
          <w:rFonts w:hint="eastAsia" w:ascii="方正楷体_GBK" w:hAnsi="方正楷体_GBK" w:eastAsia="方正楷体_GBK" w:cs="方正楷体_GBK"/>
          <w:b w:val="0"/>
          <w:bCs w:val="0"/>
          <w:sz w:val="30"/>
          <w:szCs w:val="30"/>
        </w:rPr>
      </w:pPr>
      <w:r>
        <w:rPr>
          <w:rFonts w:hint="eastAsia" w:ascii="方正楷体_GBK" w:hAnsi="方正楷体_GBK" w:eastAsia="方正楷体_GBK" w:cs="方正楷体_GBK"/>
          <w:b w:val="0"/>
          <w:bCs w:val="0"/>
          <w:sz w:val="30"/>
          <w:szCs w:val="30"/>
        </w:rPr>
        <w:t>（三）领队、指导教师须知</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1.领队按竞赛组委会要求准时参加领队会议，认真传达会议精神。领队应按竞赛组委会要求按时参加预备会，并认真落实会议精神。对比赛中的问题和意见由领队负责向竞赛组委会或仲裁组反映。</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2.领队及指导教师遵守并贯彻执行竞赛组委会的各项规定，妥善管理好本队人员的日常生活及安全，加强对参赛选手的管理，做好赛前准备工作，确保参赛选手准时参加各项比赛。</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3.领队及指导教师做好本单位比赛选手的业务辅导、心理疏导和思想引导工作，对参赛选手及比赛过程报以平和、包容的心态，共同维护竞赛秩序。</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4.领队和指导教师要坚决执行竞赛的各项规定，比赛期间严格遵守比赛规则，教育选手树立良好赛风，听从指挥，服从评委，不弄虚作假，确保竞赛顺利进行。</w:t>
      </w:r>
    </w:p>
    <w:p>
      <w:pPr>
        <w:keepNext w:val="0"/>
        <w:keepLines w:val="0"/>
        <w:pageBreakBefore w:val="0"/>
        <w:kinsoku/>
        <w:wordWrap/>
        <w:overflowPunct/>
        <w:topLinePunct w:val="0"/>
        <w:autoSpaceDE w:val="0"/>
        <w:autoSpaceDN w:val="0"/>
        <w:bidi w:val="0"/>
        <w:adjustRightInd w:val="0"/>
        <w:snapToGrid/>
        <w:spacing w:line="560" w:lineRule="exact"/>
        <w:ind w:firstLine="600" w:firstLineChars="200"/>
        <w:textAlignment w:val="auto"/>
        <w:rPr>
          <w:rFonts w:hint="eastAsia" w:ascii="方正楷体_GBK" w:hAnsi="方正楷体_GBK" w:eastAsia="方正楷体_GBK" w:cs="方正楷体_GBK"/>
          <w:b w:val="0"/>
          <w:bCs w:val="0"/>
          <w:sz w:val="30"/>
          <w:szCs w:val="30"/>
        </w:rPr>
      </w:pPr>
      <w:r>
        <w:rPr>
          <w:rFonts w:hint="eastAsia" w:ascii="方正楷体_GBK" w:hAnsi="方正楷体_GBK" w:eastAsia="方正楷体_GBK" w:cs="方正楷体_GBK"/>
          <w:b w:val="0"/>
          <w:bCs w:val="0"/>
          <w:sz w:val="30"/>
          <w:szCs w:val="30"/>
        </w:rPr>
        <w:t>（四）参赛选手须知</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1.参赛选手在竞赛前一天由竞赛组委会统一组织到竞赛场地了解竞赛用物、赛室及有关须知事项。</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2.参赛选手持本人身份证、学生证、选手证，提前30分钟进入检录地点进行资格审查，经抽签确定赛位号码。</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3.参赛选手全程必须按规定穿戴好劳动防护服装。选手不得在参赛服饰上作任何标识，违规者取消比赛成绩。</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4.参赛选手竞赛时只能佩戴参赛号码进行报告，不得报告具体学校名称和本人姓名，违规者取消参赛资格。</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5.竞赛开始、终止时由选手举手示意，比赛超时由裁判示意选手终止操作。选手提前结束竞赛后不得再进行任何操作。选手在竞赛过程中不得擅自离开赛场，如遇特殊情况，需经裁判同意后作特殊处理。</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6.参赛选手应严格遵守赛场纪律，服从指挥，依据竞赛组委会指定路线进入和离开赛场。</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7.参赛选手不得携带任何与竞赛相关的资料、课本、U盘、手机和其他通讯工具等进入赛场。</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8.裁判长发出竞赛开始信号后，选手才能操作。竞赛时选手必须遵守操作要求，规范操作，确保安全。竞赛中途不得离开赛场。</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9.竞赛过程中，选手须严格遵守操作流程和规则，并自觉接受裁判的监督和警示。若因突发故障导致竞赛中断，应请示裁判确认其原因,并视具体情况做出裁决。竞赛过程中如遇问题，需举手报告，由评委记录并现场处理。</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10.参赛选手要服从工作人员的管理，接受工作人员的监督和检查。赛场作弊或违反赛场纪律者，取消其参赛资格，成绩以零分计算。</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11.竞赛期间，竞赛选手应服从现场裁判及相关工作人员管理，若对现场裁判评分产生异议，不得与裁判争执、顶撞，但可于规定时限内由领队向竞赛仲裁委员会提出书面申诉，由竞赛仲裁委员会调查核实并处理。</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12．参赛选手需按照竞赛要求提交竞赛结果，裁判长与参赛选手一起签字确认。</w:t>
      </w:r>
    </w:p>
    <w:p>
      <w:pPr>
        <w:keepNext w:val="0"/>
        <w:keepLines w:val="0"/>
        <w:pageBreakBefore w:val="0"/>
        <w:kinsoku/>
        <w:wordWrap/>
        <w:overflowPunct/>
        <w:topLinePunct w:val="0"/>
        <w:bidi w:val="0"/>
        <w:snapToGrid/>
        <w:spacing w:line="560" w:lineRule="exact"/>
        <w:ind w:firstLine="600" w:firstLineChars="200"/>
        <w:jc w:val="left"/>
        <w:textAlignment w:val="auto"/>
        <w:rPr>
          <w:rFonts w:ascii="仿宋_GB2312" w:hAnsi="仿宋" w:eastAsia="仿宋_GB2312" w:cs="仿宋_GB2312"/>
          <w:sz w:val="30"/>
          <w:szCs w:val="30"/>
        </w:rPr>
      </w:pPr>
      <w:r>
        <w:rPr>
          <w:rFonts w:hint="eastAsia" w:ascii="仿宋_GB2312" w:hAnsi="仿宋" w:eastAsia="仿宋_GB2312" w:cs="仿宋_GB2312"/>
          <w:sz w:val="30"/>
          <w:szCs w:val="30"/>
        </w:rPr>
        <w:t>13.参赛选手结束竞赛，经裁判同意方可离开赛场，不得再次进入赛场。选手不得将竞赛所提供的竞赛用品带离场外。</w:t>
      </w:r>
    </w:p>
    <w:sectPr>
      <w:footerReference r:id="rId3" w:type="default"/>
      <w:pgSz w:w="11906" w:h="16838"/>
      <w:pgMar w:top="1644" w:right="1247" w:bottom="1531"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EF605F5-35BD-4AD3-8014-E9135E3304B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7AF0FB3D-552A-4919-8AEA-F21ED446D887}"/>
  </w:font>
  <w:font w:name="仿宋_GB2312">
    <w:altName w:val="仿宋"/>
    <w:panose1 w:val="02010609030101010101"/>
    <w:charset w:val="86"/>
    <w:family w:val="modern"/>
    <w:pitch w:val="default"/>
    <w:sig w:usb0="00000000" w:usb1="00000000" w:usb2="00000000" w:usb3="00000000" w:csb0="00040000" w:csb1="00000000"/>
    <w:embedRegular r:id="rId3" w:fontKey="{A08B1D16-1EDE-49E7-B642-880672C68017}"/>
  </w:font>
  <w:font w:name="Arial Unicode MS">
    <w:altName w:val="宋体"/>
    <w:panose1 w:val="020B0604020202020204"/>
    <w:charset w:val="86"/>
    <w:family w:val="swiss"/>
    <w:pitch w:val="default"/>
    <w:sig w:usb0="00000000" w:usb1="00000000" w:usb2="0000003F" w:usb3="00000000" w:csb0="603F01FF" w:csb1="FFFF0000"/>
  </w:font>
  <w:font w:name="方正小标宋简体">
    <w:panose1 w:val="02000000000000000000"/>
    <w:charset w:val="86"/>
    <w:family w:val="script"/>
    <w:pitch w:val="default"/>
    <w:sig w:usb0="00000001" w:usb1="080E0000" w:usb2="00000000" w:usb3="00000000" w:csb0="00040000" w:csb1="00000000"/>
    <w:embedRegular r:id="rId4" w:fontKey="{2FF8BE23-8391-4DD9-B0A3-9D3881AC1AEE}"/>
  </w:font>
  <w:font w:name="仿宋">
    <w:panose1 w:val="02010609060101010101"/>
    <w:charset w:val="86"/>
    <w:family w:val="modern"/>
    <w:pitch w:val="default"/>
    <w:sig w:usb0="800002BF" w:usb1="38CF7CFA" w:usb2="00000016" w:usb3="00000000" w:csb0="00040001" w:csb1="00000000"/>
    <w:embedRegular r:id="rId5" w:fontKey="{3CAB99FC-E997-496B-A8C9-5305A204334C}"/>
  </w:font>
  <w:font w:name="方正楷体_GBK">
    <w:panose1 w:val="02000000000000000000"/>
    <w:charset w:val="86"/>
    <w:family w:val="auto"/>
    <w:pitch w:val="default"/>
    <w:sig w:usb0="800002BF" w:usb1="38CF7CFA" w:usb2="00000016" w:usb3="00000000" w:csb0="00040000" w:csb1="00000000"/>
    <w:embedRegular r:id="rId6" w:fontKey="{AECCE41A-8B49-4623-B380-96CB5B32B6D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g3ODJhZDQ1NjIzMmEwNDY5ZTA3ZjQ3Yjc4ZGY0MjAifQ=="/>
  </w:docVars>
  <w:rsids>
    <w:rsidRoot w:val="009B7E44"/>
    <w:rsid w:val="00016079"/>
    <w:rsid w:val="00044D81"/>
    <w:rsid w:val="00090A1A"/>
    <w:rsid w:val="00090FAD"/>
    <w:rsid w:val="000B64EA"/>
    <w:rsid w:val="000F43B1"/>
    <w:rsid w:val="001037C7"/>
    <w:rsid w:val="00126155"/>
    <w:rsid w:val="001710EC"/>
    <w:rsid w:val="00197884"/>
    <w:rsid w:val="001E106A"/>
    <w:rsid w:val="00224E58"/>
    <w:rsid w:val="00246707"/>
    <w:rsid w:val="00246CBC"/>
    <w:rsid w:val="0025233D"/>
    <w:rsid w:val="00255CC4"/>
    <w:rsid w:val="00260251"/>
    <w:rsid w:val="002832AD"/>
    <w:rsid w:val="002837EE"/>
    <w:rsid w:val="00297084"/>
    <w:rsid w:val="002B223A"/>
    <w:rsid w:val="002B30AA"/>
    <w:rsid w:val="002B73F5"/>
    <w:rsid w:val="002C0969"/>
    <w:rsid w:val="0030115A"/>
    <w:rsid w:val="0030324F"/>
    <w:rsid w:val="003047B2"/>
    <w:rsid w:val="00312BDC"/>
    <w:rsid w:val="003203D4"/>
    <w:rsid w:val="003A7A85"/>
    <w:rsid w:val="003C198A"/>
    <w:rsid w:val="003C50DA"/>
    <w:rsid w:val="003C61C1"/>
    <w:rsid w:val="003F0017"/>
    <w:rsid w:val="004006B1"/>
    <w:rsid w:val="0042278D"/>
    <w:rsid w:val="00423EC2"/>
    <w:rsid w:val="00464561"/>
    <w:rsid w:val="00480AAB"/>
    <w:rsid w:val="00490CE7"/>
    <w:rsid w:val="004A2DBD"/>
    <w:rsid w:val="004B39A5"/>
    <w:rsid w:val="004B6939"/>
    <w:rsid w:val="00525F2B"/>
    <w:rsid w:val="00564C58"/>
    <w:rsid w:val="00564DF0"/>
    <w:rsid w:val="00571560"/>
    <w:rsid w:val="005940AD"/>
    <w:rsid w:val="005A47D5"/>
    <w:rsid w:val="005B05A1"/>
    <w:rsid w:val="00602E4E"/>
    <w:rsid w:val="00621A80"/>
    <w:rsid w:val="00640CE0"/>
    <w:rsid w:val="006446B2"/>
    <w:rsid w:val="00646B2E"/>
    <w:rsid w:val="00663C37"/>
    <w:rsid w:val="006647BB"/>
    <w:rsid w:val="006C5291"/>
    <w:rsid w:val="006D6FCE"/>
    <w:rsid w:val="006F4A03"/>
    <w:rsid w:val="006F594A"/>
    <w:rsid w:val="00711349"/>
    <w:rsid w:val="0071649B"/>
    <w:rsid w:val="00741240"/>
    <w:rsid w:val="007A0F3A"/>
    <w:rsid w:val="007C0B9D"/>
    <w:rsid w:val="007C68F1"/>
    <w:rsid w:val="008175BF"/>
    <w:rsid w:val="00821186"/>
    <w:rsid w:val="008361DC"/>
    <w:rsid w:val="0084675B"/>
    <w:rsid w:val="008544AF"/>
    <w:rsid w:val="00867153"/>
    <w:rsid w:val="008745EF"/>
    <w:rsid w:val="00885C57"/>
    <w:rsid w:val="008A416A"/>
    <w:rsid w:val="008A4896"/>
    <w:rsid w:val="008B19DC"/>
    <w:rsid w:val="008E4D47"/>
    <w:rsid w:val="009154FC"/>
    <w:rsid w:val="009234B6"/>
    <w:rsid w:val="00970C26"/>
    <w:rsid w:val="009848CD"/>
    <w:rsid w:val="009961F7"/>
    <w:rsid w:val="009B7E44"/>
    <w:rsid w:val="009F2AB0"/>
    <w:rsid w:val="00A61143"/>
    <w:rsid w:val="00A738CB"/>
    <w:rsid w:val="00A95D02"/>
    <w:rsid w:val="00AF1050"/>
    <w:rsid w:val="00B26C98"/>
    <w:rsid w:val="00B55E63"/>
    <w:rsid w:val="00B55E81"/>
    <w:rsid w:val="00B673BF"/>
    <w:rsid w:val="00B731B7"/>
    <w:rsid w:val="00B80894"/>
    <w:rsid w:val="00BB2BC5"/>
    <w:rsid w:val="00BB62D2"/>
    <w:rsid w:val="00BC1421"/>
    <w:rsid w:val="00BD2622"/>
    <w:rsid w:val="00BE521B"/>
    <w:rsid w:val="00BF18F5"/>
    <w:rsid w:val="00C3699E"/>
    <w:rsid w:val="00C80426"/>
    <w:rsid w:val="00C81223"/>
    <w:rsid w:val="00C81BC6"/>
    <w:rsid w:val="00C931F8"/>
    <w:rsid w:val="00CA11C1"/>
    <w:rsid w:val="00CA71E3"/>
    <w:rsid w:val="00CC6BB8"/>
    <w:rsid w:val="00CD7995"/>
    <w:rsid w:val="00CF21F2"/>
    <w:rsid w:val="00CF5A2A"/>
    <w:rsid w:val="00D00771"/>
    <w:rsid w:val="00D15A2C"/>
    <w:rsid w:val="00D355F3"/>
    <w:rsid w:val="00DA15AB"/>
    <w:rsid w:val="00DC760B"/>
    <w:rsid w:val="00DE2B93"/>
    <w:rsid w:val="00DF68B8"/>
    <w:rsid w:val="00E11D33"/>
    <w:rsid w:val="00E4087F"/>
    <w:rsid w:val="00E56243"/>
    <w:rsid w:val="00E6481F"/>
    <w:rsid w:val="00E97EB8"/>
    <w:rsid w:val="00ED6426"/>
    <w:rsid w:val="00EE10E8"/>
    <w:rsid w:val="00F174A5"/>
    <w:rsid w:val="00F217B3"/>
    <w:rsid w:val="00F72432"/>
    <w:rsid w:val="00F75412"/>
    <w:rsid w:val="00F91047"/>
    <w:rsid w:val="00FC4935"/>
    <w:rsid w:val="00FF0CF5"/>
    <w:rsid w:val="00FF2929"/>
    <w:rsid w:val="01233096"/>
    <w:rsid w:val="01A820F0"/>
    <w:rsid w:val="01D803E5"/>
    <w:rsid w:val="035E4B9B"/>
    <w:rsid w:val="036B4EE3"/>
    <w:rsid w:val="0378154F"/>
    <w:rsid w:val="05A27D04"/>
    <w:rsid w:val="062A7D2E"/>
    <w:rsid w:val="08385CAD"/>
    <w:rsid w:val="090B4FEE"/>
    <w:rsid w:val="0B244286"/>
    <w:rsid w:val="0C967A01"/>
    <w:rsid w:val="0DFE0144"/>
    <w:rsid w:val="1146477A"/>
    <w:rsid w:val="11643D29"/>
    <w:rsid w:val="13616EEE"/>
    <w:rsid w:val="154716B1"/>
    <w:rsid w:val="19E8509B"/>
    <w:rsid w:val="1AC83294"/>
    <w:rsid w:val="1D835251"/>
    <w:rsid w:val="201D7FA2"/>
    <w:rsid w:val="20943C19"/>
    <w:rsid w:val="21CF4567"/>
    <w:rsid w:val="276722C2"/>
    <w:rsid w:val="296F0D7F"/>
    <w:rsid w:val="2E4E5407"/>
    <w:rsid w:val="2EF7419D"/>
    <w:rsid w:val="2FEE3691"/>
    <w:rsid w:val="321F61DB"/>
    <w:rsid w:val="32812D59"/>
    <w:rsid w:val="347507BC"/>
    <w:rsid w:val="357D013E"/>
    <w:rsid w:val="35EA3F52"/>
    <w:rsid w:val="37C20528"/>
    <w:rsid w:val="380A6F80"/>
    <w:rsid w:val="38705A4C"/>
    <w:rsid w:val="39396CC6"/>
    <w:rsid w:val="39D35137"/>
    <w:rsid w:val="3AE570F3"/>
    <w:rsid w:val="3B960E71"/>
    <w:rsid w:val="4119503B"/>
    <w:rsid w:val="41E66539"/>
    <w:rsid w:val="43B434CC"/>
    <w:rsid w:val="442368DB"/>
    <w:rsid w:val="44452597"/>
    <w:rsid w:val="45C442C3"/>
    <w:rsid w:val="46C422B2"/>
    <w:rsid w:val="47641F77"/>
    <w:rsid w:val="48991F9B"/>
    <w:rsid w:val="498A233A"/>
    <w:rsid w:val="4CDE62BF"/>
    <w:rsid w:val="4FC15712"/>
    <w:rsid w:val="505E4681"/>
    <w:rsid w:val="51006381"/>
    <w:rsid w:val="516F7C07"/>
    <w:rsid w:val="51D25E2A"/>
    <w:rsid w:val="522A71FC"/>
    <w:rsid w:val="53466CCD"/>
    <w:rsid w:val="538A6632"/>
    <w:rsid w:val="55313209"/>
    <w:rsid w:val="555A764D"/>
    <w:rsid w:val="55A84C13"/>
    <w:rsid w:val="59996BAE"/>
    <w:rsid w:val="5A6E56FF"/>
    <w:rsid w:val="5B00231A"/>
    <w:rsid w:val="5B547C51"/>
    <w:rsid w:val="5BCD17B1"/>
    <w:rsid w:val="5FBA3DFB"/>
    <w:rsid w:val="5FE23DB0"/>
    <w:rsid w:val="619A5CEE"/>
    <w:rsid w:val="632A1297"/>
    <w:rsid w:val="66BC1CB0"/>
    <w:rsid w:val="67766536"/>
    <w:rsid w:val="6D853C9A"/>
    <w:rsid w:val="6F4045D6"/>
    <w:rsid w:val="71397E06"/>
    <w:rsid w:val="717C6991"/>
    <w:rsid w:val="72F84F0E"/>
    <w:rsid w:val="72FF3B9C"/>
    <w:rsid w:val="74C66318"/>
    <w:rsid w:val="7B4F58E7"/>
    <w:rsid w:val="7C973296"/>
    <w:rsid w:val="7EB421E3"/>
    <w:rsid w:val="7ED22AB7"/>
    <w:rsid w:val="BDFA731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2"/>
    <w:basedOn w:val="1"/>
    <w:next w:val="1"/>
    <w:qFormat/>
    <w:uiPriority w:val="0"/>
    <w:pPr>
      <w:ind w:left="120"/>
      <w:outlineLvl w:val="1"/>
    </w:pPr>
    <w:rPr>
      <w:rFonts w:ascii="宋体" w:hAnsi="宋体"/>
      <w:b/>
      <w:bCs/>
      <w:sz w:val="32"/>
      <w:szCs w:val="32"/>
    </w:rPr>
  </w:style>
  <w:style w:type="paragraph" w:styleId="6">
    <w:name w:val="heading 4"/>
    <w:basedOn w:val="1"/>
    <w:next w:val="1"/>
    <w:link w:val="20"/>
    <w:qFormat/>
    <w:uiPriority w:val="9"/>
    <w:pPr>
      <w:widowControl/>
      <w:spacing w:before="100" w:beforeAutospacing="1" w:after="100" w:afterAutospacing="1"/>
      <w:jc w:val="left"/>
      <w:outlineLvl w:val="3"/>
    </w:pPr>
    <w:rPr>
      <w:rFonts w:ascii="宋体" w:hAnsi="宋体" w:cs="宋体"/>
      <w:b/>
      <w:bCs/>
      <w:kern w:val="0"/>
      <w:sz w:val="24"/>
      <w:szCs w:val="2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next w:val="4"/>
    <w:link w:val="16"/>
    <w:qFormat/>
    <w:uiPriority w:val="0"/>
    <w:pPr>
      <w:widowControl/>
      <w:spacing w:after="120" w:line="360" w:lineRule="auto"/>
    </w:pPr>
    <w:rPr>
      <w:rFonts w:ascii="Times New Roman" w:hAnsi="Times New Roman"/>
      <w:kern w:val="0"/>
      <w:sz w:val="20"/>
      <w:szCs w:val="24"/>
    </w:rPr>
  </w:style>
  <w:style w:type="paragraph" w:customStyle="1" w:styleId="4">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 w:type="paragraph" w:styleId="7">
    <w:name w:val="Body Text Indent"/>
    <w:basedOn w:val="1"/>
    <w:semiHidden/>
    <w:unhideWhenUsed/>
    <w:qFormat/>
    <w:uiPriority w:val="99"/>
    <w:pPr>
      <w:spacing w:after="120"/>
      <w:ind w:left="420" w:leftChars="200"/>
    </w:pPr>
  </w:style>
  <w:style w:type="paragraph" w:styleId="8">
    <w:name w:val="footer"/>
    <w:basedOn w:val="1"/>
    <w:link w:val="15"/>
    <w:unhideWhenUsed/>
    <w:qFormat/>
    <w:uiPriority w:val="99"/>
    <w:pPr>
      <w:tabs>
        <w:tab w:val="center" w:pos="4153"/>
        <w:tab w:val="right" w:pos="8306"/>
      </w:tabs>
      <w:snapToGrid w:val="0"/>
      <w:jc w:val="left"/>
    </w:pPr>
    <w:rPr>
      <w:sz w:val="18"/>
      <w:szCs w:val="18"/>
    </w:rPr>
  </w:style>
  <w:style w:type="paragraph" w:styleId="9">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First Indent 2"/>
    <w:basedOn w:val="7"/>
    <w:unhideWhenUsed/>
    <w:qFormat/>
    <w:uiPriority w:val="99"/>
    <w:pPr>
      <w:ind w:firstLine="420" w:firstLineChars="200"/>
    </w:p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页眉 字符"/>
    <w:basedOn w:val="13"/>
    <w:link w:val="9"/>
    <w:qFormat/>
    <w:uiPriority w:val="99"/>
    <w:rPr>
      <w:sz w:val="18"/>
      <w:szCs w:val="18"/>
    </w:rPr>
  </w:style>
  <w:style w:type="character" w:customStyle="1" w:styleId="15">
    <w:name w:val="页脚 字符"/>
    <w:basedOn w:val="13"/>
    <w:link w:val="8"/>
    <w:qFormat/>
    <w:uiPriority w:val="99"/>
    <w:rPr>
      <w:sz w:val="18"/>
      <w:szCs w:val="18"/>
    </w:rPr>
  </w:style>
  <w:style w:type="character" w:customStyle="1" w:styleId="16">
    <w:name w:val="正文文本 字符"/>
    <w:basedOn w:val="13"/>
    <w:link w:val="3"/>
    <w:qFormat/>
    <w:uiPriority w:val="0"/>
    <w:rPr>
      <w:rFonts w:ascii="Times New Roman" w:hAnsi="Times New Roman" w:eastAsia="宋体" w:cs="Times New Roman"/>
      <w:kern w:val="0"/>
      <w:sz w:val="20"/>
      <w:szCs w:val="24"/>
    </w:rPr>
  </w:style>
  <w:style w:type="paragraph" w:styleId="17">
    <w:name w:val="List Paragraph"/>
    <w:basedOn w:val="1"/>
    <w:qFormat/>
    <w:uiPriority w:val="34"/>
    <w:pPr>
      <w:ind w:firstLine="420" w:firstLineChars="200"/>
    </w:pPr>
  </w:style>
  <w:style w:type="paragraph" w:customStyle="1" w:styleId="18">
    <w:name w:val="Table Paragraph"/>
    <w:basedOn w:val="1"/>
    <w:qFormat/>
    <w:uiPriority w:val="0"/>
    <w:rPr>
      <w:rFonts w:ascii="宋体" w:hAnsi="宋体" w:cs="宋体"/>
    </w:rPr>
  </w:style>
  <w:style w:type="paragraph" w:customStyle="1" w:styleId="19">
    <w:name w:val="正文 A"/>
    <w:qFormat/>
    <w:uiPriority w:val="0"/>
    <w:pPr>
      <w:widowControl w:val="0"/>
      <w:jc w:val="both"/>
    </w:pPr>
    <w:rPr>
      <w:rFonts w:ascii="Times New Roman" w:hAnsi="Times New Roman" w:eastAsia="Arial Unicode MS" w:cs="Arial Unicode MS"/>
      <w:color w:val="000000"/>
      <w:kern w:val="2"/>
      <w:sz w:val="21"/>
      <w:szCs w:val="21"/>
      <w:lang w:val="en-US" w:eastAsia="zh-CN" w:bidi="ar-SA"/>
    </w:rPr>
  </w:style>
  <w:style w:type="character" w:customStyle="1" w:styleId="20">
    <w:name w:val="标题 4 字符"/>
    <w:basedOn w:val="13"/>
    <w:link w:val="6"/>
    <w:qFormat/>
    <w:uiPriority w:val="9"/>
    <w:rPr>
      <w:rFonts w:ascii="宋体" w:hAnsi="宋体" w:eastAsia="宋体" w:cs="宋体"/>
      <w:b/>
      <w:bCs/>
      <w:kern w:val="0"/>
      <w:sz w:val="24"/>
      <w:szCs w:val="24"/>
    </w:rPr>
  </w:style>
  <w:style w:type="paragraph" w:customStyle="1" w:styleId="21">
    <w:name w:val="副标题1"/>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24</Pages>
  <Words>1709</Words>
  <Characters>9744</Characters>
  <Lines>81</Lines>
  <Paragraphs>22</Paragraphs>
  <TotalTime>18</TotalTime>
  <ScaleCrop>false</ScaleCrop>
  <LinksUpToDate>false</LinksUpToDate>
  <CharactersWithSpaces>11431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2023-11-10T08:53:00Z</dcterms:created>
  <dc:creator>MicroSoft</dc:creator>
  <cp:lastModifiedBy>蜜宝611</cp:lastModifiedBy>
  <dcterms:modified xsi:type="dcterms:W3CDTF">2023-11-25T02:00:07Z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0F56C98E64A1480DA3A6D90A2F54CFD2_13</vt:lpwstr>
  </property>
</Properties>
</file>