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7169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2024年河南省高</w:t>
      </w:r>
      <w:bookmarkStart w:id="27" w:name="_GoBack"/>
      <w:bookmarkEnd w:id="27"/>
      <w:r>
        <w:rPr>
          <w:rFonts w:hint="eastAsia" w:ascii="黑体" w:hAnsi="黑体" w:eastAsia="黑体" w:cs="黑体"/>
          <w:b/>
          <w:bCs/>
          <w:kern w:val="2"/>
          <w:sz w:val="36"/>
          <w:szCs w:val="36"/>
          <w:lang w:val="en-US" w:eastAsia="zh-CN"/>
        </w:rPr>
        <w:t>等职业教育技能大赛</w:t>
      </w:r>
    </w:p>
    <w:p w14:paraId="3A238BE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装配式建筑智能建造赛项竞赛试题</w:t>
      </w:r>
    </w:p>
    <w:p w14:paraId="28916856">
      <w:pPr>
        <w:widowControl w:val="0"/>
        <w:ind w:firstLine="0" w:firstLineChars="0"/>
        <w:jc w:val="center"/>
        <w:rPr>
          <w:rFonts w:hint="default" w:ascii="宋体" w:hAnsi="宋体" w:eastAsia="宋体" w:cs="宋体"/>
          <w:b/>
          <w:bCs/>
          <w:color w:val="auto"/>
          <w:kern w:val="2"/>
          <w:sz w:val="30"/>
          <w:szCs w:val="30"/>
          <w:highlight w:val="none"/>
          <w:lang w:val="en-US" w:eastAsia="zh-CN"/>
        </w:rPr>
      </w:pPr>
      <w:r>
        <w:rPr>
          <w:rFonts w:hint="eastAsia" w:ascii="宋体" w:hAnsi="宋体" w:eastAsia="宋体" w:cs="宋体"/>
          <w:sz w:val="24"/>
          <w:szCs w:val="24"/>
          <w:lang w:val="en-US" w:eastAsia="zh-CN"/>
        </w:rPr>
        <w:t>(</w:t>
      </w:r>
      <w:r>
        <w:rPr>
          <w:rFonts w:ascii="宋体" w:hAnsi="宋体" w:eastAsia="宋体" w:cs="宋体"/>
          <w:sz w:val="24"/>
          <w:szCs w:val="24"/>
        </w:rPr>
        <w:t>竞赛前在</w:t>
      </w:r>
      <w:r>
        <w:rPr>
          <w:rFonts w:hint="eastAsia" w:ascii="宋体" w:hAnsi="宋体" w:eastAsia="宋体" w:cs="宋体"/>
          <w:sz w:val="24"/>
          <w:szCs w:val="24"/>
          <w:lang w:val="en-US" w:eastAsia="zh-CN"/>
        </w:rPr>
        <w:t>已公布的任务书</w:t>
      </w:r>
      <w:r>
        <w:rPr>
          <w:rFonts w:ascii="宋体" w:hAnsi="宋体" w:eastAsia="宋体" w:cs="宋体"/>
          <w:sz w:val="24"/>
          <w:szCs w:val="24"/>
        </w:rPr>
        <w:t>基础上修改不超过30%作为最终的竞赛试题。</w:t>
      </w:r>
      <w:r>
        <w:rPr>
          <w:rFonts w:hint="eastAsia" w:ascii="宋体" w:hAnsi="宋体" w:eastAsia="宋体" w:cs="宋体"/>
          <w:sz w:val="24"/>
          <w:szCs w:val="24"/>
          <w:lang w:val="en-US" w:eastAsia="zh-CN"/>
        </w:rPr>
        <w:t>)</w:t>
      </w:r>
    </w:p>
    <w:p w14:paraId="15891F39">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黑体" w:hAnsi="黑体" w:eastAsia="黑体" w:cs="黑体"/>
          <w:b/>
          <w:bCs/>
          <w:kern w:val="2"/>
          <w:sz w:val="30"/>
          <w:szCs w:val="30"/>
          <w:lang w:val="en-US" w:eastAsia="zh-CN"/>
        </w:rPr>
      </w:pPr>
      <w:r>
        <w:rPr>
          <w:rFonts w:hint="eastAsia" w:ascii="黑体" w:hAnsi="黑体" w:eastAsia="黑体" w:cs="黑体"/>
          <w:b/>
          <w:bCs/>
          <w:kern w:val="2"/>
          <w:sz w:val="30"/>
          <w:szCs w:val="30"/>
          <w:lang w:val="en-US" w:eastAsia="zh-CN"/>
        </w:rPr>
        <w:t>任务一：理论部分（满分100分）</w:t>
      </w:r>
    </w:p>
    <w:p w14:paraId="7EE64511">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default"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一、单项选择题（共60小题，每小题1分，共60分，其中1-20题请根据任务二附图作答）</w:t>
      </w:r>
    </w:p>
    <w:p w14:paraId="060DC1A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1.本工程的结构类型为</w:t>
      </w:r>
      <w:r>
        <w:rPr>
          <w:rFonts w:hint="eastAsia" w:ascii="宋体" w:hAnsi="宋体" w:eastAsia="宋体" w:cs="宋体"/>
          <w:color w:val="auto"/>
          <w:sz w:val="24"/>
          <w:szCs w:val="24"/>
          <w:lang w:val="en-US" w:eastAsia="zh-CN"/>
        </w:rPr>
        <w:t>(    )</w:t>
      </w:r>
    </w:p>
    <w:p w14:paraId="6EDB4AF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A.装配整体式剪力墙结构</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B.框剪结构</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C.框架结构</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D.剪力墙结构</w:t>
      </w:r>
    </w:p>
    <w:p w14:paraId="046C609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09B025B6">
      <w:pPr>
        <w:pStyle w:val="4"/>
        <w:keepNext w:val="0"/>
        <w:keepLines w:val="0"/>
        <w:pageBreakBefore w:val="0"/>
        <w:widowControl/>
        <w:kinsoku/>
        <w:wordWrap/>
        <w:overflowPunct/>
        <w:topLinePunct w:val="0"/>
        <w:autoSpaceDE/>
        <w:autoSpaceDN/>
        <w:bidi w:val="0"/>
        <w:adjustRightInd/>
        <w:snapToGrid/>
        <w:spacing w:line="49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2.本工程ST30-24吊点加强筋数量为</w:t>
      </w:r>
      <w:r>
        <w:rPr>
          <w:rFonts w:hint="eastAsia" w:ascii="宋体" w:hAnsi="宋体" w:eastAsia="宋体" w:cs="宋体"/>
          <w:color w:val="auto"/>
          <w:sz w:val="24"/>
          <w:szCs w:val="24"/>
          <w:lang w:val="en-US" w:eastAsia="zh-CN"/>
        </w:rPr>
        <w:t>(    )</w:t>
      </w:r>
    </w:p>
    <w:p w14:paraId="11C8DAD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A.8根</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B.10根</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C.9根</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D.6根</w:t>
      </w:r>
    </w:p>
    <w:p w14:paraId="4CE6E35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10F4553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3.本工程ST30-24下部纵筋①号钢筋重量为</w:t>
      </w:r>
      <w:r>
        <w:rPr>
          <w:rFonts w:hint="eastAsia" w:ascii="宋体" w:hAnsi="宋体" w:eastAsia="宋体" w:cs="宋体"/>
          <w:color w:val="auto"/>
          <w:sz w:val="24"/>
          <w:szCs w:val="24"/>
          <w:lang w:val="en-US" w:eastAsia="zh-CN"/>
        </w:rPr>
        <w:t>(    )</w:t>
      </w:r>
    </w:p>
    <w:p w14:paraId="7B985A9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A.14.31T</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B.8.35T</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C.9.99T</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D.14.29T</w:t>
      </w:r>
    </w:p>
    <w:p w14:paraId="5E281F4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397A3B5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4.本工程5层KL28梁顶标高比所在楼层高</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w:t>
      </w:r>
    </w:p>
    <w:p w14:paraId="03FE4A7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A.0.040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B.0.030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C.0.050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D.0.020</w:t>
      </w:r>
    </w:p>
    <w:p w14:paraId="18FA1DC0">
      <w:pPr>
        <w:pStyle w:val="4"/>
        <w:keepNext w:val="0"/>
        <w:keepLines w:val="0"/>
        <w:pageBreakBefore w:val="0"/>
        <w:widowControl/>
        <w:kinsoku/>
        <w:wordWrap/>
        <w:overflowPunct/>
        <w:topLinePunct w:val="0"/>
        <w:autoSpaceDE/>
        <w:autoSpaceDN/>
        <w:bidi w:val="0"/>
        <w:adjustRightInd/>
        <w:snapToGrid/>
        <w:spacing w:line="490" w:lineRule="exact"/>
        <w:ind w:left="0" w:leftChars="0" w:firstLine="0" w:firstLineChars="0"/>
        <w:textAlignment w:val="auto"/>
        <w:rPr>
          <w:rFonts w:hint="eastAsia" w:ascii="宋体" w:hAnsi="宋体" w:eastAsia="宋体" w:cs="宋体"/>
          <w:color w:val="auto"/>
          <w:kern w:val="2"/>
          <w:sz w:val="24"/>
          <w:szCs w:val="24"/>
          <w:highlight w:val="none"/>
          <w:lang w:val="en-US" w:eastAsia="zh-CN" w:bidi="ar-SA"/>
        </w:rPr>
      </w:pPr>
    </w:p>
    <w:p w14:paraId="039750D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5.本工程XL1在8层的梁顶面标高为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w:t>
      </w:r>
    </w:p>
    <w:p w14:paraId="7E39480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A.24.890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B.21.890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C.21.980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D.18.890</w:t>
      </w:r>
    </w:p>
    <w:p w14:paraId="27B8028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462145A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6.本工程KZ1a的角筋直径为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2704E13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A.22</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B.18</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C.16</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D.20</w:t>
      </w:r>
    </w:p>
    <w:p w14:paraId="201115A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56CAB0E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7.本工程预制板接缝做法采用135°弯钩连接形式，预制板间后浇带的接缝宽度为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mm，伸出接缝的钢筋水平段长度为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117AEE3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A.300  290      B.300  300      C.300  280     D.300  305</w:t>
      </w:r>
    </w:p>
    <w:p w14:paraId="3C495AE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8.本工程预制板楼板的预制层厚度为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46090AB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A.80     B.70     C.60     D.130</w:t>
      </w:r>
    </w:p>
    <w:p w14:paraId="5E1678C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23C36E4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9.本工程PCB1板底钢筋间距为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29C5F47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A.180     B.150     C.200     D.140</w:t>
      </w:r>
    </w:p>
    <w:p w14:paraId="161F9414">
      <w:pPr>
        <w:pStyle w:val="4"/>
        <w:keepNext w:val="0"/>
        <w:keepLines w:val="0"/>
        <w:pageBreakBefore w:val="0"/>
        <w:widowControl/>
        <w:kinsoku/>
        <w:wordWrap/>
        <w:overflowPunct/>
        <w:topLinePunct w:val="0"/>
        <w:autoSpaceDE/>
        <w:autoSpaceDN/>
        <w:bidi w:val="0"/>
        <w:adjustRightInd/>
        <w:snapToGrid/>
        <w:spacing w:line="490" w:lineRule="exact"/>
        <w:ind w:left="0" w:leftChars="0" w:firstLine="0" w:firstLineChars="0"/>
        <w:textAlignment w:val="auto"/>
        <w:rPr>
          <w:rFonts w:hint="eastAsia" w:ascii="宋体" w:hAnsi="宋体" w:eastAsia="宋体" w:cs="宋体"/>
          <w:color w:val="auto"/>
          <w:kern w:val="2"/>
          <w:sz w:val="24"/>
          <w:szCs w:val="24"/>
          <w:highlight w:val="none"/>
          <w:lang w:val="en-US" w:eastAsia="zh-CN" w:bidi="ar-SA"/>
        </w:rPr>
      </w:pPr>
    </w:p>
    <w:p w14:paraId="1708E89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10.本工程PCLT1的重量为</w:t>
      </w:r>
      <w:r>
        <w:rPr>
          <w:rFonts w:hint="eastAsia" w:ascii="宋体" w:hAnsi="宋体" w:eastAsia="宋体" w:cs="宋体"/>
          <w:color w:val="auto"/>
          <w:sz w:val="24"/>
          <w:szCs w:val="24"/>
          <w:lang w:val="en-US" w:eastAsia="zh-CN"/>
        </w:rPr>
        <w:t>(    )</w:t>
      </w:r>
    </w:p>
    <w:p w14:paraId="4C6A61B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A.1.925t</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B.1.915t</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C.1.935t</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D.1.945t </w:t>
      </w:r>
    </w:p>
    <w:p w14:paraId="1438B87B">
      <w:pPr>
        <w:pStyle w:val="4"/>
        <w:keepNext w:val="0"/>
        <w:keepLines w:val="0"/>
        <w:pageBreakBefore w:val="0"/>
        <w:widowControl/>
        <w:kinsoku/>
        <w:wordWrap/>
        <w:overflowPunct/>
        <w:topLinePunct w:val="0"/>
        <w:autoSpaceDE/>
        <w:autoSpaceDN/>
        <w:bidi w:val="0"/>
        <w:adjustRightInd/>
        <w:snapToGrid/>
        <w:spacing w:line="490" w:lineRule="exact"/>
        <w:ind w:left="0" w:leftChars="0" w:firstLine="0" w:firstLineChars="0"/>
        <w:textAlignment w:val="auto"/>
        <w:rPr>
          <w:rFonts w:hint="eastAsia" w:ascii="宋体" w:hAnsi="宋体" w:eastAsia="宋体" w:cs="宋体"/>
          <w:color w:val="auto"/>
          <w:kern w:val="2"/>
          <w:sz w:val="24"/>
          <w:szCs w:val="24"/>
          <w:highlight w:val="none"/>
          <w:lang w:val="en-US" w:eastAsia="zh-CN" w:bidi="ar-SA"/>
        </w:rPr>
      </w:pPr>
    </w:p>
    <w:p w14:paraId="01D39FB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11.本工程PCLT1分布筋的间距为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10F77E7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A.150      B.180    C.160   D.120</w:t>
      </w:r>
    </w:p>
    <w:p w14:paraId="180A179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0AEBE81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12.本工程上部结构的嵌固部位标高为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w:t>
      </w:r>
    </w:p>
    <w:p w14:paraId="1996F44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A.6.890     B.3.890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C.-0.100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D.-5.280</w:t>
      </w:r>
    </w:p>
    <w:p w14:paraId="694FB0C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1F292C3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13.本工程六层阳台板的板顶标高为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w:t>
      </w:r>
    </w:p>
    <w:p w14:paraId="163F416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A.15.890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B.18.890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C.15.920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D.12.890</w:t>
      </w:r>
    </w:p>
    <w:p w14:paraId="0F2E1EE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03DE020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14.本工程PCB2叠合层厚度为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0DCCC62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A.60      B.70      C.150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D.130</w:t>
      </w:r>
    </w:p>
    <w:p w14:paraId="5461222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49D4B9E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15.本工程预制梯板的厚度为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1B33C9A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A.120     B.140    C.130    D.200</w:t>
      </w:r>
    </w:p>
    <w:p w14:paraId="0D2056B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3EF49A0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16.本工程预制楼梯的配筋为</w:t>
      </w:r>
      <w:r>
        <w:rPr>
          <w:rFonts w:hint="eastAsia" w:ascii="宋体" w:hAnsi="宋体" w:eastAsia="宋体" w:cs="宋体"/>
          <w:color w:val="auto"/>
          <w:sz w:val="24"/>
          <w:szCs w:val="24"/>
          <w:lang w:val="en-US" w:eastAsia="zh-CN"/>
        </w:rPr>
        <w:t>(    )</w:t>
      </w:r>
    </w:p>
    <w:p w14:paraId="4B46D46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A.板底：C12@150；板面：C8@150        B.板底：C12@120；板面：C10@200     </w:t>
      </w:r>
    </w:p>
    <w:p w14:paraId="77C276E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C.板底：C8@200； 板面：C10@140      D.板底：C10@140；板面：C8@200</w:t>
      </w:r>
    </w:p>
    <w:p w14:paraId="4BAB303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2820BD1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17</w:t>
      </w:r>
      <w:bookmarkStart w:id="0" w:name="OLE_LINK6"/>
      <w:r>
        <w:rPr>
          <w:rFonts w:hint="eastAsia" w:ascii="宋体" w:hAnsi="宋体" w:eastAsia="宋体" w:cs="宋体"/>
          <w:color w:val="auto"/>
          <w:kern w:val="2"/>
          <w:sz w:val="24"/>
          <w:szCs w:val="24"/>
          <w:highlight w:val="none"/>
          <w:lang w:val="en-US" w:eastAsia="zh-CN" w:bidi="ar-SA"/>
        </w:rPr>
        <w:t>.本工程预制楼梯的挑耳设置在楼梯的</w:t>
      </w:r>
      <w:r>
        <w:rPr>
          <w:rFonts w:hint="eastAsia" w:ascii="宋体" w:hAnsi="宋体" w:eastAsia="宋体" w:cs="宋体"/>
          <w:color w:val="auto"/>
          <w:sz w:val="24"/>
          <w:szCs w:val="24"/>
          <w:lang w:val="en-US" w:eastAsia="zh-CN"/>
        </w:rPr>
        <w:t>(    )</w:t>
      </w:r>
    </w:p>
    <w:p w14:paraId="043D644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A.高端  非梯井侧</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B.低端  梯井侧    </w:t>
      </w:r>
    </w:p>
    <w:p w14:paraId="2D71FE0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C.高端  梯井侧        D.低端  非梯井侧</w:t>
      </w:r>
    </w:p>
    <w:bookmarkEnd w:id="0"/>
    <w:p w14:paraId="4284F571">
      <w:pPr>
        <w:pStyle w:val="4"/>
        <w:keepNext w:val="0"/>
        <w:keepLines w:val="0"/>
        <w:pageBreakBefore w:val="0"/>
        <w:widowControl/>
        <w:kinsoku/>
        <w:wordWrap/>
        <w:overflowPunct/>
        <w:topLinePunct w:val="0"/>
        <w:autoSpaceDE/>
        <w:autoSpaceDN/>
        <w:bidi w:val="0"/>
        <w:adjustRightInd/>
        <w:snapToGrid/>
        <w:spacing w:line="490" w:lineRule="exact"/>
        <w:textAlignment w:val="auto"/>
        <w:rPr>
          <w:rFonts w:hint="eastAsia" w:ascii="宋体" w:hAnsi="宋体" w:eastAsia="宋体" w:cs="宋体"/>
          <w:color w:val="auto"/>
          <w:kern w:val="2"/>
          <w:sz w:val="24"/>
          <w:szCs w:val="24"/>
          <w:highlight w:val="none"/>
          <w:lang w:val="en-US" w:eastAsia="zh-CN" w:bidi="ar-SA"/>
        </w:rPr>
      </w:pPr>
    </w:p>
    <w:p w14:paraId="70112BC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18.本工程LL4在8层的梁底标高为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w:t>
      </w:r>
    </w:p>
    <w:p w14:paraId="439F756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A.21.890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B.21.350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C.21.690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D.18.800</w:t>
      </w:r>
    </w:p>
    <w:p w14:paraId="1929F87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1DC901F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19.本工程GBZ7a的纵筋配置是</w:t>
      </w:r>
      <w:r>
        <w:rPr>
          <w:rFonts w:hint="eastAsia" w:ascii="宋体" w:hAnsi="宋体" w:eastAsia="宋体" w:cs="宋体"/>
          <w:color w:val="auto"/>
          <w:sz w:val="24"/>
          <w:szCs w:val="24"/>
          <w:lang w:val="en-US" w:eastAsia="zh-CN"/>
        </w:rPr>
        <w:t>(    )</w:t>
      </w:r>
    </w:p>
    <w:p w14:paraId="2F9BFCB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A.6C14+12C12</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B.6C16+12C12</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C.6C22+12C12</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D.6C22+12C10 </w:t>
      </w:r>
    </w:p>
    <w:p w14:paraId="1431F60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22409AB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bookmarkStart w:id="1" w:name="OLE_LINK5"/>
      <w:r>
        <w:rPr>
          <w:rFonts w:hint="eastAsia" w:ascii="宋体" w:hAnsi="宋体" w:eastAsia="宋体" w:cs="宋体"/>
          <w:color w:val="auto"/>
          <w:kern w:val="2"/>
          <w:sz w:val="24"/>
          <w:szCs w:val="24"/>
          <w:highlight w:val="none"/>
          <w:lang w:val="en-US" w:eastAsia="zh-CN" w:bidi="ar-SA"/>
        </w:rPr>
        <w:t>20.本工程剪力墙抗震等级为</w:t>
      </w:r>
      <w:r>
        <w:rPr>
          <w:rFonts w:hint="eastAsia" w:ascii="宋体" w:hAnsi="宋体" w:eastAsia="宋体" w:cs="宋体"/>
          <w:color w:val="auto"/>
          <w:sz w:val="24"/>
          <w:szCs w:val="24"/>
          <w:lang w:val="en-US" w:eastAsia="zh-CN"/>
        </w:rPr>
        <w:t>(    )</w:t>
      </w:r>
    </w:p>
    <w:p w14:paraId="0C67F55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A.二级</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B.三级</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C.一级</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D.四级  </w:t>
      </w:r>
    </w:p>
    <w:bookmarkEnd w:id="1"/>
    <w:p w14:paraId="076AFA0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19CA268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21.国务院办公厅《关于大力发展装配式建筑的指导意见》的重点任务中提出, 统筹建筑结构、机电设备、部品部件、装配施工、装饰装修，推行装配式建筑</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539C493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A.深化设计</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B.正向设计</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C.协同设计</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D.一体化集成设计 </w:t>
      </w:r>
    </w:p>
    <w:p w14:paraId="6F0473D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31591D2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22.我国装配式建筑发展大力推行 EPC 管理模式，其中EPC指的是</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7B485AD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A.施工装配一体化</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B.工程总承包</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C.项目总承包</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D.设计标准化 </w:t>
      </w:r>
    </w:p>
    <w:p w14:paraId="54C921F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3A35D2C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23.灌浆操作施工时，应做好灌浆作业的视频资料，质量检验人员进行全程施工质量检查，能提供</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记录。 </w:t>
      </w:r>
    </w:p>
    <w:p w14:paraId="4B76B78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A.灌浆料强度报告                  B.灌浆套筒型式检验报告     </w:t>
      </w:r>
    </w:p>
    <w:p w14:paraId="009B837B">
      <w:pPr>
        <w:pStyle w:val="4"/>
        <w:keepNext w:val="0"/>
        <w:keepLines w:val="0"/>
        <w:pageBreakBefore w:val="0"/>
        <w:widowControl/>
        <w:kinsoku/>
        <w:wordWrap/>
        <w:overflowPunct/>
        <w:topLinePunct w:val="0"/>
        <w:autoSpaceDE/>
        <w:autoSpaceDN/>
        <w:bidi w:val="0"/>
        <w:adjustRightInd/>
        <w:snapToGrid/>
        <w:spacing w:line="49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 xml:space="preserve">C.可追溯的全过程灌浆质量检查      D.出厂合格证 </w:t>
      </w:r>
    </w:p>
    <w:p w14:paraId="4287816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 xml:space="preserve"> </w:t>
      </w:r>
    </w:p>
    <w:p w14:paraId="39CC5C4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24.预制构件生产宜建立</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检验制度。 </w:t>
      </w:r>
    </w:p>
    <w:p w14:paraId="5C82D75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A.抽检</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B.全检</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C.首件</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D.首批 </w:t>
      </w:r>
    </w:p>
    <w:p w14:paraId="2969037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jc w:val="both"/>
        <w:textAlignment w:val="auto"/>
        <w:rPr>
          <w:rFonts w:hint="eastAsia" w:ascii="宋体" w:hAnsi="宋体" w:eastAsia="宋体" w:cs="宋体"/>
          <w:color w:val="auto"/>
          <w:kern w:val="0"/>
          <w:sz w:val="24"/>
          <w:szCs w:val="24"/>
          <w:highlight w:val="none"/>
          <w:lang w:val="en-US" w:eastAsia="zh-CN" w:bidi="zh-CN"/>
        </w:rPr>
      </w:pPr>
      <w:bookmarkStart w:id="2" w:name="OLE_LINK7"/>
      <w:r>
        <w:rPr>
          <w:rFonts w:hint="eastAsia" w:ascii="宋体" w:hAnsi="宋体" w:eastAsia="宋体" w:cs="宋体"/>
          <w:color w:val="auto"/>
          <w:kern w:val="2"/>
          <w:sz w:val="24"/>
          <w:szCs w:val="24"/>
          <w:highlight w:val="none"/>
          <w:lang w:val="en-US" w:eastAsia="zh-CN" w:bidi="ar-SA"/>
        </w:rPr>
        <w:t>25.</w:t>
      </w:r>
      <w:r>
        <w:rPr>
          <w:rFonts w:hint="eastAsia" w:ascii="宋体" w:hAnsi="宋体" w:eastAsia="宋体" w:cs="宋体"/>
          <w:color w:val="auto"/>
          <w:kern w:val="0"/>
          <w:sz w:val="24"/>
          <w:szCs w:val="24"/>
          <w:highlight w:val="none"/>
          <w:lang w:val="en-US" w:eastAsia="zh-CN" w:bidi="zh-CN"/>
        </w:rPr>
        <w:t>对预制柱、墙板构件的上部斜支撑，其支撑点距离板底的距离不宜小于构件高度的</w:t>
      </w:r>
      <w:r>
        <w:rPr>
          <w:rFonts w:hint="eastAsia" w:ascii="宋体" w:hAnsi="宋体" w:eastAsia="宋体" w:cs="宋体"/>
          <w:color w:val="auto"/>
          <w:sz w:val="24"/>
          <w:szCs w:val="24"/>
          <w:lang w:val="en-US" w:eastAsia="zh-CN"/>
        </w:rPr>
        <w:t>(    )</w:t>
      </w:r>
    </w:p>
    <w:p w14:paraId="1A7C5F8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kern w:val="0"/>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zh-CN"/>
        </w:rPr>
        <w:t>A.1/2</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0"/>
          <w:sz w:val="24"/>
          <w:szCs w:val="24"/>
          <w:highlight w:val="none"/>
          <w:lang w:val="en-US" w:eastAsia="zh-CN" w:bidi="zh-CN"/>
        </w:rPr>
        <w:t>B.1/3</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0"/>
          <w:sz w:val="24"/>
          <w:szCs w:val="24"/>
          <w:highlight w:val="none"/>
          <w:lang w:val="en-US" w:eastAsia="zh-CN" w:bidi="zh-CN"/>
        </w:rPr>
        <w:t>C.2/3</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0"/>
          <w:sz w:val="24"/>
          <w:szCs w:val="24"/>
          <w:highlight w:val="none"/>
          <w:lang w:val="en-US" w:eastAsia="zh-CN" w:bidi="zh-CN"/>
        </w:rPr>
        <w:t>D.1/4</w:t>
      </w:r>
    </w:p>
    <w:p w14:paraId="39509E86">
      <w:pPr>
        <w:pStyle w:val="4"/>
        <w:keepNext w:val="0"/>
        <w:keepLines w:val="0"/>
        <w:pageBreakBefore w:val="0"/>
        <w:widowControl/>
        <w:kinsoku/>
        <w:wordWrap/>
        <w:overflowPunct/>
        <w:topLinePunct w:val="0"/>
        <w:autoSpaceDE/>
        <w:autoSpaceDN/>
        <w:bidi w:val="0"/>
        <w:adjustRightInd/>
        <w:snapToGrid/>
        <w:spacing w:line="460" w:lineRule="exact"/>
        <w:ind w:firstLine="600"/>
        <w:textAlignment w:val="auto"/>
        <w:rPr>
          <w:rFonts w:hint="eastAsia" w:ascii="宋体" w:hAnsi="宋体" w:eastAsia="宋体" w:cs="宋体"/>
          <w:color w:val="auto"/>
          <w:kern w:val="2"/>
          <w:sz w:val="24"/>
          <w:szCs w:val="24"/>
          <w:highlight w:val="none"/>
          <w:lang w:val="en-US" w:eastAsia="zh-CN" w:bidi="ar-SA"/>
        </w:rPr>
      </w:pPr>
    </w:p>
    <w:bookmarkEnd w:id="2"/>
    <w:p w14:paraId="2E601342">
      <w:pPr>
        <w:pStyle w:val="4"/>
        <w:keepNext w:val="0"/>
        <w:keepLines w:val="0"/>
        <w:pageBreakBefore w:val="0"/>
        <w:widowControl/>
        <w:kinsoku/>
        <w:wordWrap/>
        <w:overflowPunct/>
        <w:topLinePunct w:val="0"/>
        <w:autoSpaceDE/>
        <w:autoSpaceDN/>
        <w:bidi w:val="0"/>
        <w:adjustRightInd/>
        <w:snapToGrid/>
        <w:spacing w:line="46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26.《建筑施工起重吊装工程安全技术规范》 JGJ 276-2012 等文件规定，开始起吊时，应先将构件吊离地面</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后暂停，检查起重机的稳定性，制动装置的可靠性，构件的平衡性和绑扎的牢固性等。 </w:t>
      </w:r>
    </w:p>
    <w:p w14:paraId="6633EAE6">
      <w:pPr>
        <w:pStyle w:val="4"/>
        <w:keepNext w:val="0"/>
        <w:keepLines w:val="0"/>
        <w:pageBreakBefore w:val="0"/>
        <w:widowControl/>
        <w:kinsoku/>
        <w:wordWrap/>
        <w:overflowPunct/>
        <w:topLinePunct w:val="0"/>
        <w:autoSpaceDE/>
        <w:autoSpaceDN/>
        <w:bidi w:val="0"/>
        <w:adjustRightInd/>
        <w:snapToGrid/>
        <w:spacing w:line="46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A.200mm-300mm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B.300mm-500mm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C.500mm-600mm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D.700mm-800mm </w:t>
      </w:r>
    </w:p>
    <w:p w14:paraId="41F1E8CC">
      <w:pPr>
        <w:pStyle w:val="4"/>
        <w:keepNext w:val="0"/>
        <w:keepLines w:val="0"/>
        <w:pageBreakBefore w:val="0"/>
        <w:widowControl/>
        <w:kinsoku/>
        <w:wordWrap/>
        <w:overflowPunct/>
        <w:topLinePunct w:val="0"/>
        <w:autoSpaceDE/>
        <w:autoSpaceDN/>
        <w:bidi w:val="0"/>
        <w:adjustRightInd/>
        <w:snapToGrid/>
        <w:spacing w:line="46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363C8F84">
      <w:pPr>
        <w:pStyle w:val="4"/>
        <w:keepNext w:val="0"/>
        <w:keepLines w:val="0"/>
        <w:pageBreakBefore w:val="0"/>
        <w:widowControl/>
        <w:kinsoku/>
        <w:wordWrap/>
        <w:overflowPunct/>
        <w:topLinePunct w:val="0"/>
        <w:autoSpaceDE/>
        <w:autoSpaceDN/>
        <w:bidi w:val="0"/>
        <w:adjustRightInd/>
        <w:snapToGrid/>
        <w:spacing w:line="46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27.《装配式混凝土结构技术规程》JGJ 1-2014 规定，放架堆放或运输墙板时，构件与地面倾斜角度宜大于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度。 </w:t>
      </w:r>
    </w:p>
    <w:p w14:paraId="1A73D0D1">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A.30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B.45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C.60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D.80  </w:t>
      </w:r>
    </w:p>
    <w:p w14:paraId="3158D03A">
      <w:pPr>
        <w:pStyle w:val="4"/>
        <w:keepNext w:val="0"/>
        <w:keepLines w:val="0"/>
        <w:pageBreakBefore w:val="0"/>
        <w:widowControl/>
        <w:kinsoku/>
        <w:wordWrap/>
        <w:overflowPunct/>
        <w:topLinePunct w:val="0"/>
        <w:autoSpaceDE/>
        <w:autoSpaceDN/>
        <w:bidi w:val="0"/>
        <w:adjustRightInd/>
        <w:snapToGrid/>
        <w:spacing w:line="460" w:lineRule="exact"/>
        <w:ind w:firstLine="600"/>
        <w:textAlignment w:val="auto"/>
        <w:rPr>
          <w:rFonts w:hint="eastAsia" w:ascii="宋体" w:hAnsi="宋体" w:eastAsia="宋体" w:cs="宋体"/>
          <w:color w:val="auto"/>
          <w:kern w:val="2"/>
          <w:sz w:val="24"/>
          <w:szCs w:val="24"/>
          <w:highlight w:val="none"/>
          <w:lang w:val="en-US" w:eastAsia="zh-CN" w:bidi="ar-SA"/>
        </w:rPr>
      </w:pPr>
    </w:p>
    <w:p w14:paraId="3D8749B5">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28.《装配式混凝土建筑技术标准》GB/T 51231 预制楼板、叠合板、空调板、</w:t>
      </w:r>
    </w:p>
    <w:p w14:paraId="04F8CE01">
      <w:pPr>
        <w:pStyle w:val="4"/>
        <w:keepNext w:val="0"/>
        <w:keepLines w:val="0"/>
        <w:pageBreakBefore w:val="0"/>
        <w:widowControl/>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阳台板等构件应平放，叠放层数不宜超过</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层。 </w:t>
      </w:r>
    </w:p>
    <w:p w14:paraId="6EE49656">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A.4</w:t>
      </w:r>
      <w:r>
        <w:rPr>
          <w:rFonts w:hint="eastAsia" w:ascii="宋体" w:hAnsi="宋体" w:eastAsia="宋体" w:cs="宋体"/>
          <w:color w:val="auto"/>
          <w:kern w:val="2"/>
          <w:sz w:val="24"/>
          <w:szCs w:val="24"/>
          <w:highlight w:val="none"/>
          <w:lang w:val="en-US" w:eastAsia="zh-CN" w:bidi="ar-SA"/>
        </w:rPr>
        <w:tab/>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B.6</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C.8</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D.10 </w:t>
      </w:r>
    </w:p>
    <w:p w14:paraId="479DB965">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sz w:val="24"/>
          <w:szCs w:val="24"/>
          <w:highlight w:val="none"/>
          <w:lang w:val="en-US" w:eastAsia="zh-CN"/>
        </w:rPr>
      </w:pPr>
      <w:bookmarkStart w:id="3" w:name="OLE_LINK31"/>
      <w:bookmarkStart w:id="4" w:name="OLE_LINK1"/>
      <w:r>
        <w:rPr>
          <w:rFonts w:hint="eastAsia" w:ascii="宋体" w:hAnsi="宋体" w:eastAsia="宋体" w:cs="宋体"/>
          <w:color w:val="auto"/>
          <w:kern w:val="2"/>
          <w:sz w:val="24"/>
          <w:szCs w:val="24"/>
          <w:highlight w:val="none"/>
          <w:lang w:val="en-US" w:eastAsia="zh-CN" w:bidi="ar-SA"/>
        </w:rPr>
        <w:t xml:space="preserve"> </w:t>
      </w:r>
    </w:p>
    <w:bookmarkEnd w:id="3"/>
    <w:bookmarkEnd w:id="4"/>
    <w:p w14:paraId="3AA37007">
      <w:pPr>
        <w:keepNext w:val="0"/>
        <w:keepLines w:val="0"/>
        <w:pageBreakBefore w:val="0"/>
        <w:kinsoku/>
        <w:wordWrap/>
        <w:overflowPunct/>
        <w:topLinePunct w:val="0"/>
        <w:autoSpaceDE/>
        <w:autoSpaceDN/>
        <w:bidi w:val="0"/>
        <w:adjustRightInd/>
        <w:snapToGrid/>
        <w:spacing w:line="460" w:lineRule="exact"/>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29.纵向钢筋采用套筒灌浆连接时接头应满足行业标准《钢筋机械连接技术规程》JGJ 107-2010 中</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级接头的性能要求</w:t>
      </w:r>
    </w:p>
    <w:p w14:paraId="58527541">
      <w:pPr>
        <w:pStyle w:val="4"/>
        <w:keepNext w:val="0"/>
        <w:keepLines w:val="0"/>
        <w:pageBreakBefore w:val="0"/>
        <w:numPr>
          <w:ilvl w:val="0"/>
          <w:numId w:val="0"/>
        </w:numPr>
        <w:kinsoku/>
        <w:wordWrap/>
        <w:overflowPunct/>
        <w:topLinePunct w:val="0"/>
        <w:autoSpaceDE/>
        <w:autoSpaceDN/>
        <w:bidi w:val="0"/>
        <w:adjustRightInd/>
        <w:snapToGrid/>
        <w:spacing w:line="460" w:lineRule="exact"/>
        <w:ind w:left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A.Ⅰ</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B.Ⅱ</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C.Ⅲ</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D.Ⅳ</w:t>
      </w:r>
    </w:p>
    <w:p w14:paraId="350C14C7">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6D84F1FA">
      <w:pPr>
        <w:pStyle w:val="4"/>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30.当遇有</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级大风或 恶劣天气时 ，应停止一切吊装施工作业</w:t>
      </w:r>
    </w:p>
    <w:p w14:paraId="73FB9A3D">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A.6</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C.4</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D.3</w:t>
      </w:r>
    </w:p>
    <w:p w14:paraId="0AA66B0E">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p>
    <w:p w14:paraId="36B81587">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31.构件翻转及安装 过程中就位、临时固定时，动力系数可取</w:t>
      </w:r>
      <w:r>
        <w:rPr>
          <w:rFonts w:hint="eastAsia" w:ascii="宋体" w:hAnsi="宋体" w:eastAsia="宋体" w:cs="宋体"/>
          <w:color w:val="auto"/>
          <w:sz w:val="24"/>
          <w:szCs w:val="24"/>
          <w:lang w:val="en-US" w:eastAsia="zh-CN"/>
        </w:rPr>
        <w:t>(    )</w:t>
      </w:r>
    </w:p>
    <w:p w14:paraId="3D98C352">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bookmarkStart w:id="5" w:name="OLE_LINK4"/>
      <w:r>
        <w:rPr>
          <w:rFonts w:hint="eastAsia" w:ascii="宋体" w:hAnsi="宋体" w:eastAsia="宋体" w:cs="宋体"/>
          <w:color w:val="auto"/>
          <w:kern w:val="2"/>
          <w:sz w:val="24"/>
          <w:szCs w:val="24"/>
          <w:highlight w:val="none"/>
          <w:lang w:val="en-US" w:eastAsia="zh-CN" w:bidi="ar-SA"/>
        </w:rPr>
        <w:t>A.</w:t>
      </w:r>
      <w:bookmarkEnd w:id="5"/>
      <w:r>
        <w:rPr>
          <w:rFonts w:hint="eastAsia" w:ascii="宋体" w:hAnsi="宋体" w:eastAsia="宋体" w:cs="宋体"/>
          <w:color w:val="auto"/>
          <w:kern w:val="2"/>
          <w:sz w:val="24"/>
          <w:szCs w:val="24"/>
          <w:highlight w:val="none"/>
          <w:lang w:val="en-US" w:eastAsia="zh-CN" w:bidi="ar-SA"/>
        </w:rPr>
        <w:t>1.5     B.1.3      C.1.2     D.1.0</w:t>
      </w:r>
    </w:p>
    <w:p w14:paraId="34012EBE">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p>
    <w:p w14:paraId="56217A07">
      <w:pPr>
        <w:pStyle w:val="4"/>
        <w:keepNext w:val="0"/>
        <w:keepLines w:val="0"/>
        <w:pageBreakBefore w:val="0"/>
        <w:widowControl/>
        <w:kinsoku/>
        <w:wordWrap/>
        <w:overflowPunct/>
        <w:topLinePunct w:val="0"/>
        <w:autoSpaceDE/>
        <w:autoSpaceDN/>
        <w:bidi w:val="0"/>
        <w:adjustRightInd/>
        <w:snapToGrid/>
        <w:spacing w:line="46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32.成型钢筋进厂检验时，同一厂家、同一类型且同一钢筋来源的成型钢筋，</w:t>
      </w:r>
    </w:p>
    <w:p w14:paraId="5DCADFB0">
      <w:pPr>
        <w:pStyle w:val="4"/>
        <w:keepNext w:val="0"/>
        <w:keepLines w:val="0"/>
        <w:pageBreakBefore w:val="0"/>
        <w:widowControl/>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不超过</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为一批。</w:t>
      </w:r>
    </w:p>
    <w:p w14:paraId="2D661DD9">
      <w:pPr>
        <w:pStyle w:val="4"/>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宋体" w:hAnsi="宋体" w:eastAsia="宋体" w:cs="宋体"/>
          <w:color w:val="auto"/>
          <w:kern w:val="2"/>
          <w:sz w:val="24"/>
          <w:szCs w:val="24"/>
          <w:highlight w:val="none"/>
          <w:lang w:val="en-US" w:eastAsia="zh-CN" w:bidi="ar-SA"/>
        </w:rPr>
      </w:pPr>
      <w:bookmarkStart w:id="6" w:name="OLE_LINK8"/>
      <w:r>
        <w:rPr>
          <w:rFonts w:hint="eastAsia" w:ascii="宋体" w:hAnsi="宋体" w:eastAsia="宋体" w:cs="宋体"/>
          <w:color w:val="auto"/>
          <w:kern w:val="2"/>
          <w:sz w:val="24"/>
          <w:szCs w:val="24"/>
          <w:highlight w:val="none"/>
          <w:lang w:val="en-US" w:eastAsia="zh-CN" w:bidi="ar-SA"/>
        </w:rPr>
        <w:t>A.</w:t>
      </w:r>
      <w:bookmarkEnd w:id="6"/>
      <w:r>
        <w:rPr>
          <w:rFonts w:hint="eastAsia" w:ascii="宋体" w:hAnsi="宋体" w:eastAsia="宋体" w:cs="宋体"/>
          <w:color w:val="auto"/>
          <w:kern w:val="2"/>
          <w:sz w:val="24"/>
          <w:szCs w:val="24"/>
          <w:highlight w:val="none"/>
          <w:lang w:val="en-US" w:eastAsia="zh-CN" w:bidi="ar-SA"/>
        </w:rPr>
        <w:t xml:space="preserve">5t      B.10t      C.30t     D. 60t </w:t>
      </w:r>
    </w:p>
    <w:p w14:paraId="1B0D6E63">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33.水泥进厂检验时，同一厂家、同一品种、同一代号、同一强度等级且连</w:t>
      </w:r>
    </w:p>
    <w:p w14:paraId="26F58EFE">
      <w:pPr>
        <w:pStyle w:val="4"/>
        <w:keepNext w:val="0"/>
        <w:keepLines w:val="0"/>
        <w:pageBreakBefore w:val="0"/>
        <w:widowControl/>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续进厂的硅酸盐水泥，袋装水泥不超过</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为一批。</w:t>
      </w:r>
    </w:p>
    <w:p w14:paraId="03D2EE9A">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A.30t      B.50t      C.200t     D.500t </w:t>
      </w:r>
    </w:p>
    <w:p w14:paraId="69286A90">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p>
    <w:p w14:paraId="2E9BC830">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34.根据《装配式混凝土建筑技术标准》的规定，构件上的预埋钢板、建筑</w:t>
      </w:r>
    </w:p>
    <w:p w14:paraId="1AA364E8">
      <w:pPr>
        <w:pStyle w:val="4"/>
        <w:keepNext w:val="0"/>
        <w:keepLines w:val="0"/>
        <w:pageBreakBefore w:val="0"/>
        <w:widowControl/>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幕墙用槽式预埋组件，通过模具进行定位时，其中心线位置的安装允许偏差为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w:t>
      </w:r>
    </w:p>
    <w:p w14:paraId="32E39D80">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A.1mm       B.2mm       C.3mm      D.5mm</w:t>
      </w:r>
    </w:p>
    <w:p w14:paraId="787E02D5">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p>
    <w:p w14:paraId="76B73D6D">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35.根据《装配式混凝土建筑技术标准》的规定，构件上的预埋螺栓通过模</w:t>
      </w:r>
    </w:p>
    <w:p w14:paraId="0C79CEE3">
      <w:pPr>
        <w:pStyle w:val="4"/>
        <w:keepNext w:val="0"/>
        <w:keepLines w:val="0"/>
        <w:pageBreakBefore w:val="0"/>
        <w:widowControl/>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具进行定位时，其外露长度的允许偏差为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w:t>
      </w:r>
    </w:p>
    <w:p w14:paraId="70191225">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A.+10，0mm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B.±10mm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C.+5,0,mm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D.±5mm</w:t>
      </w:r>
    </w:p>
    <w:p w14:paraId="2CAA2722">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p>
    <w:p w14:paraId="487FF0B1">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36.根</w:t>
      </w:r>
      <w:r>
        <w:rPr>
          <w:rFonts w:hint="eastAsia" w:ascii="宋体" w:hAnsi="宋体" w:eastAsia="宋体" w:cs="宋体"/>
          <w:color w:val="auto"/>
          <w:kern w:val="2"/>
          <w:sz w:val="24"/>
          <w:szCs w:val="24"/>
          <w:highlight w:val="none"/>
          <w:lang w:val="en-US" w:eastAsia="zh-CN" w:bidi="ar-SA"/>
        </w:rPr>
        <w:t>据《装配式混凝土建筑技术标准》的规定，构件上的预埋螺母通过模</w:t>
      </w:r>
    </w:p>
    <w:p w14:paraId="5223A867">
      <w:pPr>
        <w:pStyle w:val="4"/>
        <w:keepNext w:val="0"/>
        <w:keepLines w:val="0"/>
        <w:pageBreakBefore w:val="0"/>
        <w:widowControl/>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具进行定位时，其平面高差的允许偏差为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w:t>
      </w:r>
    </w:p>
    <w:p w14:paraId="6055771A">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w:t>
      </w:r>
      <w:bookmarkStart w:id="7" w:name="OLE_LINK32"/>
      <w:r>
        <w:rPr>
          <w:rFonts w:hint="eastAsia" w:ascii="宋体" w:hAnsi="宋体" w:eastAsia="宋体" w:cs="宋体"/>
          <w:color w:val="auto"/>
          <w:kern w:val="2"/>
          <w:sz w:val="24"/>
          <w:szCs w:val="24"/>
          <w:highlight w:val="none"/>
          <w:lang w:val="en-US" w:eastAsia="zh-CN" w:bidi="ar-SA"/>
        </w:rPr>
        <w:t>.±1mm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B.±2mm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C.</w:t>
      </w:r>
      <w:bookmarkStart w:id="8" w:name="OLE_LINK2"/>
      <w:r>
        <w:rPr>
          <w:rFonts w:hint="eastAsia" w:ascii="宋体" w:hAnsi="宋体" w:eastAsia="宋体" w:cs="宋体"/>
          <w:color w:val="auto"/>
          <w:kern w:val="2"/>
          <w:sz w:val="24"/>
          <w:szCs w:val="24"/>
          <w:highlight w:val="none"/>
          <w:lang w:val="en-US" w:eastAsia="zh-CN" w:bidi="ar-SA"/>
        </w:rPr>
        <w:t>±</w:t>
      </w:r>
      <w:bookmarkEnd w:id="8"/>
      <w:r>
        <w:rPr>
          <w:rFonts w:hint="eastAsia" w:ascii="宋体" w:hAnsi="宋体" w:eastAsia="宋体" w:cs="宋体"/>
          <w:color w:val="auto"/>
          <w:kern w:val="2"/>
          <w:sz w:val="24"/>
          <w:szCs w:val="24"/>
          <w:highlight w:val="none"/>
          <w:lang w:val="en-US" w:eastAsia="zh-CN" w:bidi="ar-SA"/>
        </w:rPr>
        <w:t>3mm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highlight w:val="none"/>
          <w:lang w:val="en-US" w:eastAsia="zh-CN" w:bidi="ar-SA"/>
        </w:rPr>
        <w:t>D.±5mm</w:t>
      </w:r>
    </w:p>
    <w:bookmarkEnd w:id="7"/>
    <w:p w14:paraId="67635511">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476" w:firstLineChars="200"/>
        <w:textAlignment w:val="auto"/>
        <w:rPr>
          <w:rFonts w:hint="eastAsia" w:ascii="宋体" w:hAnsi="宋体" w:eastAsia="宋体" w:cs="宋体"/>
          <w:color w:val="auto"/>
          <w:spacing w:val="-1"/>
          <w:sz w:val="24"/>
          <w:szCs w:val="24"/>
          <w:highlight w:val="none"/>
          <w:lang w:val="en-US" w:eastAsia="zh-CN"/>
        </w:rPr>
      </w:pPr>
    </w:p>
    <w:p w14:paraId="1504D2C7">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37.灌浆套筒用于钢筋锚固的深度不宜小于插入钢筋公称直径的</w:t>
      </w:r>
      <w:r>
        <w:rPr>
          <w:rFonts w:hint="eastAsia" w:ascii="宋体" w:hAnsi="宋体" w:eastAsia="宋体" w:cs="宋体"/>
          <w:color w:val="auto"/>
          <w:sz w:val="24"/>
          <w:szCs w:val="24"/>
          <w:lang w:val="en-US" w:eastAsia="zh-CN"/>
        </w:rPr>
        <w:t>(    )</w:t>
      </w:r>
    </w:p>
    <w:p w14:paraId="4B76C6FB">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A.8倍</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B.6倍</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C.10倍</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 xml:space="preserve">D.12倍 </w:t>
      </w:r>
    </w:p>
    <w:p w14:paraId="73B18E26">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p w14:paraId="793F3BC9">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bookmarkStart w:id="9" w:name="OLE_LINK11"/>
      <w:r>
        <w:rPr>
          <w:rFonts w:hint="eastAsia" w:ascii="宋体" w:hAnsi="宋体" w:eastAsia="宋体" w:cs="宋体"/>
          <w:color w:val="auto"/>
          <w:spacing w:val="-1"/>
          <w:kern w:val="0"/>
          <w:sz w:val="24"/>
          <w:szCs w:val="24"/>
          <w:highlight w:val="none"/>
          <w:lang w:val="en-US" w:eastAsia="zh-CN" w:bidi="ar-SA"/>
        </w:rPr>
        <w:t>38.钢筋套筒灌浆连接接头的抗拉强度不应小于</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，且破坏时应断于</w:t>
      </w:r>
    </w:p>
    <w:p w14:paraId="1D18306F">
      <w:pPr>
        <w:pStyle w:val="4"/>
        <w:keepNext w:val="0"/>
        <w:keepLines w:val="0"/>
        <w:pageBreakBefore w:val="0"/>
        <w:widowControl/>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接头外钢筋。</w:t>
      </w:r>
    </w:p>
    <w:p w14:paraId="5725A4E6">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 xml:space="preserve">A.连接钢筋抗拉强度标准值的 1.5 倍;       </w:t>
      </w:r>
    </w:p>
    <w:p w14:paraId="2FCBD465">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 xml:space="preserve">B.连接钢筋抗压强度标准值; </w:t>
      </w:r>
    </w:p>
    <w:p w14:paraId="04CA70AE">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 xml:space="preserve">C.连接钢筋抗拉强度标准值               </w:t>
      </w:r>
    </w:p>
    <w:p w14:paraId="4784EF05">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 xml:space="preserve">D.连接钢筋抗压强度标准值的 1.5 倍 </w:t>
      </w:r>
    </w:p>
    <w:p w14:paraId="2EA0C4E6">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bookmarkEnd w:id="9"/>
    <w:p w14:paraId="482C8E8B">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39.现浇结构施工后外露连接钢筋的中心位置允许偏差为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 xml:space="preserve">mm。 </w:t>
      </w:r>
    </w:p>
    <w:p w14:paraId="6E61B206">
      <w:pPr>
        <w:pStyle w:val="4"/>
        <w:keepNext w:val="0"/>
        <w:keepLines w:val="0"/>
        <w:pageBreakBefore w:val="0"/>
        <w:widowControl/>
        <w:kinsoku/>
        <w:wordWrap/>
        <w:overflowPunct/>
        <w:topLinePunct w:val="0"/>
        <w:autoSpaceDE/>
        <w:autoSpaceDN/>
        <w:bidi w:val="0"/>
        <w:adjustRightInd/>
        <w:snapToGrid/>
        <w:spacing w:line="48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A.0</w:t>
      </w:r>
      <w:bookmarkStart w:id="10" w:name="OLE_LINK12"/>
      <w:r>
        <w:rPr>
          <w:rFonts w:hint="eastAsia" w:ascii="宋体" w:hAnsi="宋体" w:eastAsia="宋体" w:cs="宋体"/>
          <w:color w:val="auto"/>
          <w:spacing w:val="-1"/>
          <w:kern w:val="0"/>
          <w:sz w:val="24"/>
          <w:szCs w:val="24"/>
          <w:highlight w:val="none"/>
          <w:lang w:val="en-US" w:eastAsia="zh-CN" w:bidi="ar-SA"/>
        </w:rPr>
        <w:t>~</w:t>
      </w:r>
      <w:bookmarkEnd w:id="10"/>
      <w:r>
        <w:rPr>
          <w:rFonts w:hint="eastAsia" w:ascii="宋体" w:hAnsi="宋体" w:eastAsia="宋体" w:cs="宋体"/>
          <w:color w:val="auto"/>
          <w:spacing w:val="-1"/>
          <w:kern w:val="0"/>
          <w:sz w:val="24"/>
          <w:szCs w:val="24"/>
          <w:highlight w:val="none"/>
          <w:lang w:val="en-US" w:eastAsia="zh-CN" w:bidi="ar-SA"/>
        </w:rPr>
        <w:t xml:space="preserve">+3      B.-3~0        C.0~+5         D.-5~0 </w:t>
      </w:r>
    </w:p>
    <w:p w14:paraId="20CBA4C3">
      <w:pPr>
        <w:pStyle w:val="4"/>
        <w:keepNext w:val="0"/>
        <w:keepLines w:val="0"/>
        <w:pageBreakBefore w:val="0"/>
        <w:widowControl/>
        <w:numPr>
          <w:ilvl w:val="0"/>
          <w:numId w:val="1"/>
        </w:numPr>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灌浆料同条件养护试件抗压强度达到</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面后，方可进行对接头有扰</w:t>
      </w:r>
    </w:p>
    <w:p w14:paraId="4FE3A129">
      <w:pPr>
        <w:pStyle w:val="4"/>
        <w:keepNext w:val="0"/>
        <w:keepLines w:val="0"/>
        <w:pageBreakBefore w:val="0"/>
        <w:widowControl/>
        <w:numPr>
          <w:ilvl w:val="0"/>
          <w:numId w:val="0"/>
        </w:numPr>
        <w:kinsoku/>
        <w:wordWrap/>
        <w:overflowPunct/>
        <w:topLinePunct w:val="0"/>
        <w:autoSpaceDE/>
        <w:autoSpaceDN/>
        <w:bidi w:val="0"/>
        <w:adjustRightInd/>
        <w:snapToGrid/>
        <w:spacing w:line="490" w:lineRule="exact"/>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动的后续施工</w:t>
      </w:r>
    </w:p>
    <w:p w14:paraId="3DB9C6EC">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A.30N/mm</w:t>
      </w:r>
      <w:r>
        <w:rPr>
          <w:rFonts w:hint="eastAsia" w:ascii="宋体" w:hAnsi="宋体" w:eastAsia="宋体" w:cs="宋体"/>
          <w:color w:val="auto"/>
          <w:spacing w:val="-1"/>
          <w:kern w:val="0"/>
          <w:sz w:val="24"/>
          <w:szCs w:val="24"/>
          <w:highlight w:val="none"/>
          <w:vertAlign w:val="superscript"/>
          <w:lang w:val="en-US" w:eastAsia="zh-CN" w:bidi="ar-SA"/>
        </w:rPr>
        <w:t>2</w:t>
      </w:r>
      <w:r>
        <w:rPr>
          <w:rFonts w:hint="eastAsia" w:ascii="宋体" w:hAnsi="宋体" w:eastAsia="宋体" w:cs="宋体"/>
          <w:color w:val="auto"/>
          <w:spacing w:val="-1"/>
          <w:kern w:val="0"/>
          <w:sz w:val="24"/>
          <w:szCs w:val="24"/>
          <w:highlight w:val="none"/>
          <w:lang w:val="en-US" w:eastAsia="zh-CN" w:bidi="ar-SA"/>
        </w:rPr>
        <w:t xml:space="preserve">    B.35N/mm</w:t>
      </w:r>
      <w:r>
        <w:rPr>
          <w:rFonts w:hint="eastAsia" w:ascii="宋体" w:hAnsi="宋体" w:eastAsia="宋体" w:cs="宋体"/>
          <w:color w:val="auto"/>
          <w:spacing w:val="-1"/>
          <w:kern w:val="0"/>
          <w:sz w:val="24"/>
          <w:szCs w:val="24"/>
          <w:highlight w:val="none"/>
          <w:vertAlign w:val="superscript"/>
          <w:lang w:val="en-US" w:eastAsia="zh-CN" w:bidi="ar-SA"/>
        </w:rPr>
        <w:t>2</w:t>
      </w:r>
      <w:r>
        <w:rPr>
          <w:rFonts w:hint="eastAsia" w:ascii="宋体" w:hAnsi="宋体" w:eastAsia="宋体" w:cs="宋体"/>
          <w:color w:val="auto"/>
          <w:spacing w:val="-1"/>
          <w:kern w:val="0"/>
          <w:sz w:val="24"/>
          <w:szCs w:val="24"/>
          <w:highlight w:val="none"/>
          <w:lang w:val="en-US" w:eastAsia="zh-CN" w:bidi="ar-SA"/>
        </w:rPr>
        <w:t xml:space="preserve">     C.45N/mm</w:t>
      </w:r>
      <w:r>
        <w:rPr>
          <w:rFonts w:hint="eastAsia" w:ascii="宋体" w:hAnsi="宋体" w:eastAsia="宋体" w:cs="宋体"/>
          <w:color w:val="auto"/>
          <w:spacing w:val="-1"/>
          <w:kern w:val="0"/>
          <w:sz w:val="24"/>
          <w:szCs w:val="24"/>
          <w:highlight w:val="none"/>
          <w:vertAlign w:val="superscript"/>
          <w:lang w:val="en-US" w:eastAsia="zh-CN" w:bidi="ar-SA"/>
        </w:rPr>
        <w:t>2</w:t>
      </w:r>
      <w:r>
        <w:rPr>
          <w:rFonts w:hint="eastAsia" w:ascii="宋体" w:hAnsi="宋体" w:eastAsia="宋体" w:cs="宋体"/>
          <w:color w:val="auto"/>
          <w:spacing w:val="-1"/>
          <w:kern w:val="0"/>
          <w:sz w:val="24"/>
          <w:szCs w:val="24"/>
          <w:highlight w:val="none"/>
          <w:lang w:val="en-US" w:eastAsia="zh-CN" w:bidi="ar-SA"/>
        </w:rPr>
        <w:t xml:space="preserve">      D.25N/mm</w:t>
      </w:r>
      <w:r>
        <w:rPr>
          <w:rFonts w:hint="eastAsia" w:ascii="宋体" w:hAnsi="宋体" w:eastAsia="宋体" w:cs="宋体"/>
          <w:color w:val="auto"/>
          <w:spacing w:val="-1"/>
          <w:kern w:val="0"/>
          <w:sz w:val="24"/>
          <w:szCs w:val="24"/>
          <w:highlight w:val="none"/>
          <w:vertAlign w:val="superscript"/>
          <w:lang w:val="en-US" w:eastAsia="zh-CN" w:bidi="ar-SA"/>
        </w:rPr>
        <w:t>2</w:t>
      </w:r>
      <w:r>
        <w:rPr>
          <w:rFonts w:hint="eastAsia" w:ascii="宋体" w:hAnsi="宋体" w:eastAsia="宋体" w:cs="宋体"/>
          <w:color w:val="auto"/>
          <w:spacing w:val="-1"/>
          <w:kern w:val="0"/>
          <w:sz w:val="24"/>
          <w:szCs w:val="24"/>
          <w:highlight w:val="none"/>
          <w:lang w:val="en-US" w:eastAsia="zh-CN" w:bidi="ar-SA"/>
        </w:rPr>
        <w:t xml:space="preserve">  </w:t>
      </w:r>
    </w:p>
    <w:p w14:paraId="14D0A570">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 xml:space="preserve"> </w:t>
      </w:r>
    </w:p>
    <w:p w14:paraId="0B42D879">
      <w:pPr>
        <w:pStyle w:val="4"/>
        <w:keepNext w:val="0"/>
        <w:keepLines w:val="0"/>
        <w:pageBreakBefore w:val="0"/>
        <w:widowControl/>
        <w:numPr>
          <w:ilvl w:val="0"/>
          <w:numId w:val="1"/>
        </w:numPr>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根据钢筋套筒灌浆连接技术的要求,水平预制构件纵向受力钢筋一般采</w:t>
      </w:r>
    </w:p>
    <w:p w14:paraId="3ED500CF">
      <w:pPr>
        <w:pStyle w:val="4"/>
        <w:keepNext w:val="0"/>
        <w:keepLines w:val="0"/>
        <w:pageBreakBefore w:val="0"/>
        <w:widowControl/>
        <w:numPr>
          <w:ilvl w:val="0"/>
          <w:numId w:val="0"/>
        </w:numPr>
        <w:kinsoku/>
        <w:wordWrap/>
        <w:overflowPunct/>
        <w:topLinePunct w:val="0"/>
        <w:autoSpaceDE/>
        <w:autoSpaceDN/>
        <w:bidi w:val="0"/>
        <w:adjustRightInd/>
        <w:snapToGrid/>
        <w:spacing w:line="490" w:lineRule="exact"/>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用</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 xml:space="preserve"> </w:t>
      </w:r>
    </w:p>
    <w:p w14:paraId="6108248F">
      <w:pPr>
        <w:pStyle w:val="4"/>
        <w:keepNext w:val="0"/>
        <w:keepLines w:val="0"/>
        <w:pageBreakBefore w:val="0"/>
        <w:widowControl/>
        <w:numPr>
          <w:ilvl w:val="0"/>
          <w:numId w:val="0"/>
        </w:numPr>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A.套筒灌浆</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B.全灌浆套筒</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C.半灌浆套筒</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D.三种都可以</w:t>
      </w:r>
    </w:p>
    <w:p w14:paraId="5517B43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4495BB7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42.《钢筋套筒灌浆连接应用技术规程》规定灌浆料拌合物应采用电动设备搅拌充分、均匀,使用前宜静置</w:t>
      </w:r>
      <w:r>
        <w:rPr>
          <w:rFonts w:hint="eastAsia" w:ascii="宋体" w:hAnsi="宋体" w:eastAsia="宋体" w:cs="宋体"/>
          <w:color w:val="auto"/>
          <w:sz w:val="24"/>
          <w:szCs w:val="24"/>
          <w:lang w:val="en-US" w:eastAsia="zh-CN"/>
        </w:rPr>
        <w:t>(    )</w:t>
      </w:r>
    </w:p>
    <w:p w14:paraId="0BF7094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A.1min</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B.2min</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C.3min</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 xml:space="preserve">D.5min </w:t>
      </w:r>
    </w:p>
    <w:p w14:paraId="5721983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6AB473C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43.根据图集15G107-1《装配式混凝土结构表示方法及示例》的规定，预制构件在现场施工时，预制墙板水平/竖向缝宽度的允许偏差为</w:t>
      </w:r>
      <w:r>
        <w:rPr>
          <w:rFonts w:hint="eastAsia" w:ascii="宋体" w:hAnsi="宋体" w:eastAsia="宋体" w:cs="宋体"/>
          <w:color w:val="auto"/>
          <w:sz w:val="24"/>
          <w:szCs w:val="24"/>
          <w:lang w:val="en-US" w:eastAsia="zh-CN"/>
        </w:rPr>
        <w:t>(    )</w:t>
      </w:r>
    </w:p>
    <w:p w14:paraId="4449597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A.±1mm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B.±2mm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C.±3mm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D.±4mm</w:t>
      </w:r>
    </w:p>
    <w:p w14:paraId="38D51D3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7B23AEA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44.预制墙板临时支撑安放在背后,通过预留孔(预埋件)与墙板连接,不宜少于</w:t>
      </w:r>
      <w:r>
        <w:rPr>
          <w:rFonts w:hint="eastAsia" w:ascii="宋体" w:hAnsi="宋体" w:eastAsia="宋体" w:cs="宋体"/>
          <w:color w:val="auto"/>
          <w:sz w:val="24"/>
          <w:szCs w:val="24"/>
          <w:lang w:val="en-US" w:eastAsia="zh-CN"/>
        </w:rPr>
        <w:t>(    )</w:t>
      </w:r>
    </w:p>
    <w:p w14:paraId="785D60B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A.3道</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B.4道</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C.2道</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D.1道</w:t>
      </w:r>
    </w:p>
    <w:p w14:paraId="117D7E5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2FEF90B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45.灌浆套筒外观、标记、外形尺寸检验：以连续生产的同原材料、同类型、同型式、同规格、同批号的1000个或少于1000个套筒为1个验收批，随机抽取</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进行检验。</w:t>
      </w:r>
    </w:p>
    <w:p w14:paraId="3FB7D21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B.10%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C.15%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D.20%</w:t>
      </w:r>
    </w:p>
    <w:p w14:paraId="74510B0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5744DE9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46.根据图集15G107-1《装配式混凝土结构表示方法及示例》的规定，水平后浇带的标号为</w:t>
      </w:r>
      <w:r>
        <w:rPr>
          <w:rFonts w:hint="eastAsia" w:ascii="宋体" w:hAnsi="宋体" w:eastAsia="宋体" w:cs="宋体"/>
          <w:color w:val="auto"/>
          <w:sz w:val="24"/>
          <w:szCs w:val="24"/>
          <w:lang w:val="en-US" w:eastAsia="zh-CN"/>
        </w:rPr>
        <w:t>(    )</w:t>
      </w:r>
    </w:p>
    <w:p w14:paraId="3314BCF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A.SHJD</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B.SPHJD</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C.XHJD</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D.HJD</w:t>
      </w:r>
    </w:p>
    <w:p w14:paraId="387D92C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47.下列不属于预制构件粗糙面常用处理工艺的是</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7819ECA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A.水洗法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 xml:space="preserve">B.拉毛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 xml:space="preserve">C.凿毛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 xml:space="preserve">D.喷砂 </w:t>
      </w:r>
    </w:p>
    <w:p w14:paraId="1D4429D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64034BF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48.在预制混凝土剪力墙平面布置图中，外墙板以</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为装配方向，不需要特殊标注。 </w:t>
      </w:r>
    </w:p>
    <w:p w14:paraId="50C6A70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A.外侧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 xml:space="preserve">B.内侧       C.上方       D.下方 </w:t>
      </w:r>
    </w:p>
    <w:p w14:paraId="0F3E4C9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2D30462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49.常温型套筒灌浆料的28d抗压强度应</w:t>
      </w:r>
      <w:r>
        <w:rPr>
          <w:rFonts w:hint="eastAsia" w:ascii="宋体" w:hAnsi="宋体" w:eastAsia="宋体" w:cs="宋体"/>
          <w:color w:val="auto"/>
          <w:sz w:val="24"/>
          <w:szCs w:val="24"/>
          <w:lang w:val="en-US" w:eastAsia="zh-CN"/>
        </w:rPr>
        <w:t>(    )</w:t>
      </w:r>
    </w:p>
    <w:p w14:paraId="5F989F4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A.≥35MPa</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B.≥60MPa</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C.≥75MPa</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D.≥85MPa</w:t>
      </w:r>
    </w:p>
    <w:p w14:paraId="20853FE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3659596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50.装配式结构验收时，梁、柱、墙、板底面或顶面标高的允许偏差为</w:t>
      </w:r>
      <w:r>
        <w:rPr>
          <w:rFonts w:hint="eastAsia" w:ascii="宋体" w:hAnsi="宋体" w:eastAsia="宋体" w:cs="宋体"/>
          <w:color w:val="auto"/>
          <w:sz w:val="24"/>
          <w:szCs w:val="24"/>
          <w:lang w:val="en-US" w:eastAsia="zh-CN"/>
        </w:rPr>
        <w:t>(    )</w:t>
      </w:r>
    </w:p>
    <w:p w14:paraId="00E96A0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A.±2</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B.±3</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D.±10</w:t>
      </w:r>
    </w:p>
    <w:p w14:paraId="608E62B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36651B7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51.直径大于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钢筋不宜采用浆描搭接连接</w:t>
      </w:r>
    </w:p>
    <w:p w14:paraId="4247DBC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A.25mm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B.20mm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C.15mm</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D.10mm</w:t>
      </w:r>
    </w:p>
    <w:p w14:paraId="0E48375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5BF8EB6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应编制详细的施工组织设计和专项施工方案</w:t>
      </w:r>
    </w:p>
    <w:p w14:paraId="580369B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A.施工单位</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B.设计单位</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C.甲方</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D.监理单位</w:t>
      </w:r>
    </w:p>
    <w:p w14:paraId="3A10318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4E68E806">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53.附着式塔吊水平支撑和外用电梯水平支撑与主体结构的连接方式应由</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确定专项方案，由</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审核</w:t>
      </w:r>
    </w:p>
    <w:p w14:paraId="3C2FDC2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A.施工单位,甲方   </w:t>
      </w:r>
    </w:p>
    <w:p w14:paraId="12BDAB3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B.施工单位,设计单位</w:t>
      </w:r>
    </w:p>
    <w:p w14:paraId="29273A2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C.设计单位,甲方    </w:t>
      </w:r>
    </w:p>
    <w:p w14:paraId="0913C21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D.设计单位,施工单位</w:t>
      </w:r>
    </w:p>
    <w:p w14:paraId="39686C54">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0921E65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54.预制构件采用加热养护时,最高养护温度不宜超过</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60983A3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A.40°C</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B.50°C</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C.60°C</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D.70°C</w:t>
      </w:r>
    </w:p>
    <w:p w14:paraId="064B06D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55.编号为NEQ-J2-1512女儿墙，其含义为</w:t>
      </w:r>
      <w:r>
        <w:rPr>
          <w:rFonts w:hint="eastAsia" w:ascii="宋体" w:hAnsi="宋体" w:eastAsia="宋体" w:cs="宋体"/>
          <w:color w:val="auto"/>
          <w:sz w:val="24"/>
          <w:szCs w:val="24"/>
          <w:lang w:val="en-US" w:eastAsia="zh-CN"/>
        </w:rPr>
        <w:t>(    )</w:t>
      </w:r>
    </w:p>
    <w:p w14:paraId="54E02D8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A.预制夹心保温式女儿墙（直板），其高度为1500mm，长度为1200mm</w:t>
      </w:r>
    </w:p>
    <w:p w14:paraId="7747716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B.预制非保温式女儿墙（直板），其高度为1200mm，长度为1500mm</w:t>
      </w:r>
    </w:p>
    <w:p w14:paraId="5F00201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C.预制夹心保温式女儿墙（转角板），其高度为1200mm，长度为1500mm</w:t>
      </w:r>
    </w:p>
    <w:p w14:paraId="1A07A34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D.预制非保温式女儿墙（转角板），其高度为1500mm，长度为1200mm</w:t>
      </w:r>
    </w:p>
    <w:p w14:paraId="27F891F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01990D5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56.预制楼梯脱模起吊时混凝土强度允许值应达到</w:t>
      </w:r>
      <w:r>
        <w:rPr>
          <w:rFonts w:hint="eastAsia" w:ascii="宋体" w:hAnsi="宋体" w:eastAsia="宋体" w:cs="宋体"/>
          <w:color w:val="auto"/>
          <w:sz w:val="24"/>
          <w:szCs w:val="24"/>
          <w:lang w:val="en-US" w:eastAsia="zh-CN"/>
        </w:rPr>
        <w:t>(    )</w:t>
      </w:r>
    </w:p>
    <w:p w14:paraId="3116D2A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A.40%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 xml:space="preserve">B.50% </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C.65%</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D.75%</w:t>
      </w:r>
    </w:p>
    <w:p w14:paraId="28F1523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472A456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57.GTQ4Z-40中Q代表</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w:t>
      </w:r>
    </w:p>
    <w:p w14:paraId="2B7E86B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A.全灌浆套筒                    B.直接滚轧直螺纹半灌浆套筒  </w:t>
      </w:r>
    </w:p>
    <w:p w14:paraId="3606FF0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C.剥肋滚轧直螺纹半灌浆套筒      D.镦粗直螺纹半灌浆套筒</w:t>
      </w:r>
    </w:p>
    <w:p w14:paraId="14D5524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29D673E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58.预制墙板安装时，预制构件与吊具的分离应在</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进行</w:t>
      </w:r>
    </w:p>
    <w:p w14:paraId="36ECAD4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A.校准定位及临时固定措施安装完成后</w:t>
      </w:r>
    </w:p>
    <w:p w14:paraId="20E8270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B.装配式混凝土剪力墙结构能达到后续施工承载要求后</w:t>
      </w:r>
    </w:p>
    <w:p w14:paraId="53C34AC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C.套筒灌浆施工完成后</w:t>
      </w:r>
    </w:p>
    <w:p w14:paraId="7D32D66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D.构件位置校正完成后</w:t>
      </w:r>
    </w:p>
    <w:p w14:paraId="31CD85D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5E291D4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59.多层剪力墙底部采用座浆材料时，其厚度不宜大于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mm。</w:t>
      </w:r>
    </w:p>
    <w:p w14:paraId="79B3F8D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A.10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B.20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C.30</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D.50</w:t>
      </w:r>
    </w:p>
    <w:p w14:paraId="461D51D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24D2673A">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60.钢筋套筒灌浆作业时，采用压浆法从灌浆分区下口灌注，当浆料从其它孔流出后及时进行封堵，完成整段墙体的灌浆后，进行</w:t>
      </w:r>
      <w:r>
        <w:rPr>
          <w:rFonts w:hint="eastAsia" w:ascii="宋体" w:hAnsi="宋体" w:eastAsia="宋体" w:cs="宋体"/>
          <w:color w:val="auto"/>
          <w:sz w:val="24"/>
          <w:szCs w:val="24"/>
          <w:lang w:val="en-US" w:eastAsia="zh-CN"/>
        </w:rPr>
        <w:t>(    )</w:t>
      </w:r>
    </w:p>
    <w:p w14:paraId="2D1B739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A.下一段墙体灌浆</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B.临时支撑拆除</w:t>
      </w:r>
    </w:p>
    <w:p w14:paraId="1B57098D">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C.灌浆饱满度检查</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D.外流浆料清理</w:t>
      </w:r>
    </w:p>
    <w:p w14:paraId="261C7F77">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50A81B0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2EB846D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二、多项选择题（共20小题，每小题2分，共40分）</w:t>
      </w:r>
    </w:p>
    <w:p w14:paraId="2100B02A">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1.装配式混凝土建筑平面设计应符合下列规定：</w:t>
      </w:r>
      <w:r>
        <w:rPr>
          <w:rFonts w:hint="eastAsia" w:ascii="宋体" w:hAnsi="宋体" w:eastAsia="宋体" w:cs="宋体"/>
          <w:color w:val="auto"/>
          <w:sz w:val="24"/>
          <w:szCs w:val="24"/>
          <w:lang w:val="en-US" w:eastAsia="zh-CN"/>
        </w:rPr>
        <w:t>(    )</w:t>
      </w:r>
    </w:p>
    <w:p w14:paraId="041F5456">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bookmarkStart w:id="11" w:name="OLE_LINK14"/>
      <w:r>
        <w:rPr>
          <w:rFonts w:hint="eastAsia" w:ascii="宋体" w:hAnsi="宋体" w:eastAsia="宋体" w:cs="宋体"/>
          <w:color w:val="auto"/>
          <w:spacing w:val="-1"/>
          <w:kern w:val="0"/>
          <w:sz w:val="24"/>
          <w:szCs w:val="24"/>
          <w:highlight w:val="none"/>
          <w:lang w:val="en-US" w:eastAsia="zh-CN" w:bidi="ar-SA"/>
        </w:rPr>
        <w:t>A.</w:t>
      </w:r>
      <w:bookmarkEnd w:id="11"/>
      <w:r>
        <w:rPr>
          <w:rFonts w:hint="eastAsia" w:ascii="宋体" w:hAnsi="宋体" w:eastAsia="宋体" w:cs="宋体"/>
          <w:color w:val="auto"/>
          <w:spacing w:val="-1"/>
          <w:kern w:val="0"/>
          <w:sz w:val="24"/>
          <w:szCs w:val="24"/>
          <w:highlight w:val="none"/>
          <w:lang w:val="en-US" w:eastAsia="zh-CN" w:bidi="ar-SA"/>
        </w:rPr>
        <w:t>应采用大开间大进深、空间灵活可变的布置方式</w:t>
      </w:r>
    </w:p>
    <w:p w14:paraId="4B37CC09">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bookmarkStart w:id="12" w:name="OLE_LINK15"/>
      <w:r>
        <w:rPr>
          <w:rFonts w:hint="eastAsia" w:ascii="宋体" w:hAnsi="宋体" w:eastAsia="宋体" w:cs="宋体"/>
          <w:color w:val="auto"/>
          <w:spacing w:val="-1"/>
          <w:kern w:val="0"/>
          <w:sz w:val="24"/>
          <w:szCs w:val="24"/>
          <w:highlight w:val="none"/>
          <w:lang w:val="en-US" w:eastAsia="zh-CN" w:bidi="ar-SA"/>
        </w:rPr>
        <w:t>B.</w:t>
      </w:r>
      <w:bookmarkEnd w:id="12"/>
      <w:r>
        <w:rPr>
          <w:rFonts w:hint="eastAsia" w:ascii="宋体" w:hAnsi="宋体" w:eastAsia="宋体" w:cs="宋体"/>
          <w:color w:val="auto"/>
          <w:spacing w:val="-1"/>
          <w:kern w:val="0"/>
          <w:sz w:val="24"/>
          <w:szCs w:val="24"/>
          <w:highlight w:val="none"/>
          <w:lang w:val="en-US" w:eastAsia="zh-CN" w:bidi="ar-SA"/>
        </w:rPr>
        <w:t>平面布置应规则</w:t>
      </w:r>
    </w:p>
    <w:p w14:paraId="4332993C">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bookmarkStart w:id="13" w:name="OLE_LINK16"/>
      <w:r>
        <w:rPr>
          <w:rFonts w:hint="eastAsia" w:ascii="宋体" w:hAnsi="宋体" w:eastAsia="宋体" w:cs="宋体"/>
          <w:color w:val="auto"/>
          <w:spacing w:val="-1"/>
          <w:kern w:val="0"/>
          <w:sz w:val="24"/>
          <w:szCs w:val="24"/>
          <w:highlight w:val="none"/>
          <w:lang w:val="en-US" w:eastAsia="zh-CN" w:bidi="ar-SA"/>
        </w:rPr>
        <w:t>C.</w:t>
      </w:r>
      <w:bookmarkEnd w:id="13"/>
      <w:r>
        <w:rPr>
          <w:rFonts w:hint="eastAsia" w:ascii="宋体" w:hAnsi="宋体" w:eastAsia="宋体" w:cs="宋体"/>
          <w:color w:val="auto"/>
          <w:spacing w:val="-1"/>
          <w:kern w:val="0"/>
          <w:sz w:val="24"/>
          <w:szCs w:val="24"/>
          <w:highlight w:val="none"/>
          <w:lang w:val="en-US" w:eastAsia="zh-CN" w:bidi="ar-SA"/>
        </w:rPr>
        <w:t>设备与管线宜分离设置，并应进行管线综合设计。</w:t>
      </w:r>
    </w:p>
    <w:p w14:paraId="470154FE">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D.承重构件布置应上下对齐贯通，外墙洞口宜规整有序</w:t>
      </w:r>
    </w:p>
    <w:p w14:paraId="1E1A7ED2">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p w14:paraId="658C1700">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2.内装部品应具有</w:t>
      </w:r>
      <w:r>
        <w:rPr>
          <w:rFonts w:hint="eastAsia" w:ascii="宋体" w:hAnsi="宋体" w:eastAsia="宋体" w:cs="宋体"/>
          <w:color w:val="auto"/>
          <w:sz w:val="24"/>
          <w:szCs w:val="24"/>
          <w:lang w:val="en-US" w:eastAsia="zh-CN"/>
        </w:rPr>
        <w:t>(    )</w:t>
      </w:r>
    </w:p>
    <w:p w14:paraId="01748B1E">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A.通用性</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B.标准性</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C.统一性</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D.互换性</w:t>
      </w:r>
    </w:p>
    <w:p w14:paraId="2ABC6760">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p w14:paraId="1A8FC630">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3.不允许出现裂缝的预应力混凝土构件应进行</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检验。</w:t>
      </w:r>
    </w:p>
    <w:p w14:paraId="04077ECF">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bookmarkStart w:id="14" w:name="OLE_LINK18"/>
      <w:r>
        <w:rPr>
          <w:rFonts w:hint="eastAsia" w:ascii="宋体" w:hAnsi="宋体" w:eastAsia="宋体" w:cs="宋体"/>
          <w:color w:val="auto"/>
          <w:spacing w:val="-1"/>
          <w:kern w:val="0"/>
          <w:sz w:val="24"/>
          <w:szCs w:val="24"/>
          <w:highlight w:val="none"/>
          <w:lang w:val="en-US" w:eastAsia="zh-CN" w:bidi="ar-SA"/>
        </w:rPr>
        <w:t>A.</w:t>
      </w:r>
      <w:bookmarkEnd w:id="14"/>
      <w:r>
        <w:rPr>
          <w:rFonts w:hint="eastAsia" w:ascii="宋体" w:hAnsi="宋体" w:eastAsia="宋体" w:cs="宋体"/>
          <w:color w:val="auto"/>
          <w:spacing w:val="-1"/>
          <w:kern w:val="0"/>
          <w:sz w:val="24"/>
          <w:szCs w:val="24"/>
          <w:highlight w:val="none"/>
          <w:lang w:val="en-US" w:eastAsia="zh-CN" w:bidi="ar-SA"/>
        </w:rPr>
        <w:t>承载力</w:t>
      </w:r>
      <w:bookmarkStart w:id="15" w:name="OLE_LINK19"/>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B.</w:t>
      </w:r>
      <w:bookmarkEnd w:id="15"/>
      <w:r>
        <w:rPr>
          <w:rFonts w:hint="eastAsia" w:ascii="宋体" w:hAnsi="宋体" w:eastAsia="宋体" w:cs="宋体"/>
          <w:color w:val="auto"/>
          <w:spacing w:val="-1"/>
          <w:kern w:val="0"/>
          <w:sz w:val="24"/>
          <w:szCs w:val="24"/>
          <w:highlight w:val="none"/>
          <w:lang w:val="en-US" w:eastAsia="zh-CN" w:bidi="ar-SA"/>
        </w:rPr>
        <w:t>挠度</w:t>
      </w:r>
      <w:bookmarkStart w:id="16" w:name="OLE_LINK20"/>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C.</w:t>
      </w:r>
      <w:bookmarkEnd w:id="16"/>
      <w:r>
        <w:rPr>
          <w:rFonts w:hint="eastAsia" w:ascii="宋体" w:hAnsi="宋体" w:eastAsia="宋体" w:cs="宋体"/>
          <w:color w:val="auto"/>
          <w:spacing w:val="-1"/>
          <w:kern w:val="0"/>
          <w:sz w:val="24"/>
          <w:szCs w:val="24"/>
          <w:highlight w:val="none"/>
          <w:lang w:val="en-US" w:eastAsia="zh-CN" w:bidi="ar-SA"/>
        </w:rPr>
        <w:t>裂缝宽度</w:t>
      </w:r>
      <w:bookmarkStart w:id="17" w:name="OLE_LINK21"/>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D.</w:t>
      </w:r>
      <w:bookmarkEnd w:id="17"/>
      <w:r>
        <w:rPr>
          <w:rFonts w:hint="eastAsia" w:ascii="宋体" w:hAnsi="宋体" w:eastAsia="宋体" w:cs="宋体"/>
          <w:color w:val="auto"/>
          <w:spacing w:val="-1"/>
          <w:kern w:val="0"/>
          <w:sz w:val="24"/>
          <w:szCs w:val="24"/>
          <w:highlight w:val="none"/>
          <w:lang w:val="en-US" w:eastAsia="zh-CN" w:bidi="ar-SA"/>
        </w:rPr>
        <w:t>抗裂</w:t>
      </w:r>
    </w:p>
    <w:p w14:paraId="0B04C0D4">
      <w:pPr>
        <w:pStyle w:val="4"/>
        <w:keepNext w:val="0"/>
        <w:keepLines w:val="0"/>
        <w:pageBreakBefore w:val="0"/>
        <w:widowControl/>
        <w:kinsoku/>
        <w:wordWrap/>
        <w:overflowPunct/>
        <w:topLinePunct w:val="0"/>
        <w:autoSpaceDE/>
        <w:autoSpaceDN/>
        <w:bidi w:val="0"/>
        <w:adjustRightInd/>
        <w:snapToGrid/>
        <w:spacing w:line="50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p w14:paraId="7D6478AA">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4.水泥按批抽取试样进行</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检验，设计有其他要求时，尚应对相应的</w:t>
      </w:r>
    </w:p>
    <w:p w14:paraId="01774C1B">
      <w:pPr>
        <w:pStyle w:val="4"/>
        <w:keepNext w:val="0"/>
        <w:keepLines w:val="0"/>
        <w:pageBreakBefore w:val="0"/>
        <w:widowControl/>
        <w:kinsoku/>
        <w:wordWrap/>
        <w:overflowPunct/>
        <w:topLinePunct w:val="0"/>
        <w:autoSpaceDE/>
        <w:autoSpaceDN/>
        <w:bidi w:val="0"/>
        <w:adjustRightInd/>
        <w:snapToGrid/>
        <w:spacing w:line="490" w:lineRule="exact"/>
        <w:ind w:left="0" w:leftChars="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性能进行试验。</w:t>
      </w:r>
    </w:p>
    <w:p w14:paraId="05B519E4">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A.水泥强度</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B.塌落度</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C.凝结时间</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D.安定性</w:t>
      </w:r>
    </w:p>
    <w:p w14:paraId="328A8D5A">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p w14:paraId="70872B47">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5.保温材料进厂检验时，按批抽取试样进行</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试验。</w:t>
      </w:r>
    </w:p>
    <w:p w14:paraId="67C2A0B1">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bookmarkStart w:id="18" w:name="OLE_LINK22"/>
      <w:r>
        <w:rPr>
          <w:rFonts w:hint="eastAsia" w:ascii="宋体" w:hAnsi="宋体" w:eastAsia="宋体" w:cs="宋体"/>
          <w:color w:val="auto"/>
          <w:spacing w:val="-1"/>
          <w:kern w:val="0"/>
          <w:sz w:val="24"/>
          <w:szCs w:val="24"/>
          <w:highlight w:val="none"/>
          <w:lang w:val="en-US" w:eastAsia="zh-CN" w:bidi="ar-SA"/>
        </w:rPr>
        <w:t>A.</w:t>
      </w:r>
      <w:bookmarkEnd w:id="18"/>
      <w:r>
        <w:rPr>
          <w:rFonts w:hint="eastAsia" w:ascii="宋体" w:hAnsi="宋体" w:eastAsia="宋体" w:cs="宋体"/>
          <w:color w:val="auto"/>
          <w:spacing w:val="-1"/>
          <w:kern w:val="0"/>
          <w:sz w:val="24"/>
          <w:szCs w:val="24"/>
          <w:highlight w:val="none"/>
          <w:lang w:val="en-US" w:eastAsia="zh-CN" w:bidi="ar-SA"/>
        </w:rPr>
        <w:t>导热系数</w:t>
      </w:r>
      <w:bookmarkStart w:id="19" w:name="OLE_LINK23"/>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B.</w:t>
      </w:r>
      <w:bookmarkEnd w:id="19"/>
      <w:r>
        <w:rPr>
          <w:rFonts w:hint="eastAsia" w:ascii="宋体" w:hAnsi="宋体" w:eastAsia="宋体" w:cs="宋体"/>
          <w:color w:val="auto"/>
          <w:spacing w:val="-1"/>
          <w:kern w:val="0"/>
          <w:sz w:val="24"/>
          <w:szCs w:val="24"/>
          <w:highlight w:val="none"/>
          <w:lang w:val="en-US" w:eastAsia="zh-CN" w:bidi="ar-SA"/>
        </w:rPr>
        <w:t>密度</w:t>
      </w:r>
      <w:bookmarkStart w:id="20" w:name="OLE_LINK24"/>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C.</w:t>
      </w:r>
      <w:bookmarkEnd w:id="20"/>
      <w:r>
        <w:rPr>
          <w:rFonts w:hint="eastAsia" w:ascii="宋体" w:hAnsi="宋体" w:eastAsia="宋体" w:cs="宋体"/>
          <w:color w:val="auto"/>
          <w:spacing w:val="-1"/>
          <w:kern w:val="0"/>
          <w:sz w:val="24"/>
          <w:szCs w:val="24"/>
          <w:highlight w:val="none"/>
          <w:lang w:val="en-US" w:eastAsia="zh-CN" w:bidi="ar-SA"/>
        </w:rPr>
        <w:t>压缩强度</w:t>
      </w:r>
      <w:bookmarkStart w:id="21" w:name="OLE_LINK25"/>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D.</w:t>
      </w:r>
      <w:bookmarkEnd w:id="21"/>
      <w:r>
        <w:rPr>
          <w:rFonts w:hint="eastAsia" w:ascii="宋体" w:hAnsi="宋体" w:eastAsia="宋体" w:cs="宋体"/>
          <w:color w:val="auto"/>
          <w:spacing w:val="-1"/>
          <w:kern w:val="0"/>
          <w:sz w:val="24"/>
          <w:szCs w:val="24"/>
          <w:highlight w:val="none"/>
          <w:lang w:val="en-US" w:eastAsia="zh-CN" w:bidi="ar-SA"/>
        </w:rPr>
        <w:t>吸水率</w:t>
      </w:r>
    </w:p>
    <w:p w14:paraId="22AE76F7">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p w14:paraId="0AFCAA24">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6.预埋吊件进厂检验时，按批抽取试样进行</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等试验。</w:t>
      </w:r>
    </w:p>
    <w:p w14:paraId="258594C9">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bookmarkStart w:id="22" w:name="OLE_LINK26"/>
      <w:r>
        <w:rPr>
          <w:rFonts w:hint="eastAsia" w:ascii="宋体" w:hAnsi="宋体" w:eastAsia="宋体" w:cs="宋体"/>
          <w:color w:val="auto"/>
          <w:spacing w:val="-1"/>
          <w:kern w:val="0"/>
          <w:sz w:val="24"/>
          <w:szCs w:val="24"/>
          <w:highlight w:val="none"/>
          <w:lang w:val="en-US" w:eastAsia="zh-CN" w:bidi="ar-SA"/>
        </w:rPr>
        <w:t>A.</w:t>
      </w:r>
      <w:bookmarkEnd w:id="22"/>
      <w:r>
        <w:rPr>
          <w:rFonts w:hint="eastAsia" w:ascii="宋体" w:hAnsi="宋体" w:eastAsia="宋体" w:cs="宋体"/>
          <w:color w:val="auto"/>
          <w:spacing w:val="-1"/>
          <w:kern w:val="0"/>
          <w:sz w:val="24"/>
          <w:szCs w:val="24"/>
          <w:highlight w:val="none"/>
          <w:lang w:val="en-US" w:eastAsia="zh-CN" w:bidi="ar-SA"/>
        </w:rPr>
        <w:t>耐久性</w:t>
      </w:r>
      <w:bookmarkStart w:id="23" w:name="OLE_LINK27"/>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B.</w:t>
      </w:r>
      <w:bookmarkEnd w:id="23"/>
      <w:r>
        <w:rPr>
          <w:rFonts w:hint="eastAsia" w:ascii="宋体" w:hAnsi="宋体" w:eastAsia="宋体" w:cs="宋体"/>
          <w:color w:val="auto"/>
          <w:spacing w:val="-1"/>
          <w:kern w:val="0"/>
          <w:sz w:val="24"/>
          <w:szCs w:val="24"/>
          <w:highlight w:val="none"/>
          <w:lang w:val="en-US" w:eastAsia="zh-CN" w:bidi="ar-SA"/>
        </w:rPr>
        <w:t>外观尺寸</w:t>
      </w:r>
      <w:bookmarkStart w:id="24" w:name="OLE_LINK28"/>
      <w:bookmarkStart w:id="25" w:name="OLE_LINK29"/>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C</w:t>
      </w:r>
      <w:bookmarkEnd w:id="24"/>
      <w:r>
        <w:rPr>
          <w:rFonts w:hint="eastAsia" w:ascii="宋体" w:hAnsi="宋体" w:eastAsia="宋体" w:cs="宋体"/>
          <w:color w:val="auto"/>
          <w:spacing w:val="-1"/>
          <w:kern w:val="0"/>
          <w:sz w:val="24"/>
          <w:szCs w:val="24"/>
          <w:highlight w:val="none"/>
          <w:lang w:val="en-US" w:eastAsia="zh-CN" w:bidi="ar-SA"/>
        </w:rPr>
        <w:t>.</w:t>
      </w:r>
      <w:bookmarkEnd w:id="25"/>
      <w:r>
        <w:rPr>
          <w:rFonts w:hint="eastAsia" w:ascii="宋体" w:hAnsi="宋体" w:eastAsia="宋体" w:cs="宋体"/>
          <w:color w:val="auto"/>
          <w:spacing w:val="-1"/>
          <w:kern w:val="0"/>
          <w:sz w:val="24"/>
          <w:szCs w:val="24"/>
          <w:highlight w:val="none"/>
          <w:lang w:val="en-US" w:eastAsia="zh-CN" w:bidi="ar-SA"/>
        </w:rPr>
        <w:t>材料性能</w:t>
      </w:r>
      <w:bookmarkStart w:id="26" w:name="OLE_LINK30"/>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D.</w:t>
      </w:r>
      <w:bookmarkEnd w:id="26"/>
      <w:r>
        <w:rPr>
          <w:rFonts w:hint="eastAsia" w:ascii="宋体" w:hAnsi="宋体" w:eastAsia="宋体" w:cs="宋体"/>
          <w:color w:val="auto"/>
          <w:spacing w:val="-1"/>
          <w:kern w:val="0"/>
          <w:sz w:val="24"/>
          <w:szCs w:val="24"/>
          <w:highlight w:val="none"/>
          <w:lang w:val="en-US" w:eastAsia="zh-CN" w:bidi="ar-SA"/>
        </w:rPr>
        <w:t>抗拉拔性能</w:t>
      </w:r>
    </w:p>
    <w:p w14:paraId="496AC1FA">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p w14:paraId="4A05F507">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7.装配式混凝土建筑施工宜采用</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的工装系统。</w:t>
      </w:r>
    </w:p>
    <w:p w14:paraId="731DAEB1">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A.统一化</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B.强制化</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C.工具化</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D.标准化</w:t>
      </w:r>
    </w:p>
    <w:p w14:paraId="4FC3EA62">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p w14:paraId="3B1008D2">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8.剪力墙预制构件安装就位后，可通过临时支撑对构件的</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进行微调</w:t>
      </w:r>
    </w:p>
    <w:p w14:paraId="14EF17E4">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A.位置</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B.标高</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C.尺寸</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D.垂直度</w:t>
      </w:r>
    </w:p>
    <w:p w14:paraId="5C3204D7">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9.预制梁或叠合梁安装顺序宜遵循</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kern w:val="0"/>
          <w:sz w:val="24"/>
          <w:szCs w:val="24"/>
          <w:highlight w:val="none"/>
          <w:lang w:val="en-US" w:eastAsia="zh-CN" w:bidi="ar-SA"/>
        </w:rPr>
        <w:t>的原则</w:t>
      </w:r>
    </w:p>
    <w:p w14:paraId="13781EA6">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A.先主梁后次梁</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B.先低后高</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C.先次梁后主梁</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pacing w:val="-1"/>
          <w:kern w:val="0"/>
          <w:sz w:val="24"/>
          <w:szCs w:val="24"/>
          <w:highlight w:val="none"/>
          <w:lang w:val="en-US" w:eastAsia="zh-CN" w:bidi="ar-SA"/>
        </w:rPr>
        <w:t>D.先高后低</w:t>
      </w:r>
    </w:p>
    <w:p w14:paraId="63090206">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p>
    <w:p w14:paraId="4CD258E8">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10.混凝土浇筑应符合下列规定</w:t>
      </w:r>
      <w:r>
        <w:rPr>
          <w:rFonts w:hint="eastAsia" w:ascii="宋体" w:hAnsi="宋体" w:eastAsia="宋体" w:cs="宋体"/>
          <w:color w:val="auto"/>
          <w:sz w:val="24"/>
          <w:szCs w:val="24"/>
          <w:lang w:val="en-US" w:eastAsia="zh-CN"/>
        </w:rPr>
        <w:t>(    )</w:t>
      </w:r>
    </w:p>
    <w:p w14:paraId="667F37E9">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A.混凝土浇筑前，预埋件及预留钢筋的外露部分宜采取防止污染的措施；</w:t>
      </w:r>
    </w:p>
    <w:p w14:paraId="4D77BCFF">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B.混凝土倾落高度不宜大于500mm,并应均匀摊铺；</w:t>
      </w:r>
    </w:p>
    <w:p w14:paraId="4FB0500C">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C.混凝土浇筑应连续进行；</w:t>
      </w:r>
    </w:p>
    <w:p w14:paraId="73BFC2F6">
      <w:pPr>
        <w:pStyle w:val="4"/>
        <w:keepNext w:val="0"/>
        <w:keepLines w:val="0"/>
        <w:pageBreakBefore w:val="0"/>
        <w:widowControl/>
        <w:kinsoku/>
        <w:wordWrap/>
        <w:overflowPunct/>
        <w:topLinePunct w:val="0"/>
        <w:autoSpaceDE/>
        <w:autoSpaceDN/>
        <w:bidi w:val="0"/>
        <w:adjustRightInd/>
        <w:snapToGrid/>
        <w:spacing w:line="490" w:lineRule="exact"/>
        <w:ind w:left="476" w:leftChars="170" w:firstLine="0" w:firstLineChars="0"/>
        <w:textAlignment w:val="auto"/>
        <w:rPr>
          <w:rFonts w:hint="eastAsia" w:ascii="宋体" w:hAnsi="宋体" w:eastAsia="宋体" w:cs="宋体"/>
          <w:color w:val="auto"/>
          <w:spacing w:val="-1"/>
          <w:kern w:val="0"/>
          <w:sz w:val="24"/>
          <w:szCs w:val="24"/>
          <w:highlight w:val="none"/>
          <w:lang w:val="en-US" w:eastAsia="zh-CN" w:bidi="ar-SA"/>
        </w:rPr>
      </w:pPr>
      <w:r>
        <w:rPr>
          <w:rFonts w:hint="eastAsia" w:ascii="宋体" w:hAnsi="宋体" w:eastAsia="宋体" w:cs="宋体"/>
          <w:color w:val="auto"/>
          <w:spacing w:val="-1"/>
          <w:kern w:val="0"/>
          <w:sz w:val="24"/>
          <w:szCs w:val="24"/>
          <w:highlight w:val="none"/>
          <w:lang w:val="en-US" w:eastAsia="zh-CN" w:bidi="ar-SA"/>
        </w:rPr>
        <w:t>D.混凝土从出机到浇筑完毕的延续时间 ，气温高于25°C时不宜超过 60min , 气温不高于25°C时不宜超过 90min。</w:t>
      </w:r>
    </w:p>
    <w:p w14:paraId="4A35E2A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73205CA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11.下列属于装配式预制构件吊装施工工序的有</w:t>
      </w:r>
      <w:r>
        <w:rPr>
          <w:rFonts w:hint="eastAsia" w:ascii="宋体" w:hAnsi="宋体" w:eastAsia="宋体" w:cs="宋体"/>
          <w:color w:val="auto"/>
          <w:sz w:val="24"/>
          <w:szCs w:val="24"/>
          <w:lang w:val="en-US" w:eastAsia="zh-CN"/>
        </w:rPr>
        <w:t>(    )</w:t>
      </w:r>
    </w:p>
    <w:p w14:paraId="246F797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A.标高测设</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B.预制构件吊装</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C.构件加工</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D.独立支撑体系安装</w:t>
      </w:r>
    </w:p>
    <w:p w14:paraId="6855CAF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48C95FB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12.机械加工灌浆套筒宜选用</w:t>
      </w:r>
      <w:r>
        <w:rPr>
          <w:rFonts w:hint="eastAsia" w:ascii="宋体" w:hAnsi="宋体" w:eastAsia="宋体" w:cs="宋体"/>
          <w:color w:val="auto"/>
          <w:sz w:val="24"/>
          <w:szCs w:val="24"/>
          <w:lang w:val="en-US" w:eastAsia="zh-CN"/>
        </w:rPr>
        <w:t>(    )</w:t>
      </w:r>
    </w:p>
    <w:p w14:paraId="241786F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A.优质碳素结构钢</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B.球墨铸铁</w:t>
      </w:r>
    </w:p>
    <w:p w14:paraId="32632E2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C.低合金高强度结构钢</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D.合金结构钢</w:t>
      </w:r>
    </w:p>
    <w:p w14:paraId="1CA63A0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4CE2650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13.预制构件生产时,涂刷缓凝剂的作用错误的是</w:t>
      </w:r>
      <w:r>
        <w:rPr>
          <w:rFonts w:hint="eastAsia" w:ascii="宋体" w:hAnsi="宋体" w:eastAsia="宋体" w:cs="宋体"/>
          <w:color w:val="auto"/>
          <w:sz w:val="24"/>
          <w:szCs w:val="24"/>
          <w:lang w:val="en-US" w:eastAsia="zh-CN"/>
        </w:rPr>
        <w:t>(    )</w:t>
      </w:r>
    </w:p>
    <w:p w14:paraId="5F642AB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A.便于脱模</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B.提高构件强度</w:t>
      </w:r>
    </w:p>
    <w:p w14:paraId="1E6BA13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C.保证构件粗糙面形成</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D.清理模具</w:t>
      </w:r>
    </w:p>
    <w:p w14:paraId="0B6EF00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06ADE4E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14.半灌浆套筒可按非灌浆一端机械连接方式，分为</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w:t>
      </w:r>
    </w:p>
    <w:p w14:paraId="0522DE7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A.直接滚轧直螺纹半灌浆套筒</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B.剥肋滚轧直螺纹半灌浆套筒</w:t>
      </w:r>
    </w:p>
    <w:p w14:paraId="0738422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C.镦粗直螺纹半灌浆套筒           D.锥螺纹半灌浆套筒</w:t>
      </w:r>
    </w:p>
    <w:p w14:paraId="5F5F16D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32D6213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15.预制构件的形状、尺寸、重量应满足</w:t>
      </w:r>
      <w:r>
        <w:rPr>
          <w:rFonts w:hint="eastAsia" w:ascii="宋体" w:hAnsi="宋体" w:eastAsia="宋体" w:cs="宋体"/>
          <w:color w:val="auto"/>
          <w:sz w:val="24"/>
          <w:szCs w:val="24"/>
          <w:lang w:val="en-US" w:eastAsia="zh-CN"/>
        </w:rPr>
        <w:t>(    )</w:t>
      </w:r>
    </w:p>
    <w:p w14:paraId="03747547">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A.制作要求</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B.安装要求</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C.运输要求</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D.堆放要求</w:t>
      </w:r>
    </w:p>
    <w:p w14:paraId="5EA8C4C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3F63DCC7">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16.预制构件应在其显著位置设置标识，标识内容应包括：</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等，在运输和堆放过程中不得损坏。</w:t>
      </w:r>
    </w:p>
    <w:p w14:paraId="49E264A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A.使用部位      B.生产日期      C.构件编号      D.构件重量</w:t>
      </w:r>
    </w:p>
    <w:p w14:paraId="7EC35E8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5990DC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17.在预制构件生产过程监造中,质量控制技术要点是</w:t>
      </w:r>
      <w:r>
        <w:rPr>
          <w:rFonts w:hint="eastAsia" w:ascii="宋体" w:hAnsi="宋体" w:eastAsia="宋体" w:cs="宋体"/>
          <w:color w:val="auto"/>
          <w:sz w:val="24"/>
          <w:szCs w:val="24"/>
          <w:lang w:val="en-US" w:eastAsia="zh-CN"/>
        </w:rPr>
        <w:t>(    )</w:t>
      </w:r>
    </w:p>
    <w:p w14:paraId="4DA1AC9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A.原材料</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B.模具</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C.钢筋及预埋件</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D.混凝土</w:t>
      </w:r>
    </w:p>
    <w:p w14:paraId="7E8616A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6044B23A">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18.当施工过程中灌浆质量不符合要求时,技术方案不需要哪些单位提出</w:t>
      </w:r>
      <w:r>
        <w:rPr>
          <w:rFonts w:hint="eastAsia" w:ascii="宋体" w:hAnsi="宋体" w:eastAsia="宋体" w:cs="宋体"/>
          <w:color w:val="auto"/>
          <w:sz w:val="24"/>
          <w:szCs w:val="24"/>
          <w:lang w:val="en-US" w:eastAsia="zh-CN"/>
        </w:rPr>
        <w:t>(    )</w:t>
      </w:r>
    </w:p>
    <w:p w14:paraId="7A9F8A0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A.建设单位</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B.监理单位</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C.施工单位</w:t>
      </w: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sz w:val="24"/>
          <w:szCs w:val="24"/>
          <w:highlight w:val="none"/>
          <w:lang w:val="en-US" w:eastAsia="zh-CN"/>
        </w:rPr>
        <w:t>D.设计单位</w:t>
      </w:r>
    </w:p>
    <w:p w14:paraId="0284D2AA">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68A5602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19.预制外墙板的接缝应满足</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的要求</w:t>
      </w:r>
    </w:p>
    <w:p w14:paraId="6D59EA4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A.保温      B.防火      C.隔声      D.防污</w:t>
      </w:r>
    </w:p>
    <w:p w14:paraId="682B483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BADAF3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20.在布置预制构件堆放区时需要考虑的因素有</w:t>
      </w:r>
      <w:r>
        <w:rPr>
          <w:rFonts w:hint="eastAsia" w:ascii="宋体" w:hAnsi="宋体" w:eastAsia="宋体" w:cs="宋体"/>
          <w:color w:val="auto"/>
          <w:sz w:val="24"/>
          <w:szCs w:val="24"/>
          <w:lang w:val="en-US" w:eastAsia="zh-CN"/>
        </w:rPr>
        <w:t>(    )</w:t>
      </w:r>
    </w:p>
    <w:p w14:paraId="59D544C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A.吊装机械的位置        B.运输车辆行驶路线</w:t>
      </w:r>
    </w:p>
    <w:p w14:paraId="167C7A0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C.吊装工艺              D.临时用电线路</w:t>
      </w:r>
    </w:p>
    <w:p w14:paraId="39BE9649">
      <w:pPr>
        <w:rPr>
          <w:rFonts w:hint="eastAsia"/>
          <w:color w:val="auto"/>
          <w:highlight w:val="none"/>
          <w:lang w:val="en-US" w:eastAsia="zh-CN"/>
        </w:rPr>
      </w:pPr>
      <w:r>
        <w:rPr>
          <w:rFonts w:hint="eastAsia"/>
          <w:color w:val="auto"/>
          <w:highlight w:val="none"/>
          <w:lang w:val="en-US" w:eastAsia="zh-CN"/>
        </w:rPr>
        <w:br w:type="page"/>
      </w:r>
    </w:p>
    <w:p w14:paraId="13DB475A">
      <w:pPr>
        <w:pStyle w:val="9"/>
        <w:jc w:val="center"/>
        <w:rPr>
          <w:rFonts w:hint="eastAsia" w:ascii="黑体" w:hAnsi="黑体" w:eastAsia="黑体" w:cs="黑体"/>
          <w:b/>
          <w:bCs/>
          <w:color w:val="auto"/>
          <w:spacing w:val="0"/>
          <w:kern w:val="2"/>
          <w:sz w:val="30"/>
          <w:szCs w:val="30"/>
          <w:lang w:val="en-US" w:eastAsia="zh-CN" w:bidi="ar-SA"/>
        </w:rPr>
      </w:pPr>
      <w:r>
        <w:rPr>
          <w:rFonts w:hint="eastAsia" w:ascii="黑体" w:hAnsi="黑体" w:eastAsia="黑体" w:cs="黑体"/>
          <w:b/>
          <w:bCs/>
          <w:color w:val="auto"/>
          <w:spacing w:val="0"/>
          <w:kern w:val="2"/>
          <w:sz w:val="30"/>
          <w:szCs w:val="30"/>
          <w:lang w:val="en-US" w:eastAsia="zh-CN" w:bidi="ar-SA"/>
        </w:rPr>
        <w:t>任务二：构件深化设计（满分100分）</w:t>
      </w:r>
    </w:p>
    <w:p w14:paraId="64999FF5">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 设计任务书</w:t>
      </w:r>
    </w:p>
    <w:p w14:paraId="4AA28C48">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1.1任务概述</w:t>
      </w:r>
    </w:p>
    <w:p w14:paraId="6A6DE12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国南方某城市的一栋高层住宅项目，地上17层、地下1层，结构体系为装配整体式混凝土剪力墙结构，抗震等级为三级，上人平屋面，精装交付。标高6.890（含）以下及屋顶层均采用现浇混凝土结构，四层~十层（9.890~48.890）为标准层，标准层层高均为3.0m，混凝土强度等级详见图纸层高表。</w:t>
      </w:r>
    </w:p>
    <w:p w14:paraId="31838F2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要求对四层中未完善的预制构件进行BIM模型的建立并对指定的预制构件进行深化设计。</w:t>
      </w:r>
    </w:p>
    <w:p w14:paraId="0EC0AE7B">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1.2 预制构件类型</w:t>
      </w:r>
    </w:p>
    <w:p w14:paraId="123A1F6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该建筑物四层~十层的预制混凝土构件类型包括：预制叠合梁、预制叠合板、预制内墙、预制楼梯。该建筑物的装配率大于50%</w:t>
      </w:r>
    </w:p>
    <w:p w14:paraId="1CEAF193">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1.3 设计依据</w:t>
      </w:r>
    </w:p>
    <w:p w14:paraId="28B08C19">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《装配式混凝土结构技术规程》                 JGJ1-2014</w:t>
      </w:r>
    </w:p>
    <w:p w14:paraId="74141EE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《装配式混凝土连接节点构造（楼盖和楼梯）》   15G310-1</w:t>
      </w:r>
    </w:p>
    <w:p w14:paraId="5B5E2A3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《装配式混凝土连接节点构造（剪力墙）》       15G310-2</w:t>
      </w:r>
    </w:p>
    <w:p w14:paraId="5DC381B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《桁架钢筋混凝土叠合板》（60mm厚底板）       15G366-1</w:t>
      </w:r>
    </w:p>
    <w:p w14:paraId="0728F7C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《预制混凝土剪力墙内墙板》                   15G365-2</w:t>
      </w:r>
    </w:p>
    <w:p w14:paraId="09FF8BC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《混凝土结构施工图平面整体表示方法制图规则和构造详图》18G101-1</w:t>
      </w:r>
    </w:p>
    <w:p w14:paraId="7AB2B51F">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1.4 构件材料及保护层厚度</w:t>
      </w:r>
    </w:p>
    <w:p w14:paraId="443EBA1D">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该建筑物钢筋均采用HRB400级钢筋，用符号C 表示，预制叠合板、预制楼梯、预制内墙混凝土保护层的厚度分别为15mm、20mm、15mm。</w:t>
      </w:r>
    </w:p>
    <w:p w14:paraId="1D74B1EC">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1.5 项目的结构图纸说明</w:t>
      </w:r>
    </w:p>
    <w:p w14:paraId="03E7E58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该建筑物图纸包含以下内容：</w:t>
      </w:r>
    </w:p>
    <w:p w14:paraId="615DE9D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墙柱结构图、梁板结构图、楼梯平面剖面图、预制构件平面布置图</w:t>
      </w:r>
    </w:p>
    <w:p w14:paraId="1D401C45">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p>
    <w:p w14:paraId="117B8C4C">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p>
    <w:p w14:paraId="7E3ADC74">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1.6 装配式混凝土连接节点说明</w:t>
      </w:r>
    </w:p>
    <w:p w14:paraId="1B1C021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1.6.1 本项目预制叠合楼板均为预制叠合双向板，所有的预制叠合楼板的底板均采用桁架钢筋混凝土预制板；预制叠合双向板采用后浇带的整体式接缝连接形式，其连接节点见图六；叠合板与受力边支座的连接形式见图七；叠合板中间支座的连接形式见图八。</w:t>
      </w:r>
    </w:p>
    <w:p w14:paraId="7DE35AF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1.6.2 预制叠合板均搁进支座10mm。</w:t>
      </w:r>
    </w:p>
    <w:p w14:paraId="21F1B15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1.6.3 预制内剪力墙与后浇段的竖向接缝构造采用预留U型钢筋与附加封闭连接钢筋的形式，节点见图九~图十一。</w:t>
      </w:r>
    </w:p>
    <w:p w14:paraId="596E32FB">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1.7 叠合板底板要求</w:t>
      </w:r>
    </w:p>
    <w:p w14:paraId="52DC8F3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1.7.1双向板叠合楼板四边出筋；</w:t>
      </w:r>
    </w:p>
    <w:p w14:paraId="4293361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1.7.2桁架钢筋规格代号为A80/A90，桁架钢筋的设置应满足《装配式混凝土结构技术规程》中的要求，需考虑到其设置能使预制底板的纵筋总含量最低；</w:t>
      </w:r>
    </w:p>
    <w:p w14:paraId="17C37B6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1.7.3吊装方式为吊桁架钢筋的形式，吊点加强筋为2C8，长度280mm，设两组共四个吊点，吊点位置设置在距板边L/5±100波峰处；</w:t>
      </w:r>
    </w:p>
    <w:p w14:paraId="3A0FB5C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1.7.4双向叠合板底板左右板边分别设置1C6的不外伸构造钢筋，钢筋中心距板边缘距离为25mm；</w:t>
      </w:r>
    </w:p>
    <w:p w14:paraId="3B113240">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1.7.5预制底板上线盒定位及规格、洞口定位及规格均详见图四~十七层预留预埋平面布置图；</w:t>
      </w:r>
    </w:p>
    <w:p w14:paraId="22CAE361">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1.7.6 预制底板外围接触面需满足规范的要求，并在深化图纸中示意出构件的外围接触面符号以及安装符号等；</w:t>
      </w:r>
    </w:p>
    <w:p w14:paraId="65485D6A">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1.7.7 预制底板的其它未说明处应满足给定的施工图纸及现行规范、标准和图集的要求。</w:t>
      </w:r>
    </w:p>
    <w:p w14:paraId="5FA994B5">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1.8预制楼梯要求</w:t>
      </w:r>
    </w:p>
    <w:p w14:paraId="2D73BCE4">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1.8.1 预制楼梯详见楼梯大样图；</w:t>
      </w:r>
    </w:p>
    <w:p w14:paraId="5CFE9AA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1.8.2 预制楼梯的挑耳统一设置在高端，尺寸详见楼梯大样图；高低端支座做法详节点大样；</w:t>
      </w:r>
    </w:p>
    <w:p w14:paraId="432BA44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1.8.3 预制楼梯的吊装及脱模预埋件均选用内埋式螺母；</w:t>
      </w:r>
    </w:p>
    <w:p w14:paraId="1FCA795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1.8.4 预制楼梯的滴水线设置在梯井一侧，设置有防滑槽；</w:t>
      </w:r>
    </w:p>
    <w:p w14:paraId="1C5B49E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1.8.5 预制楼梯其它未说明的构造配筋参考15G367-1中的ST-30-25配筋图，见附件1 。</w:t>
      </w:r>
    </w:p>
    <w:p w14:paraId="2F14C296">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1.9预制剪力墙要求</w:t>
      </w:r>
    </w:p>
    <w:p w14:paraId="464D6EC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1.9.1 预制剪力墙抗震等级为三级；</w:t>
      </w:r>
    </w:p>
    <w:p w14:paraId="34839F7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1.9.2 预制剪力墙的吊装预埋件选用吊钉，吊钉需满足吊装承载力的要求；</w:t>
      </w:r>
    </w:p>
    <w:p w14:paraId="3665A1B7">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1.9.3预制剪力墙的竖向分布钢筋采用梅花形部分钢筋连接方式，即连接的同侧竖向分布钢筋间距为600mm，直径为18mm；不连接的竖向分布钢筋直径为6mm，该钢筋不外伸；钢筋采用半灌浆套筒机械连接方式，详见图十二；</w:t>
      </w:r>
    </w:p>
    <w:p w14:paraId="429ADEA8">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1.9.4预制剪力墙相关部位应按要求设置粗糙面和键槽（非贯通键槽），并在深化图纸中示意出构件的外围接触面符号以及安装符号等；</w:t>
      </w:r>
    </w:p>
    <w:p w14:paraId="07ADEF2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1.9.5 预制剪力墙墙端切口、预制墙上预留预埋的线盒及配管详见图十三，预制剪力墙在安装面设置4个临时支撑预埋螺母，位置应符合相关要求。</w:t>
      </w:r>
    </w:p>
    <w:p w14:paraId="4FEBBADA">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2 设计内容及结果输出</w:t>
      </w:r>
    </w:p>
    <w:p w14:paraId="524C447C">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根据以上任务书要求，完善该住宅楼第四层的BIM模型，并对如下要求的预制混凝土构件进行深化设计输出图纸。要求如下：</w:t>
      </w:r>
    </w:p>
    <w:p w14:paraId="50BD51C1">
      <w:pPr>
        <w:pStyle w:val="4"/>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2.1 模型完善要求</w:t>
      </w:r>
    </w:p>
    <w:p w14:paraId="18A2A8F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现已提供该高层住宅的部分未完善模型。根据给出的图纸中的预制范围，将该项目第四层所有预制构件布置在模型中相应位置并编号，使四层模型完整准确，并需考虑实际装配施工的可行性。</w:t>
      </w:r>
    </w:p>
    <w:p w14:paraId="67AD9B4D">
      <w:pPr>
        <w:pStyle w:val="4"/>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2.2 深化设计要求</w:t>
      </w:r>
    </w:p>
    <w:p w14:paraId="32C88316">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四层的部分预制构件予以深化设计并出图，每个构件深化设计图纸中应包含的内容：模板图、配筋图、构件信息表（至少包含混凝土体积、构件重量、混凝土强度）、埋件信息表（至少包含埋件编号、名称、规格、数量）、配筋表（至少包含编号、直径、级别、钢筋加工尺寸、钢筋重量）。深化设计图纸要求图面整洁、文字和标注不得有重叠现象。</w:t>
      </w:r>
    </w:p>
    <w:p w14:paraId="67490D75">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具体深化设计构件及要求如下：</w:t>
      </w:r>
    </w:p>
    <w:p w14:paraId="277ECB2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2.2.1 双向叠合板预制底板出图</w:t>
      </w:r>
    </w:p>
    <w:p w14:paraId="47ACAA42">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将桁架钢筋预制混凝土底板PCB4的深化设计图纸以A2图幅绘制，并以“4-17F PCB4”为详图名称保存在模型中。</w:t>
      </w:r>
    </w:p>
    <w:p w14:paraId="48F3ED93">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2.2.2 预制楼梯出图</w:t>
      </w:r>
    </w:p>
    <w:p w14:paraId="4FC5431F">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将PCLT1的深化设计图纸以A2图幅绘制，并以“4-17F PCLT1”为详图名称保存在模型中。</w:t>
      </w:r>
    </w:p>
    <w:p w14:paraId="359534EB">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2.2.3 预制剪力墙出图</w:t>
      </w:r>
    </w:p>
    <w:p w14:paraId="420E83FE">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将YNQ1的深化设计图纸以A1图幅绘制，并以“4-17F PCQ1”为详图名称保存在模型中。</w:t>
      </w:r>
    </w:p>
    <w:p w14:paraId="5DBBF6ED">
      <w:pPr>
        <w:pStyle w:val="4"/>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2.3 结果提交要求</w:t>
      </w:r>
    </w:p>
    <w:p w14:paraId="68E892F7">
      <w:pPr>
        <w:pStyle w:val="4"/>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将最终的模型以“</w:t>
      </w:r>
      <w:r>
        <w:rPr>
          <w:rFonts w:hint="eastAsia" w:ascii="宋体" w:hAnsi="宋体" w:eastAsia="宋体" w:cs="宋体"/>
          <w:color w:val="auto"/>
          <w:kern w:val="0"/>
          <w:sz w:val="24"/>
          <w:szCs w:val="20"/>
          <w:highlight w:val="none"/>
          <w:lang w:val="en-US" w:eastAsia="zh-CN" w:bidi="zh-CN"/>
        </w:rPr>
        <w:t>座位号+任务二</w:t>
      </w:r>
      <w:r>
        <w:rPr>
          <w:rFonts w:hint="eastAsia" w:ascii="宋体" w:hAnsi="宋体" w:eastAsia="宋体" w:cs="宋体"/>
          <w:color w:val="auto"/>
          <w:highlight w:val="none"/>
          <w:lang w:val="en-US" w:eastAsia="zh-CN"/>
        </w:rPr>
        <w:t xml:space="preserve">”为文件名提交到考试的指定系统。 </w:t>
      </w:r>
    </w:p>
    <w:p w14:paraId="116960AF">
      <w:pPr>
        <w:pStyle w:val="4"/>
        <w:keepNext w:val="0"/>
        <w:keepLines w:val="0"/>
        <w:pageBreakBefore w:val="0"/>
        <w:widowControl/>
        <w:kinsoku/>
        <w:wordWrap/>
        <w:overflowPunct/>
        <w:topLinePunct w:val="0"/>
        <w:autoSpaceDE/>
        <w:autoSpaceDN/>
        <w:bidi w:val="0"/>
        <w:adjustRightInd/>
        <w:snapToGrid/>
        <w:spacing w:line="440" w:lineRule="exact"/>
        <w:ind w:firstLine="600"/>
        <w:textAlignment w:val="auto"/>
        <w:rPr>
          <w:rFonts w:hint="eastAsia"/>
          <w:color w:val="auto"/>
          <w:highlight w:val="none"/>
          <w:lang w:val="en-US" w:eastAsia="zh-CN"/>
        </w:rPr>
      </w:pPr>
    </w:p>
    <w:p w14:paraId="0F22ABC8">
      <w:pPr>
        <w:rPr>
          <w:rFonts w:hint="eastAsia"/>
          <w:color w:val="auto"/>
          <w:highlight w:val="none"/>
          <w:lang w:val="en-US" w:eastAsia="zh-CN"/>
        </w:rPr>
      </w:pPr>
      <w:r>
        <w:rPr>
          <w:rFonts w:hint="eastAsia"/>
          <w:color w:val="auto"/>
          <w:highlight w:val="none"/>
          <w:lang w:val="en-US" w:eastAsia="zh-CN"/>
        </w:rPr>
        <w:br w:type="page"/>
      </w:r>
    </w:p>
    <w:p w14:paraId="6AB600DF">
      <w:pPr>
        <w:widowControl w:val="0"/>
        <w:ind w:firstLine="0" w:firstLineChars="0"/>
        <w:jc w:val="center"/>
        <w:rPr>
          <w:rFonts w:hint="eastAsia" w:ascii="黑体" w:hAnsi="黑体" w:eastAsia="黑体" w:cs="黑体"/>
          <w:b/>
          <w:bCs/>
          <w:kern w:val="2"/>
          <w:sz w:val="30"/>
          <w:szCs w:val="30"/>
          <w:lang w:val="en-US" w:eastAsia="zh-CN"/>
        </w:rPr>
      </w:pPr>
      <w:r>
        <w:rPr>
          <w:rFonts w:hint="eastAsia" w:ascii="黑体" w:hAnsi="黑体" w:eastAsia="黑体" w:cs="黑体"/>
          <w:b/>
          <w:bCs/>
          <w:kern w:val="2"/>
          <w:sz w:val="30"/>
          <w:szCs w:val="30"/>
          <w:lang w:eastAsia="zh-CN"/>
        </w:rPr>
        <w:t>任务</w:t>
      </w:r>
      <w:r>
        <w:rPr>
          <w:rFonts w:hint="eastAsia" w:ascii="黑体" w:hAnsi="黑体" w:eastAsia="黑体" w:cs="黑体"/>
          <w:b/>
          <w:bCs/>
          <w:kern w:val="2"/>
          <w:sz w:val="30"/>
          <w:szCs w:val="30"/>
          <w:lang w:val="en-US" w:eastAsia="zh-CN"/>
        </w:rPr>
        <w:t>三</w:t>
      </w:r>
      <w:r>
        <w:rPr>
          <w:rFonts w:hint="eastAsia" w:ascii="黑体" w:hAnsi="黑体" w:eastAsia="黑体" w:cs="黑体"/>
          <w:b/>
          <w:bCs/>
          <w:kern w:val="2"/>
          <w:sz w:val="30"/>
          <w:szCs w:val="30"/>
          <w:lang w:eastAsia="zh-CN"/>
        </w:rPr>
        <w:t>：</w:t>
      </w:r>
      <w:r>
        <w:rPr>
          <w:rFonts w:hint="eastAsia" w:ascii="黑体" w:hAnsi="黑体" w:eastAsia="黑体" w:cs="黑体"/>
          <w:b/>
          <w:bCs/>
          <w:kern w:val="2"/>
          <w:sz w:val="30"/>
          <w:szCs w:val="30"/>
          <w:lang w:val="en-US" w:eastAsia="zh-CN"/>
        </w:rPr>
        <w:t>装配式建筑构件制作与安装（满分100分）</w:t>
      </w:r>
    </w:p>
    <w:p w14:paraId="1C017B75">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b/>
          <w:bCs/>
          <w:color w:val="auto"/>
          <w:kern w:val="0"/>
          <w:sz w:val="24"/>
          <w:szCs w:val="20"/>
          <w:lang w:val="en-US" w:eastAsia="zh-CN" w:bidi="zh-CN"/>
        </w:rPr>
      </w:pPr>
      <w:r>
        <w:rPr>
          <w:rFonts w:hint="eastAsia" w:ascii="宋体" w:hAnsi="宋体" w:eastAsia="宋体" w:cs="宋体"/>
          <w:b/>
          <w:bCs/>
          <w:color w:val="auto"/>
          <w:kern w:val="0"/>
          <w:sz w:val="24"/>
          <w:szCs w:val="20"/>
          <w:lang w:val="en-US" w:eastAsia="zh-CN" w:bidi="zh-CN"/>
        </w:rPr>
        <w:t>一、装配式构件生产模拟任务书</w:t>
      </w:r>
    </w:p>
    <w:p w14:paraId="4B9A2EE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装配式构件生产仿真需包括：模具摆放、钢筋绑扎与埋件固定、混凝土浇筑、构件预处理与养护、构件起板与质检入库等岗位工艺部分，生产任务包括：预制混凝土桁架叠合板的仿真生产。</w:t>
      </w:r>
    </w:p>
    <w:p w14:paraId="29AB425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（一）模具摆放</w:t>
      </w:r>
    </w:p>
    <w:p w14:paraId="7AC9AD2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根据提供的图纸进行划线机操作、模具选择、模具组装、模具矫正固定、模具脱模剂涂刷等操作实训。</w:t>
      </w:r>
    </w:p>
    <w:p w14:paraId="5E2C3ABF">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（二）钢筋绑扎与埋件固定</w:t>
      </w:r>
    </w:p>
    <w:p w14:paraId="2F9C0C12">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根据提供的图纸资料进行钢筋下料、钢筋制作（折弯、拉直、截断等）、钢筋绑扎、埋件固定等操作实训。</w:t>
      </w:r>
    </w:p>
    <w:p w14:paraId="39752B1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（三）混凝土浇筑岗位模块</w:t>
      </w:r>
    </w:p>
    <w:p w14:paraId="4FBD430E">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虚拟仿真构件生产过程构件浇筑岗位操作，训练考核学生根据目标生产构件进行混凝土请求下料、构件浇筑振捣、保温板铺设固定等操作。</w:t>
      </w:r>
    </w:p>
    <w:p w14:paraId="6D7F2C4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（四）构件预处理与养护岗位模块</w:t>
      </w:r>
    </w:p>
    <w:p w14:paraId="00AC8CA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虚拟仿真构件生产过程构件预处理与养护岗位操作，训练考核学生根据目标生产构件进行构件拉毛、构件赶平、预养库预养、抹光机抹光、构件蒸养库存取操作、构件蒸养等操作。</w:t>
      </w:r>
    </w:p>
    <w:p w14:paraId="28BCA359">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（五）构件起板与质检入库岗位模块</w:t>
      </w:r>
    </w:p>
    <w:p w14:paraId="2DC81DF1">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虚拟仿真构件生产过程构件起板与质检入库岗位操作，训练考核学生根据目标生产构件进行构件脱模、清洗糙面、起板入库、构件码放入库等操作。</w:t>
      </w:r>
    </w:p>
    <w:p w14:paraId="4F74F8A5">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b/>
          <w:bCs/>
          <w:color w:val="auto"/>
          <w:kern w:val="0"/>
          <w:sz w:val="24"/>
          <w:szCs w:val="20"/>
          <w:lang w:val="en-US" w:eastAsia="zh-CN" w:bidi="zh-CN"/>
        </w:rPr>
      </w:pPr>
      <w:r>
        <w:rPr>
          <w:rFonts w:hint="eastAsia" w:ascii="宋体" w:hAnsi="宋体" w:eastAsia="宋体" w:cs="宋体"/>
          <w:b/>
          <w:bCs/>
          <w:color w:val="auto"/>
          <w:kern w:val="0"/>
          <w:sz w:val="24"/>
          <w:szCs w:val="20"/>
          <w:lang w:val="en-US" w:eastAsia="zh-CN" w:bidi="zh-CN"/>
        </w:rPr>
        <w:t>二、装配式构件安装任务书</w:t>
      </w:r>
    </w:p>
    <w:p w14:paraId="7D23FC63">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装配式建筑构件安装仿真包括：预制混凝土桁架叠合板的仿真安装、PCZ构件灌浆、T型现浇连接等岗位工艺部分。</w:t>
      </w:r>
    </w:p>
    <w:p w14:paraId="37F868F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（一）构件吊装</w:t>
      </w:r>
    </w:p>
    <w:p w14:paraId="7F7A951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根据任务要求进行施工准备、构件确认检查、定位放线、连接钢筋检查矫正、结合面处理、标高超平、保温条铺设、起板移位、吊装就位、临时固定矫正、工完料清等操作。</w:t>
      </w:r>
    </w:p>
    <w:p w14:paraId="3B1604A0">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（二）构件灌浆</w:t>
      </w:r>
    </w:p>
    <w:p w14:paraId="6A013F3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根据任务要求进行施工准备、封缝料制备、分仓、封仓、灌浆料制备、流动度检测、试块制作、灌浆施工、工完料清等操作。</w:t>
      </w:r>
    </w:p>
    <w:p w14:paraId="2D09E67B">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（三）节点连接</w:t>
      </w:r>
    </w:p>
    <w:p w14:paraId="405C6718">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根据根据任务要求进行施工准备、连接钢筋检查矫正、结合面处理、保温条粘贴、安装螺纹套筒、钢筋绑扎、模板支设、混凝土浇筑、工完料清等操作。</w:t>
      </w:r>
    </w:p>
    <w:p w14:paraId="5FC7C5BC">
      <w:pPr>
        <w:pStyle w:val="4"/>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现浇段/现浇楼面钢筋绑扎、管线预埋、模板支设、混凝土浇筑与振捣等工艺训练。</w:t>
      </w:r>
    </w:p>
    <w:p w14:paraId="1ED3D1E1">
      <w:pPr>
        <w:widowControl w:val="0"/>
        <w:ind w:firstLine="0" w:firstLineChars="0"/>
        <w:jc w:val="center"/>
        <w:rPr>
          <w:rFonts w:hint="eastAsia" w:ascii="黑体" w:hAnsi="黑体" w:eastAsia="黑体" w:cs="黑体"/>
          <w:b/>
          <w:bCs/>
          <w:kern w:val="2"/>
          <w:sz w:val="30"/>
          <w:szCs w:val="30"/>
          <w:lang w:val="en-US" w:eastAsia="zh-CN" w:bidi="ar-SA"/>
        </w:rPr>
      </w:pPr>
    </w:p>
    <w:p w14:paraId="232890FD">
      <w:pPr>
        <w:pStyle w:val="4"/>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center"/>
        <w:textAlignment w:val="auto"/>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任务四：智慧工地应用与管理考题（满分100分）</w:t>
      </w:r>
    </w:p>
    <w:p w14:paraId="53F11DE1">
      <w:pPr>
        <w:pageBreakBefore w:val="0"/>
        <w:widowControl/>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auto"/>
          <w:kern w:val="0"/>
          <w:sz w:val="24"/>
          <w:szCs w:val="20"/>
          <w:lang w:val="en-US" w:eastAsia="zh-CN" w:bidi="zh-CN"/>
        </w:rPr>
      </w:pPr>
      <w:r>
        <w:rPr>
          <w:rFonts w:hint="eastAsia" w:ascii="宋体" w:hAnsi="宋体" w:eastAsia="宋体" w:cs="宋体"/>
          <w:color w:val="auto"/>
          <w:kern w:val="0"/>
          <w:sz w:val="24"/>
          <w:szCs w:val="20"/>
          <w:lang w:val="en-US" w:eastAsia="zh-CN" w:bidi="zh-CN"/>
        </w:rPr>
        <w:t>参赛选手通过竞赛平台以一人多岗仿真操作的形式，对拟造的仿真智慧工地进行信息记录、智能设备及管理平台应用、智能设备维护、异常隐患处理、异常工况处理，保证工程施工顺利进行。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B1C58E"/>
    <w:multiLevelType w:val="singleLevel"/>
    <w:tmpl w:val="68B1C58E"/>
    <w:lvl w:ilvl="0" w:tentative="0">
      <w:start w:val="4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0MGVjM2VlOGE3NTZlZDgxYzNhN2U3NmU1OTFiYTYifQ=="/>
    <w:docVar w:name="KSO_WPS_MARK_KEY" w:val="043a109c-f85c-4477-af87-1cec54066f1f"/>
  </w:docVars>
  <w:rsids>
    <w:rsidRoot w:val="46727CC3"/>
    <w:rsid w:val="00881B25"/>
    <w:rsid w:val="012375FA"/>
    <w:rsid w:val="018108ED"/>
    <w:rsid w:val="0717748D"/>
    <w:rsid w:val="081F03A2"/>
    <w:rsid w:val="083C6ED0"/>
    <w:rsid w:val="08580653"/>
    <w:rsid w:val="090D30A4"/>
    <w:rsid w:val="09470349"/>
    <w:rsid w:val="0A1F79C0"/>
    <w:rsid w:val="0A3B7763"/>
    <w:rsid w:val="0A726EBC"/>
    <w:rsid w:val="0A8120A4"/>
    <w:rsid w:val="0B5B7BC3"/>
    <w:rsid w:val="0BC97388"/>
    <w:rsid w:val="0BE75DCB"/>
    <w:rsid w:val="0C2B6600"/>
    <w:rsid w:val="0C632FA1"/>
    <w:rsid w:val="0CDD578D"/>
    <w:rsid w:val="0D132186"/>
    <w:rsid w:val="0DDA2272"/>
    <w:rsid w:val="0DE4172C"/>
    <w:rsid w:val="0E0F1A0E"/>
    <w:rsid w:val="0E7B082E"/>
    <w:rsid w:val="0ED463D8"/>
    <w:rsid w:val="0F753717"/>
    <w:rsid w:val="0FD06B9F"/>
    <w:rsid w:val="11C90D9E"/>
    <w:rsid w:val="12802AFE"/>
    <w:rsid w:val="12AC3BF8"/>
    <w:rsid w:val="145D29CB"/>
    <w:rsid w:val="1587016D"/>
    <w:rsid w:val="160E6673"/>
    <w:rsid w:val="161D4EA1"/>
    <w:rsid w:val="162F104C"/>
    <w:rsid w:val="16F72C63"/>
    <w:rsid w:val="179D11C1"/>
    <w:rsid w:val="18574301"/>
    <w:rsid w:val="196E7183"/>
    <w:rsid w:val="198A2A2E"/>
    <w:rsid w:val="19B17359"/>
    <w:rsid w:val="1A9B66B2"/>
    <w:rsid w:val="1AFD18BD"/>
    <w:rsid w:val="1B625EB0"/>
    <w:rsid w:val="1C522596"/>
    <w:rsid w:val="1DFC3255"/>
    <w:rsid w:val="1E3608F3"/>
    <w:rsid w:val="1E390005"/>
    <w:rsid w:val="1EBF5851"/>
    <w:rsid w:val="1F2B5FD4"/>
    <w:rsid w:val="1F757F71"/>
    <w:rsid w:val="203B5FCA"/>
    <w:rsid w:val="20D109C9"/>
    <w:rsid w:val="229B4DEB"/>
    <w:rsid w:val="233D3949"/>
    <w:rsid w:val="2472601F"/>
    <w:rsid w:val="248D590F"/>
    <w:rsid w:val="256939F6"/>
    <w:rsid w:val="259C15A5"/>
    <w:rsid w:val="261B7E53"/>
    <w:rsid w:val="26786F8E"/>
    <w:rsid w:val="26A34A0C"/>
    <w:rsid w:val="26FE1DEC"/>
    <w:rsid w:val="28AB1A8A"/>
    <w:rsid w:val="2912392D"/>
    <w:rsid w:val="295E4DC4"/>
    <w:rsid w:val="299627B0"/>
    <w:rsid w:val="2B4B0E39"/>
    <w:rsid w:val="2BCC6FD1"/>
    <w:rsid w:val="2C227E75"/>
    <w:rsid w:val="2D077970"/>
    <w:rsid w:val="2DC3364B"/>
    <w:rsid w:val="2F434BE0"/>
    <w:rsid w:val="2FB76FDC"/>
    <w:rsid w:val="2FFB15BE"/>
    <w:rsid w:val="3330157F"/>
    <w:rsid w:val="33E81E5A"/>
    <w:rsid w:val="34180CFD"/>
    <w:rsid w:val="34543A82"/>
    <w:rsid w:val="35F75449"/>
    <w:rsid w:val="36D3294D"/>
    <w:rsid w:val="386E2D36"/>
    <w:rsid w:val="3985597A"/>
    <w:rsid w:val="3AB658AA"/>
    <w:rsid w:val="3B57705B"/>
    <w:rsid w:val="3BA04B7A"/>
    <w:rsid w:val="3C4936B2"/>
    <w:rsid w:val="3ED744B6"/>
    <w:rsid w:val="3FDE4D53"/>
    <w:rsid w:val="40311CF5"/>
    <w:rsid w:val="40A444A2"/>
    <w:rsid w:val="41720FB5"/>
    <w:rsid w:val="42052F22"/>
    <w:rsid w:val="42687CB8"/>
    <w:rsid w:val="42CE4911"/>
    <w:rsid w:val="43691841"/>
    <w:rsid w:val="43E83856"/>
    <w:rsid w:val="447011D8"/>
    <w:rsid w:val="44827F89"/>
    <w:rsid w:val="45FC0381"/>
    <w:rsid w:val="46727CC3"/>
    <w:rsid w:val="474B29D4"/>
    <w:rsid w:val="47F92430"/>
    <w:rsid w:val="480A2DFE"/>
    <w:rsid w:val="48B87FA9"/>
    <w:rsid w:val="4A4233E6"/>
    <w:rsid w:val="4A862CA8"/>
    <w:rsid w:val="4AAB5C9C"/>
    <w:rsid w:val="4AB479AB"/>
    <w:rsid w:val="4B103BA1"/>
    <w:rsid w:val="4B823153"/>
    <w:rsid w:val="4B8F7CD2"/>
    <w:rsid w:val="4DDC6827"/>
    <w:rsid w:val="4EC51DA8"/>
    <w:rsid w:val="4FF649D2"/>
    <w:rsid w:val="502D6F76"/>
    <w:rsid w:val="50A02441"/>
    <w:rsid w:val="51B36D62"/>
    <w:rsid w:val="51E952C3"/>
    <w:rsid w:val="520305DE"/>
    <w:rsid w:val="5352398D"/>
    <w:rsid w:val="5389532C"/>
    <w:rsid w:val="54077C82"/>
    <w:rsid w:val="55867566"/>
    <w:rsid w:val="568A1989"/>
    <w:rsid w:val="57D558B8"/>
    <w:rsid w:val="57DD4067"/>
    <w:rsid w:val="58042F3C"/>
    <w:rsid w:val="58EA170E"/>
    <w:rsid w:val="5932473C"/>
    <w:rsid w:val="5AAE70AA"/>
    <w:rsid w:val="5AB061B7"/>
    <w:rsid w:val="5BF25086"/>
    <w:rsid w:val="5C8A2D89"/>
    <w:rsid w:val="5CB67DF7"/>
    <w:rsid w:val="5D377043"/>
    <w:rsid w:val="5DAF7EC8"/>
    <w:rsid w:val="5DCB1D21"/>
    <w:rsid w:val="5FF54FC5"/>
    <w:rsid w:val="60BB7E2A"/>
    <w:rsid w:val="615A5895"/>
    <w:rsid w:val="618330A2"/>
    <w:rsid w:val="62DA4053"/>
    <w:rsid w:val="63547DD2"/>
    <w:rsid w:val="63AA346A"/>
    <w:rsid w:val="63B11C10"/>
    <w:rsid w:val="656A6DD2"/>
    <w:rsid w:val="666310C9"/>
    <w:rsid w:val="67705D56"/>
    <w:rsid w:val="67790505"/>
    <w:rsid w:val="68C61A62"/>
    <w:rsid w:val="690A194F"/>
    <w:rsid w:val="69B67B41"/>
    <w:rsid w:val="69E00770"/>
    <w:rsid w:val="6BBB792E"/>
    <w:rsid w:val="6BCE4EB6"/>
    <w:rsid w:val="6C523D39"/>
    <w:rsid w:val="70D70CB1"/>
    <w:rsid w:val="72065D79"/>
    <w:rsid w:val="721F1B08"/>
    <w:rsid w:val="733E475E"/>
    <w:rsid w:val="748E78D8"/>
    <w:rsid w:val="74AA09E3"/>
    <w:rsid w:val="75A01432"/>
    <w:rsid w:val="770B54ED"/>
    <w:rsid w:val="78370812"/>
    <w:rsid w:val="7A8D7D8F"/>
    <w:rsid w:val="7B1448AF"/>
    <w:rsid w:val="7B5D0004"/>
    <w:rsid w:val="7BAC195A"/>
    <w:rsid w:val="7C5E358A"/>
    <w:rsid w:val="7CEF4FBE"/>
    <w:rsid w:val="7E3D2579"/>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1044" w:firstLineChars="200"/>
    </w:pPr>
    <w:rPr>
      <w:rFonts w:ascii="Times New Roman" w:hAnsi="Times New Roman" w:eastAsia="楷体" w:cs="Times New Roman"/>
      <w:sz w:val="28"/>
      <w:szCs w:val="24"/>
      <w:lang w:val="en-US" w:eastAsia="en-US" w:bidi="ar-SA"/>
    </w:rPr>
  </w:style>
  <w:style w:type="paragraph" w:styleId="2">
    <w:name w:val="heading 2"/>
    <w:basedOn w:val="1"/>
    <w:next w:val="1"/>
    <w:link w:val="10"/>
    <w:unhideWhenUsed/>
    <w:qFormat/>
    <w:uiPriority w:val="0"/>
    <w:pPr>
      <w:keepNext/>
      <w:keepLines/>
      <w:spacing w:before="60" w:after="60"/>
      <w:outlineLvl w:val="1"/>
    </w:pPr>
    <w:rPr>
      <w:rFonts w:ascii="Arial" w:hAnsi="Arial" w:eastAsia="黑体"/>
      <w:b/>
    </w:rPr>
  </w:style>
  <w:style w:type="paragraph" w:styleId="3">
    <w:name w:val="heading 3"/>
    <w:basedOn w:val="1"/>
    <w:next w:val="1"/>
    <w:link w:val="11"/>
    <w:unhideWhenUsed/>
    <w:qFormat/>
    <w:uiPriority w:val="0"/>
    <w:pPr>
      <w:keepNext/>
      <w:keepLines/>
      <w:spacing w:before="10" w:beforeLines="10" w:after="10" w:afterLines="10"/>
      <w:ind w:firstLine="482" w:firstLineChars="200"/>
      <w:outlineLvl w:val="2"/>
    </w:pPr>
    <w:rPr>
      <w:rFonts w:eastAsia="宋体"/>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line="360" w:lineRule="auto"/>
      <w:ind w:left="0" w:firstLine="723" w:firstLineChars="200"/>
    </w:pPr>
    <w:rPr>
      <w:rFonts w:ascii="仿宋" w:hAnsi="仿宋" w:eastAsia="仿宋_GB2312" w:cs="仿宋"/>
      <w:kern w:val="0"/>
      <w:sz w:val="24"/>
      <w:szCs w:val="20"/>
      <w:lang w:val="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9">
    <w:name w:val="Style1"/>
    <w:qFormat/>
    <w:uiPriority w:val="0"/>
    <w:pPr>
      <w:spacing w:after="120" w:line="259" w:lineRule="auto"/>
      <w:jc w:val="both"/>
    </w:pPr>
    <w:rPr>
      <w:rFonts w:ascii="Calibri" w:hAnsi="Calibri" w:eastAsia="Times New Roman" w:cs="Times New Roman"/>
      <w:color w:val="000000"/>
      <w:spacing w:val="-3"/>
      <w:sz w:val="24"/>
      <w:szCs w:val="24"/>
      <w:lang w:val="en-US" w:eastAsia="zh-CN" w:bidi="ar-SA"/>
    </w:rPr>
  </w:style>
  <w:style w:type="character" w:customStyle="1" w:styleId="10">
    <w:name w:val="标题 2 字符1"/>
    <w:link w:val="2"/>
    <w:qFormat/>
    <w:uiPriority w:val="0"/>
    <w:rPr>
      <w:rFonts w:ascii="Arial" w:hAnsi="Arial" w:eastAsia="黑体"/>
      <w:b/>
    </w:rPr>
  </w:style>
  <w:style w:type="character" w:customStyle="1" w:styleId="11">
    <w:name w:val="标题 3 字符1"/>
    <w:link w:val="3"/>
    <w:qFormat/>
    <w:uiPriority w:val="0"/>
    <w:rPr>
      <w:rFonts w:eastAsia="宋体"/>
      <w:szCs w:val="22"/>
    </w:rPr>
  </w:style>
  <w:style w:type="paragraph" w:styleId="12">
    <w:name w:val="List Paragraph"/>
    <w:basedOn w:val="1"/>
    <w:qFormat/>
    <w:uiPriority w:val="1"/>
    <w:pPr>
      <w:ind w:left="740" w:hanging="7"/>
    </w:pPr>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6706</Words>
  <Characters>8322</Characters>
  <Lines>0</Lines>
  <Paragraphs>0</Paragraphs>
  <TotalTime>5</TotalTime>
  <ScaleCrop>false</ScaleCrop>
  <LinksUpToDate>false</LinksUpToDate>
  <CharactersWithSpaces>10176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2024-12-10T01:24:00Z</dcterms:created>
  <dc:creator>曾福英</dc:creator>
  <cp:lastModifiedBy>查雅</cp:lastModifiedBy>
  <dcterms:modified xsi:type="dcterms:W3CDTF">2024-12-15T12:59:53Z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88BBE2208F9D4804BC79CEBDE5190867_13</vt:lpwstr>
  </property>
</Properties>
</file>