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38D0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2024年河南省高等职业教育技能大赛</w:t>
      </w:r>
    </w:p>
    <w:p w14:paraId="47F909A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装配式建筑智能建造赛项竞赛试题</w:t>
      </w:r>
    </w:p>
    <w:p w14:paraId="69101BB6">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ascii="宋体" w:hAnsi="宋体" w:eastAsia="宋体" w:cs="宋体"/>
          <w:sz w:val="24"/>
          <w:szCs w:val="24"/>
        </w:rPr>
        <w:t>竞赛前在</w:t>
      </w:r>
      <w:r>
        <w:rPr>
          <w:rFonts w:hint="eastAsia" w:ascii="宋体" w:hAnsi="宋体" w:eastAsia="宋体" w:cs="宋体"/>
          <w:sz w:val="24"/>
          <w:szCs w:val="24"/>
          <w:lang w:val="en-US" w:eastAsia="zh-CN"/>
        </w:rPr>
        <w:t>已公布的任务书</w:t>
      </w:r>
      <w:r>
        <w:rPr>
          <w:rFonts w:ascii="宋体" w:hAnsi="宋体" w:eastAsia="宋体" w:cs="宋体"/>
          <w:sz w:val="24"/>
          <w:szCs w:val="24"/>
        </w:rPr>
        <w:t>基础上修改不超过30%作为最终的竞赛试题。</w:t>
      </w:r>
      <w:r>
        <w:rPr>
          <w:rFonts w:hint="eastAsia" w:ascii="宋体" w:hAnsi="宋体" w:eastAsia="宋体" w:cs="宋体"/>
          <w:sz w:val="24"/>
          <w:szCs w:val="24"/>
          <w:lang w:val="en-US" w:eastAsia="zh-CN"/>
        </w:rPr>
        <w:t>)</w:t>
      </w:r>
    </w:p>
    <w:p w14:paraId="05A490BA">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黑体" w:hAnsi="黑体" w:eastAsia="黑体" w:cs="黑体"/>
          <w:b/>
          <w:bCs/>
          <w:kern w:val="2"/>
          <w:sz w:val="30"/>
          <w:szCs w:val="30"/>
          <w:lang w:eastAsia="zh-CN"/>
        </w:rPr>
      </w:pPr>
      <w:r>
        <w:rPr>
          <w:rFonts w:hint="eastAsia" w:ascii="黑体" w:hAnsi="黑体" w:eastAsia="黑体" w:cs="黑体"/>
          <w:b/>
          <w:bCs/>
          <w:kern w:val="2"/>
          <w:sz w:val="30"/>
          <w:szCs w:val="30"/>
          <w:lang w:eastAsia="zh-CN"/>
        </w:rPr>
        <w:t>任务一：</w:t>
      </w:r>
      <w:r>
        <w:rPr>
          <w:rFonts w:hint="eastAsia" w:ascii="黑体" w:hAnsi="黑体" w:eastAsia="黑体" w:cs="黑体"/>
          <w:b/>
          <w:bCs/>
          <w:kern w:val="2"/>
          <w:sz w:val="30"/>
          <w:szCs w:val="30"/>
          <w:lang w:val="en-US" w:eastAsia="zh-CN"/>
        </w:rPr>
        <w:t>理论知识（满分100分）</w:t>
      </w:r>
      <w:bookmarkStart w:id="6" w:name="_GoBack"/>
      <w:bookmarkEnd w:id="6"/>
    </w:p>
    <w:p w14:paraId="1F3A1F17">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一、单项选择题（共60小题，每小题1分，共60分，其中1-20题请根据任务二附图作答）</w:t>
      </w:r>
    </w:p>
    <w:p w14:paraId="6C2A997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1.本工程叠合楼板的预制层厚度为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5F102DE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A.60      B.70      C.80      D.130</w:t>
      </w:r>
    </w:p>
    <w:p w14:paraId="7546DB2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6E90D05A">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2.本工程框架抗震等级为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t</w:t>
      </w:r>
    </w:p>
    <w:p w14:paraId="0BFD746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A.一级    B.二级    C.三级    D.四级</w:t>
      </w:r>
    </w:p>
    <w:p w14:paraId="4FFFA71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7D31E17E">
      <w:pPr>
        <w:pStyle w:val="5"/>
        <w:keepNext w:val="0"/>
        <w:keepLines w:val="0"/>
        <w:pageBreakBefore w:val="0"/>
        <w:widowControl/>
        <w:numPr>
          <w:ilvl w:val="0"/>
          <w:numId w:val="1"/>
        </w:numPr>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KZ1的箍筋为</w:t>
      </w:r>
      <w:r>
        <w:rPr>
          <w:rFonts w:hint="eastAsia" w:ascii="宋体" w:hAnsi="宋体" w:eastAsia="宋体" w:cs="宋体"/>
          <w:color w:val="auto"/>
          <w:sz w:val="24"/>
          <w:szCs w:val="24"/>
          <w:lang w:val="en-US" w:eastAsia="zh-CN"/>
        </w:rPr>
        <w:t>(    )</w:t>
      </w:r>
    </w:p>
    <w:p w14:paraId="32BD4554">
      <w:pPr>
        <w:pStyle w:val="5"/>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A．C8@100/200    B．C10@100/200    C．C10@100    D．C8@100</w:t>
      </w:r>
    </w:p>
    <w:p w14:paraId="416FDBED">
      <w:pPr>
        <w:pStyle w:val="5"/>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kern w:val="2"/>
          <w:sz w:val="24"/>
          <w:szCs w:val="24"/>
          <w:lang w:val="en-US" w:eastAsia="zh-CN" w:bidi="ar-SA"/>
        </w:rPr>
      </w:pPr>
    </w:p>
    <w:p w14:paraId="3E1985DA">
      <w:pPr>
        <w:pStyle w:val="5"/>
        <w:keepNext w:val="0"/>
        <w:keepLines w:val="0"/>
        <w:pageBreakBefore w:val="0"/>
        <w:widowControl/>
        <w:numPr>
          <w:ilvl w:val="0"/>
          <w:numId w:val="1"/>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KZ5*的箍筋为</w:t>
      </w:r>
      <w:r>
        <w:rPr>
          <w:rFonts w:hint="eastAsia" w:ascii="宋体" w:hAnsi="宋体" w:eastAsia="宋体" w:cs="宋体"/>
          <w:color w:val="auto"/>
          <w:sz w:val="24"/>
          <w:szCs w:val="24"/>
          <w:lang w:val="en-US" w:eastAsia="zh-CN"/>
        </w:rPr>
        <w:t>(    )</w:t>
      </w:r>
    </w:p>
    <w:p w14:paraId="734D41BD">
      <w:pPr>
        <w:pStyle w:val="5"/>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A．C8@100/200    B．C10@100/200    C．C10@100    D．C8@100</w:t>
      </w:r>
    </w:p>
    <w:p w14:paraId="6595967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5CEADC36">
      <w:pPr>
        <w:pStyle w:val="5"/>
        <w:keepNext w:val="0"/>
        <w:keepLines w:val="0"/>
        <w:pageBreakBefore w:val="0"/>
        <w:widowControl/>
        <w:numPr>
          <w:ilvl w:val="0"/>
          <w:numId w:val="1"/>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KZ2的箍筋肢数为</w:t>
      </w:r>
      <w:r>
        <w:rPr>
          <w:rFonts w:hint="eastAsia" w:ascii="宋体" w:hAnsi="宋体" w:eastAsia="宋体" w:cs="宋体"/>
          <w:color w:val="auto"/>
          <w:sz w:val="24"/>
          <w:szCs w:val="24"/>
          <w:lang w:val="en-US" w:eastAsia="zh-CN"/>
        </w:rPr>
        <w:t>(    )</w:t>
      </w:r>
    </w:p>
    <w:p w14:paraId="16A47A0A">
      <w:pPr>
        <w:pStyle w:val="5"/>
        <w:keepNext w:val="0"/>
        <w:keepLines w:val="0"/>
        <w:pageBreakBefore w:val="0"/>
        <w:widowControl/>
        <w:numPr>
          <w:ilvl w:val="0"/>
          <w:numId w:val="0"/>
        </w:numPr>
        <w:kinsoku/>
        <w:wordWrap/>
        <w:overflowPunct/>
        <w:topLinePunct w:val="0"/>
        <w:autoSpaceDE/>
        <w:autoSpaceDN/>
        <w:bidi w:val="0"/>
        <w:adjustRightInd/>
        <w:snapToGrid/>
        <w:spacing w:line="480" w:lineRule="exact"/>
        <w:ind w:left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A.4x4    B.5x5    C.4x5    D.5x4</w:t>
      </w:r>
    </w:p>
    <w:p w14:paraId="03ABC1DA">
      <w:pPr>
        <w:pStyle w:val="5"/>
        <w:keepNext w:val="0"/>
        <w:keepLines w:val="0"/>
        <w:pageBreakBefore w:val="0"/>
        <w:widowControl/>
        <w:numPr>
          <w:ilvl w:val="0"/>
          <w:numId w:val="0"/>
        </w:numPr>
        <w:kinsoku/>
        <w:wordWrap/>
        <w:overflowPunct/>
        <w:topLinePunct w:val="0"/>
        <w:autoSpaceDE/>
        <w:autoSpaceDN/>
        <w:bidi w:val="0"/>
        <w:adjustRightInd/>
        <w:snapToGrid/>
        <w:spacing w:line="480" w:lineRule="exact"/>
        <w:ind w:leftChars="200"/>
        <w:textAlignment w:val="auto"/>
        <w:rPr>
          <w:rFonts w:hint="eastAsia" w:ascii="宋体" w:hAnsi="宋体" w:eastAsia="宋体" w:cs="宋体"/>
          <w:color w:val="auto"/>
          <w:kern w:val="2"/>
          <w:sz w:val="24"/>
          <w:szCs w:val="24"/>
          <w:lang w:val="en-US" w:eastAsia="zh-CN" w:bidi="ar-SA"/>
        </w:rPr>
      </w:pPr>
    </w:p>
    <w:p w14:paraId="71C91DF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6.L5的截面尺寸为</w:t>
      </w:r>
      <w:r>
        <w:rPr>
          <w:rFonts w:hint="eastAsia" w:ascii="宋体" w:hAnsi="宋体" w:eastAsia="宋体" w:cs="宋体"/>
          <w:color w:val="auto"/>
          <w:sz w:val="24"/>
          <w:szCs w:val="24"/>
          <w:lang w:val="en-US" w:eastAsia="zh-CN"/>
        </w:rPr>
        <w:t>(    )</w:t>
      </w:r>
    </w:p>
    <w:p w14:paraId="3D77ABE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A.350x650     B.200x600      C.300x600     D.400x650  </w:t>
      </w:r>
    </w:p>
    <w:p w14:paraId="249186D6">
      <w:pPr>
        <w:pStyle w:val="5"/>
        <w:keepNext w:val="0"/>
        <w:keepLines w:val="0"/>
        <w:pageBreakBefore w:val="0"/>
        <w:widowControl/>
        <w:numPr>
          <w:ilvl w:val="0"/>
          <w:numId w:val="0"/>
        </w:numPr>
        <w:kinsoku/>
        <w:wordWrap/>
        <w:overflowPunct/>
        <w:topLinePunct w:val="0"/>
        <w:autoSpaceDE/>
        <w:autoSpaceDN/>
        <w:bidi w:val="0"/>
        <w:adjustRightInd/>
        <w:snapToGrid/>
        <w:spacing w:line="480" w:lineRule="exact"/>
        <w:ind w:leftChars="200"/>
        <w:textAlignment w:val="auto"/>
        <w:rPr>
          <w:rFonts w:hint="eastAsia" w:ascii="宋体" w:hAnsi="宋体" w:eastAsia="宋体" w:cs="宋体"/>
          <w:color w:val="auto"/>
          <w:kern w:val="2"/>
          <w:sz w:val="24"/>
          <w:szCs w:val="24"/>
          <w:lang w:val="en-US" w:eastAsia="zh-CN" w:bidi="ar-SA"/>
        </w:rPr>
      </w:pPr>
      <w:bookmarkStart w:id="0" w:name="OLE_LINK2"/>
    </w:p>
    <w:bookmarkEnd w:id="0"/>
    <w:p w14:paraId="5A8ECD4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7.二层L12的梁顶标高为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w:t>
      </w:r>
    </w:p>
    <w:p w14:paraId="71FD7F0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A.5.950     B.5.700    C.6.000       D.5.750</w:t>
      </w:r>
    </w:p>
    <w:p w14:paraId="52B7827F">
      <w:pPr>
        <w:pStyle w:val="5"/>
        <w:keepNext w:val="0"/>
        <w:keepLines w:val="0"/>
        <w:pageBreakBefore w:val="0"/>
        <w:widowControl/>
        <w:numPr>
          <w:ilvl w:val="0"/>
          <w:numId w:val="0"/>
        </w:numPr>
        <w:kinsoku/>
        <w:wordWrap/>
        <w:overflowPunct/>
        <w:topLinePunct w:val="0"/>
        <w:autoSpaceDE/>
        <w:autoSpaceDN/>
        <w:bidi w:val="0"/>
        <w:adjustRightInd/>
        <w:snapToGrid/>
        <w:spacing w:line="480" w:lineRule="exact"/>
        <w:ind w:leftChars="200"/>
        <w:textAlignment w:val="auto"/>
        <w:rPr>
          <w:rFonts w:hint="eastAsia" w:ascii="宋体" w:hAnsi="宋体" w:eastAsia="宋体" w:cs="宋体"/>
          <w:color w:val="auto"/>
          <w:kern w:val="2"/>
          <w:sz w:val="24"/>
          <w:szCs w:val="24"/>
          <w:lang w:val="en-US" w:eastAsia="zh-CN" w:bidi="ar-SA"/>
        </w:rPr>
      </w:pPr>
    </w:p>
    <w:p w14:paraId="6275110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8.LB2的现浇厚度为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1251366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A.60      B.80      C.100      D.120</w:t>
      </w:r>
    </w:p>
    <w:p w14:paraId="106FC2B7">
      <w:pPr>
        <w:pStyle w:val="5"/>
        <w:keepNext w:val="0"/>
        <w:keepLines w:val="0"/>
        <w:pageBreakBefore w:val="0"/>
        <w:widowControl/>
        <w:numPr>
          <w:ilvl w:val="0"/>
          <w:numId w:val="0"/>
        </w:numPr>
        <w:kinsoku/>
        <w:wordWrap/>
        <w:overflowPunct/>
        <w:topLinePunct w:val="0"/>
        <w:autoSpaceDE/>
        <w:autoSpaceDN/>
        <w:bidi w:val="0"/>
        <w:adjustRightInd/>
        <w:snapToGrid/>
        <w:spacing w:line="480" w:lineRule="exact"/>
        <w:ind w:leftChars="200"/>
        <w:textAlignment w:val="auto"/>
        <w:rPr>
          <w:rFonts w:hint="eastAsia" w:ascii="宋体" w:hAnsi="宋体" w:eastAsia="宋体" w:cs="宋体"/>
          <w:color w:val="auto"/>
          <w:kern w:val="2"/>
          <w:sz w:val="24"/>
          <w:szCs w:val="24"/>
          <w:lang w:val="en-US" w:eastAsia="zh-CN" w:bidi="ar-SA"/>
        </w:rPr>
      </w:pPr>
    </w:p>
    <w:p w14:paraId="38DB7A0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9.LB3的板底X方向钢筋为</w:t>
      </w:r>
      <w:r>
        <w:rPr>
          <w:rFonts w:hint="eastAsia" w:ascii="宋体" w:hAnsi="宋体" w:eastAsia="宋体" w:cs="宋体"/>
          <w:color w:val="auto"/>
          <w:sz w:val="24"/>
          <w:szCs w:val="24"/>
          <w:lang w:val="en-US" w:eastAsia="zh-CN"/>
        </w:rPr>
        <w:t>(    )</w:t>
      </w:r>
    </w:p>
    <w:p w14:paraId="1984C81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A.C8@150      B.C8@180     C.C10@150     D.C10@180</w:t>
      </w:r>
    </w:p>
    <w:p w14:paraId="27B8690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2090C45A">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10.KL1的上部通长钢筋根数为</w:t>
      </w:r>
      <w:r>
        <w:rPr>
          <w:rFonts w:hint="eastAsia" w:ascii="宋体" w:hAnsi="宋体" w:eastAsia="宋体" w:cs="宋体"/>
          <w:color w:val="auto"/>
          <w:sz w:val="24"/>
          <w:szCs w:val="24"/>
          <w:lang w:val="en-US" w:eastAsia="zh-CN"/>
        </w:rPr>
        <w:t>(    )</w:t>
      </w:r>
    </w:p>
    <w:p w14:paraId="366B914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A.2     B.3     C.4     D.6</w:t>
      </w:r>
    </w:p>
    <w:p w14:paraId="04E4D6E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6B2A9C0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11.以下关于KL8的说法错误的是</w:t>
      </w:r>
      <w:r>
        <w:rPr>
          <w:rFonts w:hint="eastAsia" w:ascii="宋体" w:hAnsi="宋体" w:eastAsia="宋体" w:cs="宋体"/>
          <w:color w:val="auto"/>
          <w:sz w:val="24"/>
          <w:szCs w:val="24"/>
          <w:lang w:val="en-US" w:eastAsia="zh-CN"/>
        </w:rPr>
        <w:t>(    )</w:t>
      </w:r>
    </w:p>
    <w:p w14:paraId="64F99E1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A.截面尺寸为300x600      B.上部通长钢筋为2C22     </w:t>
      </w:r>
    </w:p>
    <w:p w14:paraId="2D6CBAE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C.跨数为2跨              D.箍筋肢数为双肢箍</w:t>
      </w:r>
    </w:p>
    <w:p w14:paraId="1D2CCD5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5FEA6F2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12.二层LB4的板顶标高为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w:t>
      </w:r>
    </w:p>
    <w:p w14:paraId="4F3E9D4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A.6.000    B.5.950    C.5.700    D.5.900</w:t>
      </w:r>
    </w:p>
    <w:p w14:paraId="1C42EB0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3DB8B6A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13.三层叠合板的混凝土强度等级为</w:t>
      </w:r>
      <w:r>
        <w:rPr>
          <w:rFonts w:hint="eastAsia" w:ascii="宋体" w:hAnsi="宋体" w:eastAsia="宋体" w:cs="宋体"/>
          <w:color w:val="auto"/>
          <w:sz w:val="24"/>
          <w:szCs w:val="24"/>
          <w:lang w:val="en-US" w:eastAsia="zh-CN"/>
        </w:rPr>
        <w:t>(    )</w:t>
      </w:r>
    </w:p>
    <w:p w14:paraId="4761E15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A.C35     B.C30      C.C40     D.C45  </w:t>
      </w:r>
    </w:p>
    <w:p w14:paraId="0FAFA9EA">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00A63B6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14.三层预制叠合板的接缝宽度为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0435733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A.200     B.300     C.400     D.500</w:t>
      </w:r>
    </w:p>
    <w:p w14:paraId="1B19949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7FE155D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15.三层层高为为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w:t>
      </w:r>
    </w:p>
    <w:p w14:paraId="07FD21B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A.6.000    B.3.800    C.5.100    D.3.850</w:t>
      </w:r>
    </w:p>
    <w:p w14:paraId="617BC47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546984C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16.三层叠合板预制层预留线盒的种类有</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种</w:t>
      </w:r>
    </w:p>
    <w:p w14:paraId="03720AC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    B.2    C.3    D.4</w:t>
      </w:r>
    </w:p>
    <w:p w14:paraId="6530159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68A8BC7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5BD4D4C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17.3~5层框架柱的混凝土强度等级为</w:t>
      </w:r>
      <w:r>
        <w:rPr>
          <w:rFonts w:hint="eastAsia" w:ascii="宋体" w:hAnsi="宋体" w:eastAsia="宋体" w:cs="宋体"/>
          <w:color w:val="auto"/>
          <w:sz w:val="24"/>
          <w:szCs w:val="24"/>
          <w:lang w:val="en-US" w:eastAsia="zh-CN"/>
        </w:rPr>
        <w:t>(    )</w:t>
      </w:r>
    </w:p>
    <w:p w14:paraId="1D20B14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A.C35     B.C30      C.C40     D.C45  </w:t>
      </w:r>
    </w:p>
    <w:p w14:paraId="7D2B3EB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2510FC7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18.预制楼梯YZTB1的梯板厚度为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61B5178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A.100    B.110    C.120    D.140</w:t>
      </w:r>
    </w:p>
    <w:p w14:paraId="5F275EF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0B45A1B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19.预制楼梯的梯板分布钢筋为</w:t>
      </w:r>
      <w:r>
        <w:rPr>
          <w:rFonts w:hint="eastAsia" w:ascii="宋体" w:hAnsi="宋体" w:eastAsia="宋体" w:cs="宋体"/>
          <w:color w:val="auto"/>
          <w:sz w:val="24"/>
          <w:szCs w:val="24"/>
          <w:lang w:val="en-US" w:eastAsia="zh-CN"/>
        </w:rPr>
        <w:t>(    )</w:t>
      </w:r>
    </w:p>
    <w:p w14:paraId="36AC595A">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A.C10@100    B.C8@150    C.C6@200    D.C8@200</w:t>
      </w:r>
    </w:p>
    <w:p w14:paraId="2B42082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5ABDC62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20.预制楼梯的梯井宽度为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mm</w:t>
      </w:r>
    </w:p>
    <w:p w14:paraId="0CC8936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A.80    B.100    C.110    D.120</w:t>
      </w:r>
    </w:p>
    <w:p w14:paraId="39A6342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3A388C1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lang w:val="en-US" w:eastAsia="zh-CN" w:bidi="ar-SA"/>
        </w:rPr>
        <w:t>21.</w:t>
      </w:r>
      <w:r>
        <w:rPr>
          <w:rFonts w:hint="eastAsia" w:ascii="宋体" w:hAnsi="宋体" w:eastAsia="宋体" w:cs="宋体"/>
          <w:color w:val="auto"/>
          <w:kern w:val="2"/>
          <w:sz w:val="24"/>
          <w:szCs w:val="24"/>
          <w:highlight w:val="none"/>
          <w:lang w:val="en-US" w:eastAsia="zh-CN" w:bidi="ar-SA"/>
        </w:rPr>
        <w:t>装配式结构施工后，预制构件位置/尺寸偏差及检验方法应符合设计要求，应按楼层、结构缝或施工段分检验批，在同一检验批内，对梁、柱和独立基础， 应抽查按构件数量的10%，且不应少于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件。 </w:t>
      </w:r>
    </w:p>
    <w:p w14:paraId="1C77FE7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A.1       B.2       C.3       D.4 </w:t>
      </w:r>
    </w:p>
    <w:p w14:paraId="44E366D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0225C02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22.配置 C30 混凝土时，其天然砂含泥量不得大于</w:t>
      </w:r>
      <w:r>
        <w:rPr>
          <w:rFonts w:hint="eastAsia" w:ascii="宋体" w:hAnsi="宋体" w:eastAsia="宋体" w:cs="宋体"/>
          <w:color w:val="auto"/>
          <w:sz w:val="24"/>
          <w:szCs w:val="24"/>
          <w:lang w:val="en-US" w:eastAsia="zh-CN"/>
        </w:rPr>
        <w:t>(    )</w:t>
      </w:r>
    </w:p>
    <w:p w14:paraId="3F594FE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A.5%    B.4%    C.3%    D.2% </w:t>
      </w:r>
    </w:p>
    <w:p w14:paraId="1686D85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363943B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23.《混凝土结构工程施工质量验收规范》GB50204-2015规定，预制构件进行尺寸偏差及检验时，同一类型的构件，不超过</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个为一批，每批应抽查构件数最的5 % ，且不应少于3个。</w:t>
      </w:r>
    </w:p>
    <w:p w14:paraId="45198A8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A.1000    B.500    C.200    D.100</w:t>
      </w:r>
    </w:p>
    <w:p w14:paraId="0323FA9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317E851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24.预制构件生产所需钢筋等原材料，</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 </w:t>
      </w:r>
    </w:p>
    <w:p w14:paraId="4B42782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A.确定其合格后，方可使用     B.不需要确定合格，直接使用 </w:t>
      </w:r>
    </w:p>
    <w:p w14:paraId="239F9AB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C.不经试验检测，可直接使用    D.是否合格，与我无关 </w:t>
      </w:r>
    </w:p>
    <w:p w14:paraId="21A27B5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w:t>
      </w:r>
    </w:p>
    <w:p w14:paraId="771DC42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25.编号为 ST-28-25 的楼梯，其含义为</w:t>
      </w:r>
      <w:r>
        <w:rPr>
          <w:rFonts w:hint="eastAsia" w:ascii="宋体" w:hAnsi="宋体" w:eastAsia="宋体" w:cs="宋体"/>
          <w:color w:val="auto"/>
          <w:sz w:val="24"/>
          <w:szCs w:val="24"/>
          <w:lang w:val="en-US" w:eastAsia="zh-CN"/>
        </w:rPr>
        <w:t>(    )</w:t>
      </w:r>
    </w:p>
    <w:p w14:paraId="6A7C1FC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A.预制混凝土板式双跑楼梯，建筑层高 2800mm、楼梯间净宽 2500mm。 </w:t>
      </w:r>
    </w:p>
    <w:p w14:paraId="7069A4A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B.预制混凝土板式单跑楼梯，建筑层高 2800mm、楼梯间净宽 2500mm。 </w:t>
      </w:r>
    </w:p>
    <w:p w14:paraId="70C1E32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C.预制混凝土板式双跑楼梯，建筑层高 2500mm、楼梯间净宽 2800mm。 </w:t>
      </w:r>
    </w:p>
    <w:p w14:paraId="029063F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D.预制混凝土板式剪刀楼梯，建筑层高 2800mm、楼梯间净宽 2500mm。</w:t>
      </w:r>
    </w:p>
    <w:p w14:paraId="7692AFE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w:t>
      </w:r>
    </w:p>
    <w:p w14:paraId="22FA7E4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26.根据图集15G107-1《装配式混凝土结构表示方法及示例》的规定，与现浇结构相邻部位200mm宽度范围内的表面平整度允许偏差应不超过</w:t>
      </w:r>
      <w:r>
        <w:rPr>
          <w:rFonts w:hint="eastAsia" w:ascii="宋体" w:hAnsi="宋体" w:eastAsia="宋体" w:cs="宋体"/>
          <w:color w:val="auto"/>
          <w:sz w:val="24"/>
          <w:szCs w:val="24"/>
          <w:lang w:val="en-US" w:eastAsia="zh-CN"/>
        </w:rPr>
        <w:t>(    )</w:t>
      </w:r>
    </w:p>
    <w:p w14:paraId="0B6A858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A.1mm   B.2mm   C.3mm    D.4mm</w:t>
      </w:r>
    </w:p>
    <w:p w14:paraId="10D667C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4F77A24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27.根据图集15G107-1《装配式混凝土结构表示方法及示例》的规定，预制构件在现场施工时，预制墙板下现浇结构顶面标高的允许偏差为</w:t>
      </w:r>
      <w:r>
        <w:rPr>
          <w:rFonts w:hint="eastAsia" w:ascii="宋体" w:hAnsi="宋体" w:eastAsia="宋体" w:cs="宋体"/>
          <w:color w:val="auto"/>
          <w:sz w:val="24"/>
          <w:szCs w:val="24"/>
          <w:lang w:val="en-US" w:eastAsia="zh-CN"/>
        </w:rPr>
        <w:t>(    )</w:t>
      </w:r>
    </w:p>
    <w:p w14:paraId="154C0C9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A.±1mm   B.±2mm   C.±3mm   D.±4mm</w:t>
      </w:r>
    </w:p>
    <w:p w14:paraId="47AFBDC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05AD79E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28.预制混凝土夹心保温外墙板构件采用立模工艺生产时，内外叶墙板混凝土层需要</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浇筑成型。 </w:t>
      </w:r>
    </w:p>
    <w:p w14:paraId="29B9B3C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A.同步    B.2 次     C.3 次   D.分别 </w:t>
      </w:r>
    </w:p>
    <w:p w14:paraId="4963422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w:t>
      </w:r>
    </w:p>
    <w:p w14:paraId="4602716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29.《装配式混凝土建筑技术标准》GB/T 51231-2016 规定，预制楼板中预埋线盒在水平方向的中心位置允许偏差为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mm。 </w:t>
      </w:r>
    </w:p>
    <w:p w14:paraId="4250BD1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A.5    B.10    C.15    D.20 </w:t>
      </w:r>
    </w:p>
    <w:p w14:paraId="1BD0B28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4A380B2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30.《装配式混凝土建筑技术标准》GB/T 51231-2016 规定，预制墙板构件中预埋钢板与混凝土面层平面高差的允许偏差为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mm。 </w:t>
      </w:r>
    </w:p>
    <w:p w14:paraId="0DE99BB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A.0，3    B.±3    C.0，-3    D.0，-5 </w:t>
      </w:r>
    </w:p>
    <w:p w14:paraId="791F46F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1D64180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31.预制混凝土夹心保温外墙板构件不包含</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 </w:t>
      </w:r>
    </w:p>
    <w:p w14:paraId="77540C7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A.外叶墙;    B.保温层;    C.内叶墙;    D.内墙装饰 </w:t>
      </w:r>
    </w:p>
    <w:p w14:paraId="769784C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644F3DB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32.《混凝土结构工程施工质量验收规范》GB50204-2015 规定，后张发预应力筋锚固后，锚具外预应力筋的外露长度不应小于其直径的</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倍，且不应小于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mm。 </w:t>
      </w:r>
    </w:p>
    <w:p w14:paraId="33C02C8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 2   10     B.1   10     C.1.5   10     D.1.5   30 </w:t>
      </w:r>
    </w:p>
    <w:p w14:paraId="43F79F1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w:t>
      </w:r>
    </w:p>
    <w:p w14:paraId="20CDB9C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33.预制叠合板构件在生产时，叠合板浇筑面层的粗糙面，可在混凝土</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前进行拉毛处理。 </w:t>
      </w:r>
    </w:p>
    <w:p w14:paraId="0D1F07E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A.终凝    B.初凝    C.流动    D.凝固 </w:t>
      </w:r>
    </w:p>
    <w:p w14:paraId="0936995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6232303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34.《混凝土结构工程施工质量验收规范》GB 50204-2015 规定，预制构件预留插筋外露长度允许偏差为（ ）mm。 </w:t>
      </w:r>
    </w:p>
    <w:p w14:paraId="069F5F4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A.15    B.-5    C.+10，-5    D.±3 </w:t>
      </w:r>
    </w:p>
    <w:p w14:paraId="1EB885F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w:t>
      </w:r>
    </w:p>
    <w:p w14:paraId="02D95A0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35.预制构件中箍筋末端弯钩平直段长度，当设计有要求时，应符合设计要求， 当无要求时，对于有抗震设防要求的结构构件其平直段不应小于箍筋直径的</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倍。 </w:t>
      </w:r>
    </w:p>
    <w:p w14:paraId="1B7687D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A.5    B.10    C.15    D.20 </w:t>
      </w:r>
    </w:p>
    <w:p w14:paraId="243DDE2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6A85826A">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36.钢筋套简灌浆前，应在现场模拟构件连接接头的灌浆方式，每种规格钢筋应制作不少于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个套筒灌浆连接接头，进行灌注质量以及接头抗拉强度的检验；经检验合格后，方可进行灌浆作业。</w:t>
      </w:r>
    </w:p>
    <w:p w14:paraId="1E0126A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      B.2     C.3     D.4</w:t>
      </w:r>
    </w:p>
    <w:p w14:paraId="3DA7199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w:t>
      </w:r>
    </w:p>
    <w:p w14:paraId="55D53FB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37.</w:t>
      </w:r>
      <w:r>
        <w:rPr>
          <w:rFonts w:hint="eastAsia" w:ascii="宋体" w:hAnsi="宋体" w:eastAsia="宋体" w:cs="宋体"/>
          <w:color w:val="auto"/>
          <w:sz w:val="24"/>
          <w:szCs w:val="24"/>
          <w:lang w:val="en-US" w:eastAsia="zh-CN"/>
        </w:rPr>
        <w:t xml:space="preserve">带面砖或石材饰面的预制构件宜采用(    )工艺制作。 </w:t>
      </w:r>
    </w:p>
    <w:p w14:paraId="1472FE4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A.正打    B.反打    C.正打一次成型    D.反打一次成型 </w:t>
      </w:r>
    </w:p>
    <w:p w14:paraId="4ABAEB6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2CAA9E2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38.预制墙板构件安装临时支撑时，每个预制构件的临时支撑不宜少于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道。</w:t>
      </w:r>
    </w:p>
    <w:p w14:paraId="5B0A8FA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A.1    B.2    C.4    D.6</w:t>
      </w:r>
    </w:p>
    <w:p w14:paraId="45F4A6B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39.《装配式混凝土建筑技术标准》GB/T 51231-2016 规定，下列属于构件外观质量严重缺陷的是</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 </w:t>
      </w:r>
    </w:p>
    <w:p w14:paraId="6C3EBDA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A.少量非受力钢筋露筋</w:t>
      </w:r>
    </w:p>
    <w:p w14:paraId="2FFF119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B.非受力部位有少量蜂窝 </w:t>
      </w:r>
    </w:p>
    <w:p w14:paraId="3EC066A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C.构件受力部位有影响结构性能或使用功能的裂缝 </w:t>
      </w:r>
    </w:p>
    <w:p w14:paraId="3BAC691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D.非受力部位少量夹渣 </w:t>
      </w:r>
    </w:p>
    <w:p w14:paraId="10F792E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21AE0BC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40.半灌浆套筒在批量使用前，应进行</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lang w:val="en-US" w:eastAsia="zh-CN" w:bidi="ar-SA"/>
        </w:rPr>
        <w:t xml:space="preserve">检验，来确定加工工艺的人员、设备、钢筋等适应性，检验是否符合规范要求，当检验合格后，方可批量生产加工。 </w:t>
      </w:r>
    </w:p>
    <w:p w14:paraId="6ABD8C1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bookmarkStart w:id="1" w:name="OLE_LINK6"/>
      <w:r>
        <w:rPr>
          <w:rFonts w:hint="eastAsia" w:ascii="宋体" w:hAnsi="宋体" w:eastAsia="宋体" w:cs="宋体"/>
          <w:color w:val="auto"/>
          <w:kern w:val="2"/>
          <w:sz w:val="24"/>
          <w:szCs w:val="24"/>
          <w:lang w:val="en-US" w:eastAsia="zh-CN" w:bidi="ar-SA"/>
        </w:rPr>
        <w:t>A.</w:t>
      </w:r>
      <w:bookmarkEnd w:id="1"/>
      <w:r>
        <w:rPr>
          <w:rFonts w:hint="eastAsia" w:ascii="宋体" w:hAnsi="宋体" w:eastAsia="宋体" w:cs="宋体"/>
          <w:color w:val="auto"/>
          <w:kern w:val="2"/>
          <w:sz w:val="24"/>
          <w:szCs w:val="24"/>
          <w:lang w:val="en-US" w:eastAsia="zh-CN" w:bidi="ar-SA"/>
        </w:rPr>
        <w:t>工艺</w:t>
      </w:r>
      <w:bookmarkStart w:id="2" w:name="OLE_LINK7"/>
      <w:r>
        <w:rPr>
          <w:rFonts w:hint="eastAsia" w:ascii="宋体" w:hAnsi="宋体" w:eastAsia="宋体" w:cs="宋体"/>
          <w:color w:val="auto"/>
          <w:kern w:val="2"/>
          <w:sz w:val="24"/>
          <w:szCs w:val="24"/>
          <w:lang w:val="en-US" w:eastAsia="zh-CN" w:bidi="ar-SA"/>
        </w:rPr>
        <w:t xml:space="preserve">     B.</w:t>
      </w:r>
      <w:bookmarkEnd w:id="2"/>
      <w:r>
        <w:rPr>
          <w:rFonts w:hint="eastAsia" w:ascii="宋体" w:hAnsi="宋体" w:eastAsia="宋体" w:cs="宋体"/>
          <w:color w:val="auto"/>
          <w:kern w:val="2"/>
          <w:sz w:val="24"/>
          <w:szCs w:val="24"/>
          <w:lang w:val="en-US" w:eastAsia="zh-CN" w:bidi="ar-SA"/>
        </w:rPr>
        <w:t xml:space="preserve">钢筋     </w:t>
      </w:r>
      <w:bookmarkStart w:id="3" w:name="OLE_LINK8"/>
      <w:r>
        <w:rPr>
          <w:rFonts w:hint="eastAsia" w:ascii="宋体" w:hAnsi="宋体" w:eastAsia="宋体" w:cs="宋体"/>
          <w:color w:val="auto"/>
          <w:kern w:val="2"/>
          <w:sz w:val="24"/>
          <w:szCs w:val="24"/>
          <w:lang w:val="en-US" w:eastAsia="zh-CN" w:bidi="ar-SA"/>
        </w:rPr>
        <w:t>C.</w:t>
      </w:r>
      <w:bookmarkEnd w:id="3"/>
      <w:r>
        <w:rPr>
          <w:rFonts w:hint="eastAsia" w:ascii="宋体" w:hAnsi="宋体" w:eastAsia="宋体" w:cs="宋体"/>
          <w:color w:val="auto"/>
          <w:kern w:val="2"/>
          <w:sz w:val="24"/>
          <w:szCs w:val="24"/>
          <w:lang w:val="en-US" w:eastAsia="zh-CN" w:bidi="ar-SA"/>
        </w:rPr>
        <w:t>模具</w:t>
      </w:r>
      <w:bookmarkStart w:id="4" w:name="OLE_LINK9"/>
      <w:bookmarkStart w:id="5" w:name="OLE_LINK10"/>
      <w:r>
        <w:rPr>
          <w:rFonts w:hint="eastAsia" w:ascii="宋体" w:hAnsi="宋体" w:eastAsia="宋体" w:cs="宋体"/>
          <w:color w:val="auto"/>
          <w:kern w:val="2"/>
          <w:sz w:val="24"/>
          <w:szCs w:val="24"/>
          <w:lang w:val="en-US" w:eastAsia="zh-CN" w:bidi="ar-SA"/>
        </w:rPr>
        <w:t xml:space="preserve">     D</w:t>
      </w:r>
      <w:bookmarkEnd w:id="4"/>
      <w:r>
        <w:rPr>
          <w:rFonts w:hint="eastAsia" w:ascii="宋体" w:hAnsi="宋体" w:eastAsia="宋体" w:cs="宋体"/>
          <w:color w:val="auto"/>
          <w:kern w:val="2"/>
          <w:sz w:val="24"/>
          <w:szCs w:val="24"/>
          <w:lang w:val="en-US" w:eastAsia="zh-CN" w:bidi="ar-SA"/>
        </w:rPr>
        <w:t>.</w:t>
      </w:r>
      <w:bookmarkEnd w:id="5"/>
      <w:r>
        <w:rPr>
          <w:rFonts w:hint="eastAsia" w:ascii="宋体" w:hAnsi="宋体" w:eastAsia="宋体" w:cs="宋体"/>
          <w:color w:val="auto"/>
          <w:kern w:val="2"/>
          <w:sz w:val="24"/>
          <w:szCs w:val="24"/>
          <w:lang w:val="en-US" w:eastAsia="zh-CN" w:bidi="ar-SA"/>
        </w:rPr>
        <w:t xml:space="preserve">重量 </w:t>
      </w:r>
    </w:p>
    <w:p w14:paraId="51DB417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kern w:val="2"/>
          <w:sz w:val="24"/>
          <w:szCs w:val="24"/>
          <w:lang w:val="en-US" w:eastAsia="zh-CN" w:bidi="ar-SA"/>
        </w:rPr>
      </w:pPr>
    </w:p>
    <w:p w14:paraId="0FE5E73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)框架梁、柱采用预制构件构建成的装配整体式混 凝土结构。简称装配整体式框架结构。</w:t>
      </w:r>
    </w:p>
    <w:p w14:paraId="13594CD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A.全部     B.部分     C.全部或部分    D.整体</w:t>
      </w:r>
    </w:p>
    <w:p w14:paraId="083F45A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1B2FCE5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42.预应力混凝土预制构件的混凝土强度等级不宜低于(    )</w:t>
      </w:r>
    </w:p>
    <w:p w14:paraId="42F63DD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A.C25   B.C30    C.C35    D.C40</w:t>
      </w:r>
    </w:p>
    <w:p w14:paraId="18D7FE3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372BECE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43.预制构件的吊环应采用未经冷加工的(    )级钢筋制作。</w:t>
      </w:r>
    </w:p>
    <w:p w14:paraId="6F66464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 HPB300   B.HRB335   C.HRB400   D.HRB500</w:t>
      </w:r>
    </w:p>
    <w:p w14:paraId="2C5E210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44.根据图集15G107-1《装配式混凝土结构表示方法及示例》的规定，预制构件预留钢筋外神长度的允许偏差为(    )mm</w:t>
      </w:r>
    </w:p>
    <w:p w14:paraId="4F4E4E3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A.±5     B.±2     C.+5,-2     D.+2,-5</w:t>
      </w:r>
    </w:p>
    <w:p w14:paraId="7CAE77E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484C8E0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45.预制柱吊装应校正的内容不包括(    )</w:t>
      </w:r>
    </w:p>
    <w:p w14:paraId="74BF165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A.相邻柱间距    B.平面位置    C.标高    D.垂直度</w:t>
      </w:r>
    </w:p>
    <w:p w14:paraId="578BFA0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21DA0AB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7765E18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46.套筒灌浆连接技术施工中,灌浆料的试块尺寸是(    )</w:t>
      </w:r>
    </w:p>
    <w:p w14:paraId="4206C96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A.150mm×150mm×300mm     B.150mm×150mm×150mm</w:t>
      </w:r>
    </w:p>
    <w:p w14:paraId="613A748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C.40mm×40mm×160mm       D.70.7mm×70.7mm×70.7mm </w:t>
      </w:r>
    </w:p>
    <w:p w14:paraId="6E6C0ED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24FEA17A">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47.根据图集15G107-1《装配式混凝土结构表示方法及示例》的规定，预制构件预留钢筋中心线位置的允许偏差为(    )mm</w:t>
      </w:r>
    </w:p>
    <w:p w14:paraId="2E1FC7E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A.2      B.±2      C.4     D.±4</w:t>
      </w:r>
    </w:p>
    <w:p w14:paraId="185F7F0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7EDFD42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48.常温型套筒灌浆料30min流动度应(    )</w:t>
      </w:r>
    </w:p>
    <w:p w14:paraId="6487A83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A.≥300mm    B.≥260mm    C.≥400mm    D.≥380mm</w:t>
      </w:r>
    </w:p>
    <w:p w14:paraId="13F3261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3768301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49.墙板的上部斜支撑，其支撑点距离底部的距离不应小于高度的(    )</w:t>
      </w:r>
    </w:p>
    <w:p w14:paraId="05A9E93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A.1/2    B.1/4    C.1/3    D.2/3</w:t>
      </w:r>
    </w:p>
    <w:p w14:paraId="3F94967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35EB6F8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50.预制叠合板水平叠放层数不应大于(    )层</w:t>
      </w:r>
    </w:p>
    <w:p w14:paraId="2788DC4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A.3     B.4     C.5    D.6</w:t>
      </w:r>
    </w:p>
    <w:p w14:paraId="57E9AB3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76B212C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51.外挂墙板的高度不宜大于(    )</w:t>
      </w:r>
    </w:p>
    <w:p w14:paraId="774D12B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A.3m    B.4m    C.5m    D.一个层高</w:t>
      </w:r>
    </w:p>
    <w:p w14:paraId="6CC4F52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13295A9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52.装配式构件吊装时,竖向预制构件起吊点不应少于(    )</w:t>
      </w:r>
    </w:p>
    <w:p w14:paraId="093EAD5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A.1个    B.2个    C.3个    D.4个</w:t>
      </w:r>
    </w:p>
    <w:p w14:paraId="13C9979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2DB3FF4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53.装配式建筑设计时宜选用(    )的平面布置</w:t>
      </w:r>
    </w:p>
    <w:p w14:paraId="76B2075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A.小开间、大进深     B.大开间、小进深   </w:t>
      </w:r>
    </w:p>
    <w:p w14:paraId="35C667E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C.大开间、大进深     D.小开间、小进深</w:t>
      </w:r>
    </w:p>
    <w:p w14:paraId="000E573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1BDC41F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54167A2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54..预制混凝土夹心保温外墙板构件采用平模工艺生产时,构件浇筑需要(    )</w:t>
      </w:r>
    </w:p>
    <w:p w14:paraId="773159B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A.1次    B.2次    C.3次    D.4次</w:t>
      </w:r>
    </w:p>
    <w:p w14:paraId="2E1052C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0819DB9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55.预制剪力墙中钢筋接头处套筒外侧钢筋的混凝土保护层厚度不应小于(    )</w:t>
      </w:r>
    </w:p>
    <w:p w14:paraId="7830764A">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A.25mm    B.20mm    C.15mm    D.10mm</w:t>
      </w:r>
    </w:p>
    <w:p w14:paraId="44DEEDE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6B8FC31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56.钢筋套筒灌浆连接接头的屈服强度不应小于(    )。</w:t>
      </w:r>
    </w:p>
    <w:p w14:paraId="3F404F3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A.连接钢筋屈服强度                     </w:t>
      </w:r>
    </w:p>
    <w:p w14:paraId="41ACE0CB">
      <w:pPr>
        <w:pStyle w:val="5"/>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B.连接钢筋抗压强度标准值; </w:t>
      </w:r>
    </w:p>
    <w:p w14:paraId="31D470B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C.连接钢筋抗拉强度标准值               </w:t>
      </w:r>
    </w:p>
    <w:p w14:paraId="4581E55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D.连接钢筋抗压强度标准值的 1.5 倍 </w:t>
      </w:r>
    </w:p>
    <w:p w14:paraId="0EBBC04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56078F3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57.钢筋套筒灌浆连接时的灌浆作业应采用压浆法(    )</w:t>
      </w:r>
    </w:p>
    <w:p w14:paraId="5564F8A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A.从上口灌注       B.从下口灌注  </w:t>
      </w:r>
    </w:p>
    <w:p w14:paraId="2346416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C.从中间口灌注     D.多口灌注</w:t>
      </w:r>
    </w:p>
    <w:p w14:paraId="3D6759E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444ABBF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58.粗糙面的面积不宜小于结合面的(    )</w:t>
      </w:r>
    </w:p>
    <w:p w14:paraId="675317C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A.90%       B.80%       C.60%       D.50%</w:t>
      </w:r>
    </w:p>
    <w:p w14:paraId="1663DC5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72D3843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59.钢筋套筒灌浆时应对各仓接缝周围进行封堵，封堵措施应符合结合面承载力设计要求，且单边入墙厚度(    )</w:t>
      </w:r>
    </w:p>
    <w:p w14:paraId="2CCE603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A.≥20mm    B.20~30mm    C.≤20mm    D.15~20mm</w:t>
      </w:r>
    </w:p>
    <w:p w14:paraId="1B42A77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3560B66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60.灌浆料同条件养护试件抗压强度达到(    )N/mm²后，方可进行对接头有扰动的后续施工。</w:t>
      </w:r>
    </w:p>
    <w:p w14:paraId="5F37B9B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A.20    B.35    C.40    D.75</w:t>
      </w:r>
    </w:p>
    <w:p w14:paraId="472FB91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lang w:val="en-US" w:eastAsia="zh-CN"/>
        </w:rPr>
      </w:pPr>
    </w:p>
    <w:p w14:paraId="3E386A4A">
      <w:pPr>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28"/>
          <w:szCs w:val="28"/>
          <w:lang w:val="en-US" w:eastAsia="zh-CN" w:bidi="ar-SA"/>
        </w:rPr>
        <w:t>二、多项选择题（共20小题，每小题2分，共40分）</w:t>
      </w:r>
    </w:p>
    <w:p w14:paraId="402BC73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1.预制构件生产单位应具备哪些条件以保障产品质量(    )。</w:t>
      </w:r>
    </w:p>
    <w:p w14:paraId="78B0585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A.能够保证产品质量要求的生产工艺设施 </w:t>
      </w:r>
    </w:p>
    <w:p w14:paraId="32CE762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B.试验检测条件 </w:t>
      </w:r>
    </w:p>
    <w:p w14:paraId="464BCCA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C.完善的质量管理体系和制度</w:t>
      </w:r>
    </w:p>
    <w:p w14:paraId="457160E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D.不可追溯的生产管理系统 </w:t>
      </w:r>
    </w:p>
    <w:p w14:paraId="7D1D127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5FEF090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2.预制构件制作前应编制生产方案，生产方案宜包括(    )等。 </w:t>
      </w:r>
    </w:p>
    <w:p w14:paraId="6FF25A0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A.生产计划及工艺        B.模具方案及计划 </w:t>
      </w:r>
    </w:p>
    <w:p w14:paraId="3C7B655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C.技术质量控制措施      D.成品存放、运输和保护方案 </w:t>
      </w:r>
    </w:p>
    <w:p w14:paraId="2CCEF3B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4436DBD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3.预制构件检验合格后，应在构件上设置表面标识，标识内容宜包括(    )。</w:t>
      </w:r>
    </w:p>
    <w:p w14:paraId="174405B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A．构件编号    B．出厂日期    C．合格状态    D．生产单位 </w:t>
      </w:r>
    </w:p>
    <w:p w14:paraId="04EDFA0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65742C3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4.预制构件交付产品质量证明文件应包括以下内容(    )。</w:t>
      </w:r>
    </w:p>
    <w:p w14:paraId="4D31BD8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A.出厂合格证              </w:t>
      </w:r>
    </w:p>
    <w:p w14:paraId="460A842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B.混凝土强度检验报告                        </w:t>
      </w:r>
    </w:p>
    <w:p w14:paraId="228D64D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C.钢筋套筒等其他构件钢筋连接类型的工艺检验报告</w:t>
      </w:r>
    </w:p>
    <w:p w14:paraId="06FD314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D.合同要求的其他质量证明文件 </w:t>
      </w:r>
    </w:p>
    <w:p w14:paraId="0729C07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4B1855B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5.预制构件养护应符合(    )规定：</w:t>
      </w:r>
    </w:p>
    <w:p w14:paraId="5766D24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A.应根据预制构件特点和生产任务量选择自然养护、自然养护加养护剂或加热养护方式。</w:t>
      </w:r>
    </w:p>
    <w:p w14:paraId="666B764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B.混凝土浇筑完毕或压面工序完成后应及时覆盖保湿，脱模前不得揭开。</w:t>
      </w:r>
    </w:p>
    <w:p w14:paraId="10CAE0D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C.涂刷养护剂应在混凝士初凝后进行。</w:t>
      </w:r>
    </w:p>
    <w:p w14:paraId="73BBF26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D.加热养护可选择蒸汽加热、电加热或模具加热等方式 </w:t>
      </w:r>
    </w:p>
    <w:p w14:paraId="2ACB441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240585E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6.装配式混凝土建筑应结合(    )一体化的原则整体策划</w:t>
      </w:r>
    </w:p>
    <w:p w14:paraId="1A03C0D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A.设计    B.生产    C.装配    D.装修</w:t>
      </w:r>
    </w:p>
    <w:p w14:paraId="477B42B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7.套筒灌浆连接有效型式检验报告验收内容包括(    )</w:t>
      </w:r>
    </w:p>
    <w:p w14:paraId="050AA30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A.工程中应用的各种钢筋强度级别、 直径对应的型式检验报告应齐全，报告应合格有效；        </w:t>
      </w:r>
    </w:p>
    <w:p w14:paraId="43E7796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B. 型式检验报告送检单位与现场接头提供单位应一致；          </w:t>
      </w:r>
    </w:p>
    <w:p w14:paraId="61B8E03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型式检验报告中的接头类型，灌浆套筒规格、级别、尺寸，灌浆料型号与现场使用的产品应 一致</w:t>
      </w:r>
    </w:p>
    <w:p w14:paraId="3674398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 型式检验报告应在4年有效期内，可按灌浆套筒进厂（场）验收日期确定；</w:t>
      </w:r>
    </w:p>
    <w:p w14:paraId="416031B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0215CB2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8.灌浆施工前， </w:t>
      </w:r>
      <w:r>
        <w:rPr>
          <w:rFonts w:hint="default" w:ascii="宋体" w:hAnsi="宋体" w:eastAsia="宋体" w:cs="宋体"/>
          <w:color w:val="auto"/>
          <w:sz w:val="24"/>
          <w:szCs w:val="24"/>
          <w:lang w:val="en-US" w:eastAsia="zh-CN"/>
        </w:rPr>
        <w:t>接头工艺检验</w:t>
      </w:r>
      <w:r>
        <w:rPr>
          <w:rFonts w:hint="eastAsia" w:ascii="宋体" w:hAnsi="宋体" w:eastAsia="宋体" w:cs="宋体"/>
          <w:color w:val="auto"/>
          <w:sz w:val="24"/>
          <w:szCs w:val="24"/>
          <w:lang w:val="en-US" w:eastAsia="zh-CN"/>
        </w:rPr>
        <w:t>说法正确的是(    )。</w:t>
      </w:r>
    </w:p>
    <w:p w14:paraId="508D981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A.工艺检验应在预制构件牛产后进行；当现场灌浆施工单位与工艺检验时的灌浆单位不同，灌浆后应再次进行工艺检验；   </w:t>
      </w:r>
    </w:p>
    <w:p w14:paraId="3DA8FAB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B.工艺检验应模拟施工条件制作接头试件， 并应按接头提供单位提供的施工操作要求进行；     </w:t>
      </w:r>
    </w:p>
    <w:p w14:paraId="39C1839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C.每种规格钢筋应制作3个对中套筒灌浆连接接头， 并应检查灌浆质量；         </w:t>
      </w:r>
    </w:p>
    <w:p w14:paraId="15CB04A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D.采用灌浆料拌合物制作的40mmX40mmX160mm试件不应少于1组；</w:t>
      </w:r>
    </w:p>
    <w:p w14:paraId="5E97CDA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7437DCA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9.套筒灌浆连接的钢筋直径不宜小于(    )且不宜大于(    )</w:t>
      </w:r>
    </w:p>
    <w:p w14:paraId="45053E4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A.12mm      B.15mm      C.40mm      D.45mm   </w:t>
      </w:r>
    </w:p>
    <w:p w14:paraId="7C461ED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563BCCE1">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10.《装配式混凝土建筑技术标准》GB/T 51231 等标准文件规定，预制构件起吊时应采用(    )的操作方式，保持稳定。 </w:t>
      </w:r>
    </w:p>
    <w:p w14:paraId="6BF9B69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A.慢起      B.缓升      C.稳放      D.匀速快行 </w:t>
      </w:r>
    </w:p>
    <w:p w14:paraId="22CA0B6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5EF6739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11.装配整体式混凝土剪力墙结构暗柱节点平面形状主要有(    )</w:t>
      </w:r>
    </w:p>
    <w:p w14:paraId="4E6E792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A.“一”形    B.“T”形    C.“L”形    D.“十”形</w:t>
      </w:r>
    </w:p>
    <w:p w14:paraId="410F3BD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592F7540">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12.预制混凝土构件与后浇混凝土、灌浆料、坐浆材料的接触面须做成(    )</w:t>
      </w:r>
    </w:p>
    <w:p w14:paraId="69916EA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A.粗糙面     B.光滑面     C.抹压面     D.键槽</w:t>
      </w:r>
    </w:p>
    <w:p w14:paraId="0199BE6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13.预制构件(    )应结合本工程生产方案和施工方案采取相应的安全操作和防护措施。</w:t>
      </w:r>
    </w:p>
    <w:p w14:paraId="6FBD004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A.生产单位     B.设计单位    C.运输单位    D.工程施工总承包单位</w:t>
      </w:r>
    </w:p>
    <w:p w14:paraId="6F1113E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01035C3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14.脱模剂应符合下列规定(    )</w:t>
      </w:r>
    </w:p>
    <w:p w14:paraId="46B8FEF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A.脱模剂应无毒</w:t>
      </w:r>
    </w:p>
    <w:p w14:paraId="51A9ED02">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B.脱模剂应无刺激性气味</w:t>
      </w:r>
    </w:p>
    <w:p w14:paraId="3BE4205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C.脱模剂不应影响混疑士性能和预制构件表面装饰效果</w:t>
      </w:r>
    </w:p>
    <w:p w14:paraId="03D7D93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D.脱模剂应按照使用品种，选用前及正常使用后每半年进行一次匀质性和施工性能试验</w:t>
      </w:r>
    </w:p>
    <w:p w14:paraId="4C88E44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5BDB679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15.建筑的围护结构以及楼桏、阳台、隔墙、空调板、管道井等配套构件、室内装修材料宜采用(    )产品。</w:t>
      </w:r>
    </w:p>
    <w:p w14:paraId="604D917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A.工业化    B.标准化    C.个性化      D.定制化</w:t>
      </w:r>
    </w:p>
    <w:p w14:paraId="2F1DF39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35460969">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16.灌浆套筒质量证明文件包括(    )。</w:t>
      </w:r>
    </w:p>
    <w:p w14:paraId="55A49ED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A.产品合格证</w:t>
      </w:r>
    </w:p>
    <w:p w14:paraId="1D2BBD6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B.产品说明书</w:t>
      </w:r>
    </w:p>
    <w:p w14:paraId="7FB75E6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C.出厂检验报告（含材料性能合格报告）。</w:t>
      </w:r>
    </w:p>
    <w:p w14:paraId="5FBBEC0C">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D.进场检验报告</w:t>
      </w:r>
    </w:p>
    <w:p w14:paraId="20FF580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7F2166D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17.套筒灌浆料加水搅拌后具有良好的(    )等性能，填充在套筒和带肋钢筋间隙内，形成钢筋套筒灌浆连接接头。</w:t>
      </w:r>
    </w:p>
    <w:p w14:paraId="383D358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A.流动性     B.早强     C.高强     D.微膨胀</w:t>
      </w:r>
    </w:p>
    <w:p w14:paraId="4C44DC3D">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5F9FA41E">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18.在预制板吊装时,下列说法正确的是(    )</w:t>
      </w:r>
    </w:p>
    <w:p w14:paraId="7075C8B6">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A.板强度达到规定要求        B.起吊能力有足够的安全系数</w:t>
      </w:r>
    </w:p>
    <w:p w14:paraId="17CF25D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C.吊点位置符合设计要求      D.安装之后不需要调整</w:t>
      </w:r>
    </w:p>
    <w:p w14:paraId="7B7AC28F">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05A024BB">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19.预制构件运输过程中以下措施中正确的是(    )</w:t>
      </w:r>
    </w:p>
    <w:p w14:paraId="213C6DA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A.预制构件运输可选用低跑平板车或大吨位开车</w:t>
      </w:r>
    </w:p>
    <w:p w14:paraId="1B866A55">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B.运输车上需配置可靠的稳定构件措施与减震措施,防止预制构件移动、倾倒、变形。如在车厢底板上铺设槽钢等支垫</w:t>
      </w:r>
    </w:p>
    <w:p w14:paraId="74541743">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C.运输车上应设专用靠放架</w:t>
      </w:r>
    </w:p>
    <w:p w14:paraId="17F1A7F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D.预制构件装卸时应配置指挥人员,统一指挥信号</w:t>
      </w:r>
    </w:p>
    <w:p w14:paraId="2956A3D7">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p>
    <w:p w14:paraId="3459207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20.预制剪力墙板的安装前，应对(    )进行检查，不允许在吊装过程中对连接钢筋进行校正。</w:t>
      </w:r>
    </w:p>
    <w:p w14:paraId="126FB798">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A连接钢筋       B.构件混凝土强度  </w:t>
      </w:r>
    </w:p>
    <w:p w14:paraId="71415714">
      <w:pPr>
        <w:pStyle w:val="5"/>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C.钢筋强度       D.预制剪力墙板套筒的配合度</w:t>
      </w:r>
    </w:p>
    <w:p w14:paraId="31F39E3A">
      <w:pPr>
        <w:rPr>
          <w:rFonts w:hint="eastAsia"/>
          <w:color w:val="auto"/>
          <w:lang w:val="en-US" w:eastAsia="zh-CN"/>
        </w:rPr>
      </w:pPr>
      <w:r>
        <w:rPr>
          <w:rFonts w:hint="eastAsia"/>
          <w:color w:val="auto"/>
          <w:lang w:val="en-US" w:eastAsia="zh-CN"/>
        </w:rPr>
        <w:br w:type="page"/>
      </w:r>
    </w:p>
    <w:p w14:paraId="391F468F">
      <w:pPr>
        <w:widowControl w:val="0"/>
        <w:ind w:firstLine="0" w:firstLineChars="0"/>
        <w:jc w:val="center"/>
        <w:rPr>
          <w:rFonts w:hint="eastAsia" w:ascii="黑体" w:hAnsi="黑体" w:eastAsia="黑体" w:cs="黑体"/>
          <w:b/>
          <w:bCs/>
          <w:kern w:val="2"/>
          <w:sz w:val="30"/>
          <w:szCs w:val="30"/>
          <w:lang w:val="en-US" w:eastAsia="zh-CN"/>
        </w:rPr>
      </w:pPr>
      <w:r>
        <w:rPr>
          <w:rFonts w:hint="eastAsia" w:ascii="黑体" w:hAnsi="黑体" w:eastAsia="黑体" w:cs="黑体"/>
          <w:b/>
          <w:bCs/>
          <w:kern w:val="2"/>
          <w:sz w:val="30"/>
          <w:szCs w:val="30"/>
          <w:lang w:eastAsia="zh-CN"/>
        </w:rPr>
        <w:t>任务</w:t>
      </w:r>
      <w:r>
        <w:rPr>
          <w:rFonts w:hint="eastAsia" w:ascii="黑体" w:hAnsi="黑体" w:eastAsia="黑体" w:cs="黑体"/>
          <w:b/>
          <w:bCs/>
          <w:kern w:val="2"/>
          <w:sz w:val="30"/>
          <w:szCs w:val="30"/>
          <w:lang w:val="en-US" w:eastAsia="zh-CN"/>
        </w:rPr>
        <w:t>二</w:t>
      </w:r>
      <w:r>
        <w:rPr>
          <w:rFonts w:hint="eastAsia" w:ascii="黑体" w:hAnsi="黑体" w:eastAsia="黑体" w:cs="黑体"/>
          <w:b/>
          <w:bCs/>
          <w:kern w:val="2"/>
          <w:sz w:val="30"/>
          <w:szCs w:val="30"/>
          <w:lang w:eastAsia="zh-CN"/>
        </w:rPr>
        <w:t>：</w:t>
      </w:r>
      <w:r>
        <w:rPr>
          <w:rFonts w:hint="eastAsia" w:ascii="黑体" w:hAnsi="黑体" w:eastAsia="黑体" w:cs="黑体"/>
          <w:b/>
          <w:bCs/>
          <w:kern w:val="2"/>
          <w:sz w:val="30"/>
          <w:szCs w:val="30"/>
          <w:lang w:val="en-US" w:eastAsia="zh-CN"/>
        </w:rPr>
        <w:t>构件深化设计（满分100分）</w:t>
      </w:r>
    </w:p>
    <w:p w14:paraId="77A04261">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 设计任务书</w:t>
      </w:r>
    </w:p>
    <w:p w14:paraId="4C1B2217">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1.1任务概述</w:t>
      </w:r>
    </w:p>
    <w:p w14:paraId="3B15DFDA">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我国南方某城市的一幢5层教学楼，结构体系为装配整体式框架结构，抗震等级为四级，不上人平屋面，精装交付。首层及屋顶层均采用现浇混凝土结构，首层及二层层高6.0m，标准层层高为3.8m，混凝土强度等级详见图纸层高表。</w:t>
      </w:r>
    </w:p>
    <w:p w14:paraId="45A61962">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要求根据给定的施工图图纸建立指定范围内的BIM模型、对指定范围内的所有预制构件进行深化设计并按要求对指定的预制构件出具预制构件加工图。</w:t>
      </w:r>
    </w:p>
    <w:p w14:paraId="4A1697CD">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1.2 预制构件类型</w:t>
      </w:r>
    </w:p>
    <w:p w14:paraId="39925CF5">
      <w:pPr>
        <w:pStyle w:val="4"/>
        <w:pageBreakBefore w:val="0"/>
        <w:widowControl/>
        <w:kinsoku/>
        <w:wordWrap/>
        <w:overflowPunct/>
        <w:topLinePunct w:val="0"/>
        <w:autoSpaceDE/>
        <w:autoSpaceDN/>
        <w:bidi w:val="0"/>
        <w:adjustRightInd/>
        <w:snapToGrid/>
        <w:spacing w:before="31" w:after="31" w:line="50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该建筑物预制混凝土构件类型包括：预制叠合梁、预制叠合板、预制楼梯。该建筑物的装配率大于50%。</w:t>
      </w:r>
    </w:p>
    <w:p w14:paraId="178697C7">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1.3 设计依据</w:t>
      </w:r>
    </w:p>
    <w:p w14:paraId="65C95F0F">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《装配式混凝土结构技术规程》                 JGJ1-2014</w:t>
      </w:r>
    </w:p>
    <w:p w14:paraId="356BBCA2">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《装配式混凝土连接节点构造（楼盖和楼梯）》   15G310-1</w:t>
      </w:r>
    </w:p>
    <w:p w14:paraId="55D05572">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《桁架钢筋混凝土叠合板》（60mm厚底板）       15G366-1</w:t>
      </w:r>
    </w:p>
    <w:p w14:paraId="65FE4394">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《预制钢筋混凝土板式楼梯》                   15G367-1</w:t>
      </w:r>
    </w:p>
    <w:p w14:paraId="240EFD1C">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《混凝土结构施工图平面整体表示方法制图规则和构造详图》22G101-1</w:t>
      </w:r>
    </w:p>
    <w:p w14:paraId="7144512F">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《混凝土结构施工钢筋排布规则与构造详图》     18G901-1</w:t>
      </w:r>
    </w:p>
    <w:p w14:paraId="310A49EB">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1.4 构件材料及保护层厚度</w:t>
      </w:r>
    </w:p>
    <w:p w14:paraId="22645AC7">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该建筑物钢筋均采用HRB400级钢筋，用符号C 表示，预制叠合板、预制叠合梁、预制楼梯混凝土保护层的厚度分别为15mm、25mm、20mm。</w:t>
      </w:r>
    </w:p>
    <w:p w14:paraId="5F97C7A6">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1.5 项目的结构图纸说明</w:t>
      </w:r>
    </w:p>
    <w:p w14:paraId="3F5E601C">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该建筑物图纸包含各层框架柱布置及配筋图、各层结构平面图、各层梁配筋图、各层预制构件平面布置图和各层预留预埋平面示意图。</w:t>
      </w:r>
    </w:p>
    <w:p w14:paraId="3F5624CD">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1.6 装配式混凝土连接节点说明</w:t>
      </w:r>
    </w:p>
    <w:p w14:paraId="3B6ECFA6">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1.6.1 本项目预制叠合楼板均为预制叠合双向板，所有的预制叠合楼板的底板均采用桁架钢筋混凝土预制板；预制叠合双向板采用后浇带的整体式接缝连接形式，其连接节点见图一；叠合板与受力边支座的连接形式见图二；叠合板中间支座的连接形式见图三。</w:t>
      </w:r>
    </w:p>
    <w:p w14:paraId="477F8EA7">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1.6.2 预制连续梁连接节点见图四，预制梁端部连接节点见图五。</w:t>
      </w:r>
    </w:p>
    <w:p w14:paraId="370CC248">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1.6.3 预制叠合板搁进支座10mm。</w:t>
      </w:r>
    </w:p>
    <w:p w14:paraId="25441450">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1.6.4 预制叠合梁搁进支座15mm。</w:t>
      </w:r>
    </w:p>
    <w:p w14:paraId="54E0BEBD">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1.7 叠合板底板要求</w:t>
      </w:r>
    </w:p>
    <w:p w14:paraId="2517BC93">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1.7.1双向板叠合楼板四边出筋；</w:t>
      </w:r>
    </w:p>
    <w:p w14:paraId="70F53338">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1.7.2桁架钢筋规格代号为A80/A110，桁架钢筋的设置应满足《装配式混凝土结构技术规程》中的要求，需考虑到其设置能使预制底板的纵筋总含量最低；</w:t>
      </w:r>
    </w:p>
    <w:p w14:paraId="6077A013">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1.7.3预制底板上线盒定位及规格、洞口定位及规格详见预留预埋平面示意图；</w:t>
      </w:r>
    </w:p>
    <w:p w14:paraId="10443270">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1.7.4预制底板外围接触面需满足规范的要求，并在深化图纸中示意出构件的外围接触面符号以及安装符号等；</w:t>
      </w:r>
    </w:p>
    <w:p w14:paraId="38E7CD93">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1.7.5预制底板的其他未说明处应满足给定的施工图纸及现行规范、标准和图集的要求。</w:t>
      </w:r>
    </w:p>
    <w:p w14:paraId="7B108A2A">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1.8叠合梁要求</w:t>
      </w:r>
    </w:p>
    <w:p w14:paraId="45823758">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1.8.1预制叠合梁的预制底梁部分，在梁面设置2C12的构造纵筋，纵筋不伸出梁端面；</w:t>
      </w:r>
    </w:p>
    <w:p w14:paraId="644060B4">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1.8.2箍筋采用组合封闭箍；</w:t>
      </w:r>
    </w:p>
    <w:p w14:paraId="74EC09A2">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1.8.3叠合梁的吊装预埋件选用吊钉，吊钉需满足吊装承载力的要求；</w:t>
      </w:r>
    </w:p>
    <w:p w14:paraId="55805FBC">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1.8.4叠合梁两端设置非贯通键槽；</w:t>
      </w:r>
    </w:p>
    <w:p w14:paraId="7AE3E856">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1.8.5叠合梁的外围接触面需满足规范的要求，并在深化图纸中示意出构件的外围接触面符号以及安装符号等；</w:t>
      </w:r>
    </w:p>
    <w:p w14:paraId="51C08D4D">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1.8.6 叠合梁的其他未说明处应满足给定的施工图纸及现行规范、标准和图集的要求。</w:t>
      </w:r>
    </w:p>
    <w:p w14:paraId="43936C9E">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1.9预制楼梯要求</w:t>
      </w:r>
    </w:p>
    <w:p w14:paraId="3ACC8515">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1.9.1 预制楼梯详见楼梯大样图；</w:t>
      </w:r>
    </w:p>
    <w:p w14:paraId="1D059F59">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1.9.2 预制楼梯的挑耳统一设置在高端，尺寸详见楼梯大样图；高低端支座做法详节点大样；</w:t>
      </w:r>
    </w:p>
    <w:p w14:paraId="2BCF73D2">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1.9.3 预制楼梯的吊装及脱模预埋件均选用内埋式螺母；</w:t>
      </w:r>
    </w:p>
    <w:p w14:paraId="1B632EF7">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1.9.4 预制楼梯的滴水线设置在梯井一侧，设置有防滑槽；</w:t>
      </w:r>
    </w:p>
    <w:p w14:paraId="2B772EDF">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1.9.5 预制楼梯其他未说明的构造配筋参考15G367-1中的ST-30-24配筋图，见附件1 。</w:t>
      </w:r>
    </w:p>
    <w:p w14:paraId="2BA34ACA">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2 设计内容及结果输出</w:t>
      </w:r>
    </w:p>
    <w:p w14:paraId="7FD658E1">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根据以上任务书要求，建立该教学楼的BIM模型，对指定范围内的预制构件进行深化设计并按要求对指定的预制构件出具预制构件加工图。具体要求如下：</w:t>
      </w:r>
    </w:p>
    <w:p w14:paraId="5D0D55EA">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2.1模型建立要求</w:t>
      </w:r>
    </w:p>
    <w:p w14:paraId="29399435">
      <w:pPr>
        <w:pageBreakBefore w:val="0"/>
        <w:widowControl/>
        <w:kinsoku/>
        <w:wordWrap/>
        <w:overflowPunct/>
        <w:topLinePunct w:val="0"/>
        <w:autoSpaceDE/>
        <w:autoSpaceDN/>
        <w:bidi w:val="0"/>
        <w:adjustRightInd/>
        <w:snapToGrid/>
        <w:spacing w:line="500" w:lineRule="exact"/>
        <w:ind w:firstLine="56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根据图纸建立4-4~4-7 轴交4-A~4-C 轴间的BIM模型，包括各类预制构件（后浇叠合层、后浇段不需建模）和现浇构件。具体包括标高11.950和标高15.750的水平构件；标高5.950~15.750的竖向构件；标高5.950~15.750间的楼梯。</w:t>
      </w:r>
    </w:p>
    <w:p w14:paraId="0F608638">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2.2 深化设计要求</w:t>
      </w:r>
    </w:p>
    <w:p w14:paraId="6739EE82">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对该模型中的部分预制构件出图，每个构件深化设计图纸中应包含的内容：模板图、配筋图、构件信息表（至少包含混凝土体积、构件重量、混凝土强度）、埋件信息表（至少包含埋件编号、名称、规格、数量）、配筋表（至少包含编号、直径、级别、钢筋加工尺寸、钢筋重量）。深化设计图纸要求图面整洁、文字和标注不得有重叠现象。</w:t>
      </w:r>
    </w:p>
    <w:p w14:paraId="3A2171DE">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具体深化设计构件及要求如下：</w:t>
      </w:r>
    </w:p>
    <w:p w14:paraId="3581A6C9">
      <w:pPr>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2.2.1 双向叠合板预制底板出图</w:t>
      </w:r>
    </w:p>
    <w:p w14:paraId="5B14E345">
      <w:pPr>
        <w:pageBreakBefore w:val="0"/>
        <w:widowControl/>
        <w:shd w:val="clear" w:color="auto" w:fill="FFFFFF" w:themeFill="background1"/>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对三层（标高11.950）预制构件平面布置图中的编号为B-DBS67-1、B-DBS67-2的板进行深化设计并出具预制构件加工图，图纸以A2图幅绘制，以“3F-PCBXX，3F-PCBXX”为构件名称，输出“.dwg”格式。</w:t>
      </w:r>
    </w:p>
    <w:p w14:paraId="120596F5">
      <w:pPr>
        <w:pageBreakBefore w:val="0"/>
        <w:widowControl/>
        <w:shd w:val="clear" w:color="auto" w:fill="FFFFFF" w:themeFill="background1"/>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对四层（标高15.750）预制构件平面布置图中的编号为B-DBS67-1、B-DBS67-2的板进行深化设计并出具预制构件加工图，图纸以A2图幅绘制，以“4F-PCBXX，4F-PCBXX”为构件名称，输出“.dwg”格式。</w:t>
      </w:r>
    </w:p>
    <w:p w14:paraId="5A2FC1F2">
      <w:pPr>
        <w:pageBreakBefore w:val="0"/>
        <w:widowControl/>
        <w:shd w:val="clear" w:color="auto" w:fill="FFFFFF" w:themeFill="background1"/>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2.2.2预制梁出图</w:t>
      </w:r>
    </w:p>
    <w:p w14:paraId="75F280E5">
      <w:pPr>
        <w:pageBreakBefore w:val="0"/>
        <w:widowControl/>
        <w:shd w:val="clear" w:color="auto" w:fill="FFFFFF" w:themeFill="background1"/>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对三层（标高11.950）中4-5  轴交4-A  ~  4-B 轴间的预制梁进行深化设计并出具预制构件加工图，图纸以A1图幅绘制，以“3F-PCLXX” 为构件名称，输出“.dwg”格式。</w:t>
      </w:r>
    </w:p>
    <w:p w14:paraId="4E414180">
      <w:pPr>
        <w:pageBreakBefore w:val="0"/>
        <w:widowControl/>
        <w:shd w:val="clear" w:color="auto" w:fill="FFFFFF" w:themeFill="background1"/>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对四层（标高15.750）中4-5  轴交4-A  ~  4-B 轴间的预制梁进行深化设计并出具预制构件加工图，图纸以A1图幅绘制，以“4F-PCLXX” 为构件名称，输出“.dwg”格式。</w:t>
      </w:r>
    </w:p>
    <w:p w14:paraId="2050E818">
      <w:pPr>
        <w:pageBreakBefore w:val="0"/>
        <w:widowControl/>
        <w:shd w:val="clear" w:color="auto" w:fill="FFFFFF" w:themeFill="background1"/>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2.2.3预制楼梯出图</w:t>
      </w:r>
    </w:p>
    <w:p w14:paraId="4ED31C71">
      <w:pPr>
        <w:pageBreakBefore w:val="0"/>
        <w:widowControl/>
        <w:shd w:val="clear" w:color="auto" w:fill="FFFFFF" w:themeFill="background1"/>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对8#楼梯5.950~15.750标高范围内的YZTB1、YZTB2进行深化设计并出具预制构件加工图，图纸以A1图幅绘制，分别以“PCLT1”“PCLT2” 为构件名称，输出.dwg格式。</w:t>
      </w:r>
    </w:p>
    <w:p w14:paraId="0977C365">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2.3 结果提交要求</w:t>
      </w:r>
    </w:p>
    <w:p w14:paraId="5D52DA3D">
      <w:pPr>
        <w:pageBreakBefore w:val="0"/>
        <w:widowControl/>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2.3.1对2.2.1要求的相关预制楼板的深化图纸合并后以“预制楼板加工图.dwg”输出保存到桌面的考生文件夹内。</w:t>
      </w:r>
    </w:p>
    <w:p w14:paraId="6226BD0B">
      <w:pPr>
        <w:pageBreakBefore w:val="0"/>
        <w:widowControl/>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2.3.2对2.2.2要求的相关预制梁的深化图纸合并后以“预制梁加工图.dwg”输出保存到桌面的考生文件夹内。</w:t>
      </w:r>
    </w:p>
    <w:p w14:paraId="548DE92B">
      <w:pPr>
        <w:pageBreakBefore w:val="0"/>
        <w:widowControl/>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2.3.3对2.2.3要求的相关预制楼梯的深化图纸合并后以“预制楼梯加工图.dwg”输出保存到桌面的考生文件夹内。</w:t>
      </w:r>
    </w:p>
    <w:p w14:paraId="3056E9B7">
      <w:pPr>
        <w:pageBreakBefore w:val="0"/>
        <w:widowControl/>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2.3.4将最终的模型以“座位号+任务二”为文件名另行命名保存，并放入桌面的考生文件夹内。</w:t>
      </w:r>
    </w:p>
    <w:p w14:paraId="2279B0D6">
      <w:pPr>
        <w:pageBreakBefore w:val="0"/>
        <w:widowControl/>
        <w:kinsoku/>
        <w:wordWrap/>
        <w:overflowPunct/>
        <w:topLinePunct w:val="0"/>
        <w:autoSpaceDE/>
        <w:autoSpaceDN/>
        <w:bidi w:val="0"/>
        <w:adjustRightInd/>
        <w:snapToGrid/>
        <w:spacing w:line="440" w:lineRule="exact"/>
        <w:ind w:firstLine="420"/>
        <w:textAlignment w:val="auto"/>
        <w:rPr>
          <w:rFonts w:hint="eastAsia" w:ascii="仿宋" w:hAnsi="仿宋" w:eastAsia="仿宋_GB2312" w:cs="仿宋"/>
          <w:color w:val="auto"/>
          <w:kern w:val="0"/>
          <w:sz w:val="24"/>
          <w:szCs w:val="20"/>
          <w:lang w:val="en-US" w:eastAsia="zh-CN" w:bidi="zh-CN"/>
        </w:rPr>
      </w:pPr>
    </w:p>
    <w:p w14:paraId="088DDD6A">
      <w:pPr>
        <w:rPr>
          <w:rFonts w:hint="eastAsia" w:ascii="仿宋" w:hAnsi="仿宋" w:eastAsia="仿宋_GB2312" w:cs="仿宋"/>
          <w:color w:val="auto"/>
          <w:kern w:val="0"/>
          <w:sz w:val="24"/>
          <w:szCs w:val="20"/>
          <w:lang w:val="en-US" w:eastAsia="zh-CN" w:bidi="zh-CN"/>
        </w:rPr>
      </w:pPr>
      <w:r>
        <w:rPr>
          <w:rFonts w:hint="eastAsia" w:ascii="仿宋" w:hAnsi="仿宋" w:eastAsia="仿宋_GB2312" w:cs="仿宋"/>
          <w:color w:val="auto"/>
          <w:kern w:val="0"/>
          <w:sz w:val="24"/>
          <w:szCs w:val="20"/>
          <w:lang w:val="en-US" w:eastAsia="zh-CN" w:bidi="zh-CN"/>
        </w:rPr>
        <w:br w:type="page"/>
      </w:r>
    </w:p>
    <w:p w14:paraId="4938ECB1">
      <w:pPr>
        <w:widowControl w:val="0"/>
        <w:ind w:firstLine="0" w:firstLineChars="0"/>
        <w:jc w:val="center"/>
        <w:rPr>
          <w:rFonts w:hint="eastAsia" w:ascii="黑体" w:hAnsi="黑体" w:eastAsia="黑体" w:cs="黑体"/>
          <w:b/>
          <w:bCs/>
          <w:kern w:val="2"/>
          <w:sz w:val="30"/>
          <w:szCs w:val="30"/>
          <w:lang w:val="en-US" w:eastAsia="zh-CN"/>
        </w:rPr>
      </w:pPr>
      <w:r>
        <w:rPr>
          <w:rFonts w:hint="eastAsia" w:ascii="黑体" w:hAnsi="黑体" w:eastAsia="黑体" w:cs="黑体"/>
          <w:b/>
          <w:bCs/>
          <w:kern w:val="2"/>
          <w:sz w:val="30"/>
          <w:szCs w:val="30"/>
          <w:lang w:eastAsia="zh-CN"/>
        </w:rPr>
        <w:t>任务</w:t>
      </w:r>
      <w:r>
        <w:rPr>
          <w:rFonts w:hint="eastAsia" w:ascii="黑体" w:hAnsi="黑体" w:eastAsia="黑体" w:cs="黑体"/>
          <w:b/>
          <w:bCs/>
          <w:kern w:val="2"/>
          <w:sz w:val="30"/>
          <w:szCs w:val="30"/>
          <w:lang w:val="en-US" w:eastAsia="zh-CN"/>
        </w:rPr>
        <w:t>三</w:t>
      </w:r>
      <w:r>
        <w:rPr>
          <w:rFonts w:hint="eastAsia" w:ascii="黑体" w:hAnsi="黑体" w:eastAsia="黑体" w:cs="黑体"/>
          <w:b/>
          <w:bCs/>
          <w:kern w:val="2"/>
          <w:sz w:val="30"/>
          <w:szCs w:val="30"/>
          <w:lang w:eastAsia="zh-CN"/>
        </w:rPr>
        <w:t>：</w:t>
      </w:r>
      <w:r>
        <w:rPr>
          <w:rFonts w:hint="eastAsia" w:ascii="黑体" w:hAnsi="黑体" w:eastAsia="黑体" w:cs="黑体"/>
          <w:b/>
          <w:bCs/>
          <w:kern w:val="2"/>
          <w:sz w:val="30"/>
          <w:szCs w:val="30"/>
          <w:lang w:val="en-US" w:eastAsia="zh-CN"/>
        </w:rPr>
        <w:t>装配式建筑构件制作与安装（满分100分）</w:t>
      </w:r>
    </w:p>
    <w:p w14:paraId="5CD51647">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b/>
          <w:bCs/>
          <w:color w:val="auto"/>
          <w:kern w:val="0"/>
          <w:sz w:val="24"/>
          <w:szCs w:val="20"/>
          <w:lang w:val="en-US" w:eastAsia="zh-CN" w:bidi="zh-CN"/>
        </w:rPr>
      </w:pPr>
      <w:r>
        <w:rPr>
          <w:rFonts w:hint="eastAsia" w:ascii="宋体" w:hAnsi="宋体" w:eastAsia="宋体" w:cs="宋体"/>
          <w:b/>
          <w:bCs/>
          <w:color w:val="auto"/>
          <w:kern w:val="0"/>
          <w:sz w:val="24"/>
          <w:szCs w:val="20"/>
          <w:lang w:val="en-US" w:eastAsia="zh-CN" w:bidi="zh-CN"/>
        </w:rPr>
        <w:t>一、装配式构件生产模拟任务书</w:t>
      </w:r>
    </w:p>
    <w:p w14:paraId="3CB4589A">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装配式构件生产仿真需包括：模具摆放、钢筋绑扎与埋件固定、混凝土浇筑、构件预处理与养护、构件起板与质检入库等岗位工艺部分，生产任务包括：剪力墙外墙的仿真生产。</w:t>
      </w:r>
    </w:p>
    <w:p w14:paraId="45BA0983">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（一）模具摆放</w:t>
      </w:r>
    </w:p>
    <w:p w14:paraId="35BAAE8C">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根据提供的图纸进行划线机操作、模具选择、模具组装、模具矫正固定、模具脱模剂涂刷等操作实训。</w:t>
      </w:r>
    </w:p>
    <w:p w14:paraId="50DAC75B">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（二）钢筋绑扎与埋件固定</w:t>
      </w:r>
    </w:p>
    <w:p w14:paraId="3D62FFBB">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根据提供的图纸资料进行钢筋下料、钢筋制作（折弯、拉直、截断等）、钢筋绑扎、埋件固定等操作实训。</w:t>
      </w:r>
    </w:p>
    <w:p w14:paraId="6D195E94">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（三）混凝土浇筑岗位模块</w:t>
      </w:r>
    </w:p>
    <w:p w14:paraId="781AAF4D">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虚拟仿真构件生产过程构件浇筑岗位操作，训练考核学生根据目标生产构件进行混凝土请求下料、构件浇筑振捣、保温板铺设固定等操作。</w:t>
      </w:r>
    </w:p>
    <w:p w14:paraId="6ACE78DB">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（四）构件预处理与养护岗位模块</w:t>
      </w:r>
    </w:p>
    <w:p w14:paraId="5078AEF3">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虚拟仿真构件生产过程构件预处理与养护岗位操作，训练考核学生根据目标生产构件进行构件拉毛、构件赶平、预养库预养、抹光机抹光、构件蒸养库存取操作、构件蒸养等操作。</w:t>
      </w:r>
    </w:p>
    <w:p w14:paraId="4D49E8FA">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（五）构件起板与质检入库岗位模块</w:t>
      </w:r>
    </w:p>
    <w:p w14:paraId="0152E1C7">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虚拟仿真构件生产过程构件起板与质检入库岗位操作，训练考核学生根据目标生产构件进行构件脱模、清洗糙面、起板入库、构件码放入库等操作。</w:t>
      </w:r>
    </w:p>
    <w:p w14:paraId="6F9FC4AE">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b/>
          <w:bCs/>
          <w:color w:val="auto"/>
          <w:kern w:val="0"/>
          <w:sz w:val="24"/>
          <w:szCs w:val="20"/>
          <w:lang w:val="en-US" w:eastAsia="zh-CN" w:bidi="zh-CN"/>
        </w:rPr>
      </w:pPr>
      <w:r>
        <w:rPr>
          <w:rFonts w:hint="eastAsia" w:ascii="宋体" w:hAnsi="宋体" w:eastAsia="宋体" w:cs="宋体"/>
          <w:b/>
          <w:bCs/>
          <w:color w:val="auto"/>
          <w:kern w:val="0"/>
          <w:sz w:val="24"/>
          <w:szCs w:val="20"/>
          <w:lang w:val="en-US" w:eastAsia="zh-CN" w:bidi="zh-CN"/>
        </w:rPr>
        <w:t>二、装配式构件安装任务书</w:t>
      </w:r>
    </w:p>
    <w:p w14:paraId="6729EF17">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装配式建筑构件安装仿真包括：外墙构件吊装、外墙构件灌浆、十字型现浇连接等岗位工艺部分。</w:t>
      </w:r>
    </w:p>
    <w:p w14:paraId="4FF716E3">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（一）构件吊装</w:t>
      </w:r>
    </w:p>
    <w:p w14:paraId="036599DC">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根据任务要求进行施工准备、构件确认检查、定位放线、连接钢筋检查矫正、结合面处理、标高超平、保温条铺设、起板移位、吊装就位、临时固定矫正、工完料清等操作。</w:t>
      </w:r>
    </w:p>
    <w:p w14:paraId="0D14E8EA">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（二）构件灌浆</w:t>
      </w:r>
    </w:p>
    <w:p w14:paraId="0C21149B">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根据任务要求进行施工准备、封缝料制备、分仓、封仓、灌浆料制备、流动度检测、试块制作、灌浆施工、工完料清等操作。</w:t>
      </w:r>
    </w:p>
    <w:p w14:paraId="55BC4F8A">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（三）节点连接</w:t>
      </w:r>
    </w:p>
    <w:p w14:paraId="2AC35A44">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根据根据任务要求进行施工准备、连接钢筋检查矫正、结合面处理、保温条粘贴、安装螺纹套筒、钢筋绑扎、模板支设、混凝土浇筑、工完料清等操作。</w:t>
      </w:r>
    </w:p>
    <w:p w14:paraId="22A154A9">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现浇段/现浇楼面钢筋绑扎、管线预埋、模板支设、混凝土浇筑与振捣等工艺训练。</w:t>
      </w:r>
    </w:p>
    <w:p w14:paraId="4C56589B">
      <w:pPr>
        <w:widowControl w:val="0"/>
        <w:ind w:firstLine="0" w:firstLineChars="0"/>
        <w:jc w:val="center"/>
        <w:rPr>
          <w:rFonts w:hint="eastAsia" w:ascii="黑体" w:hAnsi="黑体" w:eastAsia="黑体" w:cs="黑体"/>
          <w:b/>
          <w:bCs/>
          <w:kern w:val="2"/>
          <w:sz w:val="30"/>
          <w:szCs w:val="30"/>
          <w:lang w:val="en-US" w:eastAsia="zh-CN"/>
        </w:rPr>
      </w:pPr>
    </w:p>
    <w:p w14:paraId="02BB1FD9">
      <w:pPr>
        <w:widowControl w:val="0"/>
        <w:ind w:firstLine="0" w:firstLineChars="0"/>
        <w:jc w:val="center"/>
        <w:rPr>
          <w:rFonts w:hint="eastAsia" w:ascii="黑体" w:hAnsi="黑体" w:eastAsia="黑体" w:cs="黑体"/>
          <w:b/>
          <w:bCs/>
          <w:kern w:val="2"/>
          <w:sz w:val="30"/>
          <w:szCs w:val="30"/>
          <w:lang w:val="en-US" w:eastAsia="zh-CN"/>
        </w:rPr>
      </w:pPr>
      <w:r>
        <w:rPr>
          <w:rFonts w:hint="eastAsia" w:ascii="黑体" w:hAnsi="黑体" w:eastAsia="黑体" w:cs="黑体"/>
          <w:b/>
          <w:bCs/>
          <w:kern w:val="2"/>
          <w:sz w:val="30"/>
          <w:szCs w:val="30"/>
          <w:lang w:val="en-US" w:eastAsia="zh-CN"/>
        </w:rPr>
        <w:t>任务四：智慧工地应用与管理考题（满分100分）</w:t>
      </w:r>
    </w:p>
    <w:p w14:paraId="604B918E">
      <w:pPr>
        <w:pageBreakBefore w:val="0"/>
        <w:widowControl/>
        <w:kinsoku/>
        <w:wordWrap/>
        <w:overflowPunct/>
        <w:topLinePunct w:val="0"/>
        <w:autoSpaceDE/>
        <w:autoSpaceDN/>
        <w:bidi w:val="0"/>
        <w:adjustRightInd/>
        <w:snapToGrid/>
        <w:spacing w:line="500" w:lineRule="exact"/>
        <w:ind w:firstLine="420"/>
        <w:textAlignment w:val="auto"/>
        <w:rPr>
          <w:rFonts w:hint="eastAsia" w:ascii="仿宋" w:hAnsi="仿宋" w:eastAsia="仿宋" w:cs="Times New Roman"/>
          <w:b/>
          <w:bCs/>
          <w:color w:val="auto"/>
          <w:sz w:val="30"/>
          <w:szCs w:val="30"/>
          <w:lang w:val="en-US" w:eastAsia="zh-CN"/>
        </w:rPr>
      </w:pPr>
      <w:r>
        <w:rPr>
          <w:rFonts w:hint="eastAsia" w:ascii="宋体" w:hAnsi="宋体" w:eastAsia="宋体" w:cs="宋体"/>
          <w:color w:val="auto"/>
          <w:kern w:val="0"/>
          <w:sz w:val="24"/>
          <w:szCs w:val="20"/>
          <w:lang w:val="en-US" w:eastAsia="zh-CN" w:bidi="zh-CN"/>
        </w:rPr>
        <w:t>参赛选手通过竞赛平台以一人多岗仿真操作的形式，对拟造的仿真智慧工地进行信息记录、智能设备及管理平台应用、智能设备维护、异常隐患处理、异常工况处理，保证工程施工顺利进行。</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B5FC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6E3A8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96E3A8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2FBFBA"/>
    <w:multiLevelType w:val="singleLevel"/>
    <w:tmpl w:val="772FBFBA"/>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0MGVjM2VlOGE3NTZlZDgxYzNhN2U3NmU1OTFiYTYifQ=="/>
    <w:docVar w:name="KSO_WPS_MARK_KEY" w:val="043a109c-f85c-4477-af87-1cec54066f1f"/>
  </w:docVars>
  <w:rsids>
    <w:rsidRoot w:val="46727CC3"/>
    <w:rsid w:val="010A353B"/>
    <w:rsid w:val="018108ED"/>
    <w:rsid w:val="01D60B10"/>
    <w:rsid w:val="03AA560D"/>
    <w:rsid w:val="03AD5AB0"/>
    <w:rsid w:val="06C7057B"/>
    <w:rsid w:val="0717748D"/>
    <w:rsid w:val="07F15994"/>
    <w:rsid w:val="0A360DE8"/>
    <w:rsid w:val="0A8120A4"/>
    <w:rsid w:val="0C9475FD"/>
    <w:rsid w:val="0CDA1AA2"/>
    <w:rsid w:val="0CDD578D"/>
    <w:rsid w:val="0D132186"/>
    <w:rsid w:val="0DDA2272"/>
    <w:rsid w:val="0DF91C71"/>
    <w:rsid w:val="0E0F1A0E"/>
    <w:rsid w:val="0E63197E"/>
    <w:rsid w:val="0F3550C8"/>
    <w:rsid w:val="10453AD9"/>
    <w:rsid w:val="11C90D9E"/>
    <w:rsid w:val="127209C2"/>
    <w:rsid w:val="13281A20"/>
    <w:rsid w:val="134F427F"/>
    <w:rsid w:val="140C16EF"/>
    <w:rsid w:val="14744666"/>
    <w:rsid w:val="1587016D"/>
    <w:rsid w:val="161D4EA1"/>
    <w:rsid w:val="162F104C"/>
    <w:rsid w:val="179D11C1"/>
    <w:rsid w:val="198A2A2E"/>
    <w:rsid w:val="1BE17E0A"/>
    <w:rsid w:val="1D1C1676"/>
    <w:rsid w:val="1DFC3255"/>
    <w:rsid w:val="1E3608F3"/>
    <w:rsid w:val="1F2B5FD4"/>
    <w:rsid w:val="203B5FCA"/>
    <w:rsid w:val="210B0A24"/>
    <w:rsid w:val="21B071A6"/>
    <w:rsid w:val="246508F6"/>
    <w:rsid w:val="24656915"/>
    <w:rsid w:val="248D590F"/>
    <w:rsid w:val="256939F6"/>
    <w:rsid w:val="261B7E53"/>
    <w:rsid w:val="26373E99"/>
    <w:rsid w:val="26524DAD"/>
    <w:rsid w:val="26823922"/>
    <w:rsid w:val="27E458BE"/>
    <w:rsid w:val="27F05BD9"/>
    <w:rsid w:val="2B4B0E39"/>
    <w:rsid w:val="2C1D06A7"/>
    <w:rsid w:val="2D4C1B03"/>
    <w:rsid w:val="2EA06E4D"/>
    <w:rsid w:val="2F434BE0"/>
    <w:rsid w:val="306233EC"/>
    <w:rsid w:val="33322E7D"/>
    <w:rsid w:val="33460DA3"/>
    <w:rsid w:val="33A86789"/>
    <w:rsid w:val="34180CFD"/>
    <w:rsid w:val="34543A82"/>
    <w:rsid w:val="35F75449"/>
    <w:rsid w:val="38526692"/>
    <w:rsid w:val="3985597A"/>
    <w:rsid w:val="3AB658AA"/>
    <w:rsid w:val="3BA04B7A"/>
    <w:rsid w:val="3CE21B3C"/>
    <w:rsid w:val="3DA14CF3"/>
    <w:rsid w:val="3DF57F08"/>
    <w:rsid w:val="3EBA08A8"/>
    <w:rsid w:val="3FDE4D53"/>
    <w:rsid w:val="40311CF5"/>
    <w:rsid w:val="40A444A2"/>
    <w:rsid w:val="40BC3C33"/>
    <w:rsid w:val="41601C3E"/>
    <w:rsid w:val="42375CB6"/>
    <w:rsid w:val="424D515E"/>
    <w:rsid w:val="42687CB8"/>
    <w:rsid w:val="427E084B"/>
    <w:rsid w:val="433A06E4"/>
    <w:rsid w:val="43690EC6"/>
    <w:rsid w:val="43691841"/>
    <w:rsid w:val="46727CC3"/>
    <w:rsid w:val="4791488A"/>
    <w:rsid w:val="47DE73A4"/>
    <w:rsid w:val="48322C1B"/>
    <w:rsid w:val="48B87FA9"/>
    <w:rsid w:val="49402561"/>
    <w:rsid w:val="49493FC5"/>
    <w:rsid w:val="4A235542"/>
    <w:rsid w:val="4A7F6DC7"/>
    <w:rsid w:val="4A862CA8"/>
    <w:rsid w:val="4AB479AB"/>
    <w:rsid w:val="4AD827D0"/>
    <w:rsid w:val="4B505281"/>
    <w:rsid w:val="4B823153"/>
    <w:rsid w:val="4BBA3C84"/>
    <w:rsid w:val="4C890250"/>
    <w:rsid w:val="4D4B6C1F"/>
    <w:rsid w:val="4D84279B"/>
    <w:rsid w:val="4E005CD9"/>
    <w:rsid w:val="4E1B6AC3"/>
    <w:rsid w:val="4E820B9C"/>
    <w:rsid w:val="4F5C4E33"/>
    <w:rsid w:val="4F8C5937"/>
    <w:rsid w:val="4FAD47D1"/>
    <w:rsid w:val="4FCC6785"/>
    <w:rsid w:val="502D6F76"/>
    <w:rsid w:val="51B36D62"/>
    <w:rsid w:val="51F450B5"/>
    <w:rsid w:val="57471336"/>
    <w:rsid w:val="58042F3C"/>
    <w:rsid w:val="58373F51"/>
    <w:rsid w:val="5932473C"/>
    <w:rsid w:val="5AB061B7"/>
    <w:rsid w:val="5CB67DF7"/>
    <w:rsid w:val="5D722FAA"/>
    <w:rsid w:val="5F441D8B"/>
    <w:rsid w:val="5FCC55A4"/>
    <w:rsid w:val="5FF65610"/>
    <w:rsid w:val="60046071"/>
    <w:rsid w:val="601F7DCE"/>
    <w:rsid w:val="602E1D5E"/>
    <w:rsid w:val="60471B32"/>
    <w:rsid w:val="62D358FF"/>
    <w:rsid w:val="63547DD2"/>
    <w:rsid w:val="63A91142"/>
    <w:rsid w:val="64741FF0"/>
    <w:rsid w:val="656A6DD2"/>
    <w:rsid w:val="66D63309"/>
    <w:rsid w:val="67A47A2E"/>
    <w:rsid w:val="67E27043"/>
    <w:rsid w:val="6897311E"/>
    <w:rsid w:val="689B3FAD"/>
    <w:rsid w:val="69B67B41"/>
    <w:rsid w:val="6A9821AE"/>
    <w:rsid w:val="6B954AD7"/>
    <w:rsid w:val="6BBB792E"/>
    <w:rsid w:val="6CAB5D7E"/>
    <w:rsid w:val="6E164A7D"/>
    <w:rsid w:val="6EC5350B"/>
    <w:rsid w:val="703C6C3F"/>
    <w:rsid w:val="70C525FF"/>
    <w:rsid w:val="71787BB1"/>
    <w:rsid w:val="721D3F82"/>
    <w:rsid w:val="721F1B08"/>
    <w:rsid w:val="72225F5B"/>
    <w:rsid w:val="728D3CD9"/>
    <w:rsid w:val="74AA09E3"/>
    <w:rsid w:val="76235514"/>
    <w:rsid w:val="77487238"/>
    <w:rsid w:val="775A30EF"/>
    <w:rsid w:val="77882D05"/>
    <w:rsid w:val="78852DA0"/>
    <w:rsid w:val="7B9F23CB"/>
    <w:rsid w:val="7BAC195A"/>
    <w:rsid w:val="7BF546E1"/>
    <w:rsid w:val="7C5E358A"/>
    <w:rsid w:val="7CB9570E"/>
    <w:rsid w:val="7D3D633F"/>
    <w:rsid w:val="7E0A246C"/>
    <w:rsid w:val="7FB02EE4"/>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1044" w:firstLineChars="200"/>
    </w:pPr>
    <w:rPr>
      <w:rFonts w:ascii="Times New Roman" w:hAnsi="Times New Roman" w:eastAsia="楷体" w:cs="Times New Roman"/>
      <w:sz w:val="28"/>
      <w:szCs w:val="24"/>
      <w:lang w:val="en-US" w:eastAsia="en-US" w:bidi="ar-SA"/>
    </w:rPr>
  </w:style>
  <w:style w:type="paragraph" w:styleId="3">
    <w:name w:val="heading 2"/>
    <w:basedOn w:val="1"/>
    <w:next w:val="1"/>
    <w:link w:val="10"/>
    <w:unhideWhenUsed/>
    <w:qFormat/>
    <w:uiPriority w:val="0"/>
    <w:pPr>
      <w:keepNext/>
      <w:keepLines/>
      <w:spacing w:before="60" w:after="60"/>
      <w:outlineLvl w:val="1"/>
    </w:pPr>
    <w:rPr>
      <w:rFonts w:ascii="Arial" w:hAnsi="Arial" w:eastAsia="黑体"/>
      <w:b/>
    </w:rPr>
  </w:style>
  <w:style w:type="paragraph" w:styleId="4">
    <w:name w:val="heading 3"/>
    <w:basedOn w:val="1"/>
    <w:next w:val="1"/>
    <w:link w:val="11"/>
    <w:unhideWhenUsed/>
    <w:qFormat/>
    <w:uiPriority w:val="0"/>
    <w:pPr>
      <w:keepNext/>
      <w:keepLines/>
      <w:spacing w:before="10" w:beforeLines="10" w:after="10" w:afterLines="10"/>
      <w:ind w:firstLine="482" w:firstLineChars="200"/>
      <w:outlineLvl w:val="2"/>
    </w:pPr>
    <w:rPr>
      <w:rFonts w:eastAsia="宋体"/>
      <w:szCs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Style1"/>
    <w:qFormat/>
    <w:uiPriority w:val="0"/>
    <w:pPr>
      <w:spacing w:after="120" w:line="259" w:lineRule="auto"/>
      <w:jc w:val="both"/>
    </w:pPr>
    <w:rPr>
      <w:rFonts w:ascii="Calibri" w:hAnsi="Calibri" w:eastAsia="Times New Roman" w:cs="Times New Roman"/>
      <w:color w:val="000000"/>
      <w:spacing w:val="-3"/>
      <w:sz w:val="24"/>
      <w:szCs w:val="24"/>
      <w:lang w:val="en-US" w:eastAsia="zh-CN" w:bidi="ar-SA"/>
    </w:rPr>
  </w:style>
  <w:style w:type="paragraph" w:styleId="5">
    <w:name w:val="Body Text"/>
    <w:basedOn w:val="1"/>
    <w:qFormat/>
    <w:uiPriority w:val="1"/>
    <w:pPr>
      <w:spacing w:line="360" w:lineRule="auto"/>
      <w:ind w:left="0" w:firstLine="723" w:firstLineChars="200"/>
    </w:pPr>
    <w:rPr>
      <w:rFonts w:ascii="仿宋" w:hAnsi="仿宋" w:eastAsia="仿宋_GB2312" w:cs="仿宋"/>
      <w:kern w:val="0"/>
      <w:sz w:val="24"/>
      <w:szCs w:val="20"/>
      <w:lang w:val="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customStyle="1" w:styleId="10">
    <w:name w:val="标题 2 字符1"/>
    <w:link w:val="3"/>
    <w:qFormat/>
    <w:uiPriority w:val="0"/>
    <w:rPr>
      <w:rFonts w:ascii="Arial" w:hAnsi="Arial" w:eastAsia="黑体"/>
      <w:b/>
    </w:rPr>
  </w:style>
  <w:style w:type="character" w:customStyle="1" w:styleId="11">
    <w:name w:val="标题 3 字符1"/>
    <w:link w:val="4"/>
    <w:qFormat/>
    <w:uiPriority w:val="0"/>
    <w:rPr>
      <w:rFonts w:eastAsia="宋体"/>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7174</Words>
  <Characters>8953</Characters>
  <Lines>0</Lines>
  <Paragraphs>0</Paragraphs>
  <TotalTime>11</TotalTime>
  <ScaleCrop>false</ScaleCrop>
  <LinksUpToDate>false</LinksUpToDate>
  <CharactersWithSpaces>10537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2024-12-10T01:24:00Z</dcterms:created>
  <dc:creator>曾福英</dc:creator>
  <cp:lastModifiedBy>查雅</cp:lastModifiedBy>
  <dcterms:modified xsi:type="dcterms:W3CDTF">2024-12-15T12:57:05Z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F3D6E13672FD4A35BE0AFE26284C618A_13</vt:lpwstr>
  </property>
</Properties>
</file>