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2023年河南省高等职业教育技能大赛</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小学教育活动设计与实施赛项（</w:t>
      </w:r>
      <w:r>
        <w:rPr>
          <w:rFonts w:hint="eastAsia" w:ascii="方正小标宋简体" w:hAnsi="方正小标宋简体" w:eastAsia="方正小标宋简体" w:cs="方正小标宋简体"/>
          <w:kern w:val="0"/>
          <w:sz w:val="44"/>
          <w:szCs w:val="44"/>
          <w:lang w:val="en-US" w:eastAsia="zh-CN"/>
        </w:rPr>
        <w:t>教师组</w:t>
      </w:r>
      <w:r>
        <w:rPr>
          <w:rFonts w:hint="eastAsia" w:ascii="方正小标宋简体" w:hAnsi="方正小标宋简体" w:eastAsia="方正小标宋简体" w:cs="方正小标宋简体"/>
          <w:kern w:val="0"/>
          <w:sz w:val="44"/>
          <w:szCs w:val="44"/>
        </w:rPr>
        <w:t>）</w:t>
      </w:r>
    </w:p>
    <w:p>
      <w:pPr>
        <w:spacing w:line="60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竞赛方案</w:t>
      </w:r>
    </w:p>
    <w:p>
      <w:pPr>
        <w:pStyle w:val="12"/>
        <w:ind w:left="0" w:leftChars="0" w:firstLine="0" w:firstLineChars="0"/>
      </w:pP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Times New Roman" w:hAnsi="黑体" w:eastAsia="黑体" w:cs="Times New Roman"/>
          <w:sz w:val="30"/>
          <w:szCs w:val="30"/>
        </w:rPr>
      </w:pPr>
      <w:r>
        <w:rPr>
          <w:rFonts w:hint="eastAsia" w:ascii="Times New Roman" w:hAnsi="黑体" w:eastAsia="黑体" w:cs="Times New Roman"/>
          <w:sz w:val="30"/>
          <w:szCs w:val="30"/>
        </w:rPr>
        <w:t>一、赛项名称</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赛项名称：小学教育活动设计与实施</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竞赛形式：团体赛</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赛项组别：高等职业教育（</w:t>
      </w:r>
      <w:r>
        <w:rPr>
          <w:rFonts w:hint="eastAsia" w:ascii="仿宋_GB2312" w:hAnsi="仿宋" w:eastAsia="仿宋_GB2312" w:cs="仿宋"/>
          <w:kern w:val="2"/>
          <w:sz w:val="30"/>
          <w:szCs w:val="30"/>
          <w:lang w:val="en-US" w:eastAsia="zh-CN" w:bidi="ar-SA"/>
        </w:rPr>
        <w:t>教师组</w:t>
      </w:r>
      <w:bookmarkStart w:id="1" w:name="_GoBack"/>
      <w:bookmarkEnd w:id="1"/>
      <w:r>
        <w:rPr>
          <w:rFonts w:hint="eastAsia" w:ascii="仿宋_GB2312" w:hAnsi="仿宋" w:eastAsia="仿宋_GB2312" w:cs="仿宋"/>
          <w:kern w:val="2"/>
          <w:sz w:val="30"/>
          <w:szCs w:val="30"/>
          <w:lang w:val="en-US" w:bidi="ar-SA"/>
        </w:rPr>
        <w:t>）</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专业大类：教育与体育大类</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主办单位：河南省教育厅</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承办单位：新乡职业技术学院</w:t>
      </w:r>
    </w:p>
    <w:p>
      <w:pPr>
        <w:pStyle w:val="2"/>
        <w:keepNext w:val="0"/>
        <w:keepLines w:val="0"/>
        <w:pageBreakBefore w:val="0"/>
        <w:widowControl w:val="0"/>
        <w:kinsoku/>
        <w:wordWrap/>
        <w:overflowPunct/>
        <w:topLinePunct w:val="0"/>
        <w:autoSpaceDE/>
        <w:autoSpaceDN/>
        <w:bidi w:val="0"/>
        <w:snapToGrid/>
        <w:spacing w:line="560" w:lineRule="exact"/>
        <w:ind w:left="0" w:firstLine="600" w:firstLineChars="200"/>
        <w:jc w:val="both"/>
        <w:textAlignment w:val="auto"/>
        <w:rPr>
          <w:rFonts w:ascii="仿宋_GB2312" w:hAnsi="仿宋" w:eastAsia="仿宋_GB2312" w:cs="仿宋"/>
          <w:kern w:val="2"/>
          <w:sz w:val="30"/>
          <w:szCs w:val="30"/>
          <w:lang w:val="en-US" w:bidi="ar-SA"/>
        </w:rPr>
      </w:pPr>
      <w:r>
        <w:rPr>
          <w:rFonts w:hint="eastAsia" w:ascii="仿宋_GB2312" w:hAnsi="仿宋" w:eastAsia="仿宋_GB2312" w:cs="仿宋"/>
          <w:kern w:val="2"/>
          <w:sz w:val="30"/>
          <w:szCs w:val="30"/>
          <w:lang w:val="en-US" w:bidi="ar-SA"/>
        </w:rPr>
        <w:t>报到及推荐住宿地点：另行通知</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00" w:firstLineChars="200"/>
        <w:jc w:val="left"/>
        <w:textAlignment w:val="auto"/>
        <w:rPr>
          <w:rFonts w:ascii="Times New Roman" w:hAnsi="黑体" w:eastAsia="黑体" w:cs="Times New Roman"/>
          <w:sz w:val="30"/>
          <w:szCs w:val="30"/>
        </w:rPr>
      </w:pPr>
      <w:r>
        <w:rPr>
          <w:rFonts w:hint="eastAsia" w:ascii="Times New Roman" w:hAnsi="黑体" w:eastAsia="黑体" w:cs="Times New Roman"/>
          <w:sz w:val="30"/>
          <w:szCs w:val="30"/>
        </w:rPr>
        <w:t>二、竞赛目的</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（一）落实文件精神，助推小学教育事业发展</w:t>
      </w:r>
    </w:p>
    <w:p>
      <w:pPr>
        <w:spacing w:line="560" w:lineRule="exact"/>
        <w:ind w:firstLine="600" w:firstLineChars="200"/>
        <w:jc w:val="left"/>
        <w:rPr>
          <w:rFonts w:ascii="仿宋" w:hAnsi="仿宋" w:eastAsia="仿宋" w:cs="仿宋"/>
          <w:sz w:val="30"/>
          <w:szCs w:val="30"/>
        </w:rPr>
      </w:pPr>
      <w:r>
        <w:rPr>
          <w:rFonts w:hint="eastAsia" w:ascii="仿宋_GB2312" w:hAnsi="仿宋" w:eastAsia="仿宋_GB2312" w:cs="仿宋"/>
          <w:sz w:val="30"/>
          <w:szCs w:val="30"/>
        </w:rPr>
        <w:t>本赛项的举行，可以持续激发我省高职院校与相关部门对小学教师专业标准、高职小学教育专业建设标准的研究，确保竞赛的导向作用，促进教育部《小学教育专业师范生教师职业能力标准（试行）》《小学教师专业标准（试行）》《中小学德育工作指南》《教师数字素养》《义务教育课程方案和课程标准（2022年版）》等文件精神的落实，助推小学教育事业蓬勃发展。</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（二）增进校际办学经验交流，助推小学教育专业高质量发展</w:t>
      </w:r>
    </w:p>
    <w:p>
      <w:pPr>
        <w:spacing w:line="560" w:lineRule="exact"/>
        <w:ind w:firstLine="600" w:firstLineChars="200"/>
        <w:jc w:val="left"/>
        <w:rPr>
          <w:rFonts w:ascii="仿宋" w:hAnsi="仿宋" w:eastAsia="仿宋" w:cs="仿宋"/>
          <w:sz w:val="30"/>
          <w:szCs w:val="30"/>
        </w:rPr>
      </w:pPr>
      <w:r>
        <w:rPr>
          <w:rFonts w:hint="eastAsia" w:ascii="仿宋_GB2312" w:hAnsi="仿宋" w:eastAsia="仿宋_GB2312" w:cs="仿宋"/>
          <w:sz w:val="30"/>
          <w:szCs w:val="30"/>
        </w:rPr>
        <w:t>本赛项的举行，能够检验小学教育类专业教师的教学成果，进一步推动河南省高职院校、高等专科学校小学教育类专业人才培养模式和教学方法改革，提高小学教育类专业教师的师德素养、专业知识水平、职业能力和创新水平，增进全国不同地区校际办学经验交流，以赛促教，形成示范引领带动效应，促进小学教育类专业高质量发展，为加快我国小学教育事业的发展作出新贡献。</w:t>
      </w:r>
    </w:p>
    <w:p>
      <w:pPr>
        <w:autoSpaceDE w:val="0"/>
        <w:autoSpaceDN w:val="0"/>
        <w:adjustRightInd w:val="0"/>
        <w:spacing w:line="560" w:lineRule="exact"/>
        <w:ind w:firstLine="600" w:firstLineChars="200"/>
        <w:jc w:val="left"/>
        <w:rPr>
          <w:rFonts w:ascii="Times New Roman" w:hAnsi="黑体" w:eastAsia="黑体" w:cs="Times New Roman"/>
          <w:sz w:val="30"/>
          <w:szCs w:val="30"/>
        </w:rPr>
      </w:pPr>
      <w:bookmarkStart w:id="0" w:name="_Hlk69776530"/>
      <w:r>
        <w:rPr>
          <w:rFonts w:hint="eastAsia" w:ascii="Times New Roman" w:hAnsi="黑体" w:eastAsia="黑体" w:cs="Times New Roman"/>
          <w:sz w:val="30"/>
          <w:szCs w:val="30"/>
        </w:rPr>
        <w:t>三、参赛资格</w:t>
      </w:r>
    </w:p>
    <w:bookmarkEnd w:id="0"/>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1.组队方式为团体赛，每队由同校2名教师组成，不得跨校组队，同一学校参赛队不超过</w:t>
      </w:r>
      <w:r>
        <w:rPr>
          <w:rFonts w:hint="eastAsia" w:ascii="仿宋_GB2312" w:hAnsi="仿宋" w:eastAsia="仿宋_GB2312" w:cs="仿宋"/>
          <w:sz w:val="30"/>
          <w:szCs w:val="30"/>
          <w:lang w:val="en-US" w:eastAsia="zh-CN"/>
        </w:rPr>
        <w:t>2</w:t>
      </w:r>
      <w:r>
        <w:rPr>
          <w:rFonts w:hint="eastAsia" w:ascii="仿宋_GB2312" w:hAnsi="仿宋" w:eastAsia="仿宋_GB2312" w:cs="仿宋"/>
          <w:sz w:val="30"/>
          <w:szCs w:val="30"/>
        </w:rPr>
        <w:t>队。</w:t>
      </w:r>
    </w:p>
    <w:p>
      <w:pPr>
        <w:spacing w:line="560" w:lineRule="exact"/>
        <w:ind w:firstLine="600" w:firstLineChars="200"/>
        <w:jc w:val="left"/>
        <w:rPr>
          <w:rFonts w:hint="default" w:ascii="仿宋_GB2312" w:hAnsi="仿宋" w:eastAsia="仿宋_GB2312" w:cs="仿宋"/>
          <w:sz w:val="30"/>
          <w:szCs w:val="30"/>
          <w:lang w:val="en-US" w:eastAsia="zh-CN"/>
        </w:rPr>
      </w:pPr>
      <w:r>
        <w:rPr>
          <w:rFonts w:hint="eastAsia" w:ascii="仿宋_GB2312" w:hAnsi="仿宋" w:eastAsia="仿宋_GB2312" w:cs="仿宋"/>
          <w:sz w:val="30"/>
          <w:szCs w:val="30"/>
        </w:rPr>
        <w:t>2.高等职业院校、高等专科学校小学教育类专业相关课程</w:t>
      </w:r>
      <w:r>
        <w:rPr>
          <w:rFonts w:hint="eastAsia" w:ascii="仿宋_GB2312" w:hAnsi="仿宋" w:eastAsia="仿宋_GB2312" w:cs="仿宋"/>
          <w:sz w:val="30"/>
          <w:szCs w:val="30"/>
          <w:lang w:eastAsia="zh-CN"/>
        </w:rPr>
        <w:t>在职教师（包括在编在岗教师、签订正式聘用合同并连续全职在参赛学校工作一年以上的在聘教师）</w:t>
      </w:r>
      <w:r>
        <w:rPr>
          <w:rFonts w:hint="eastAsia" w:ascii="仿宋_GB2312" w:hAnsi="仿宋" w:eastAsia="仿宋_GB2312" w:cs="仿宋"/>
          <w:sz w:val="30"/>
          <w:szCs w:val="30"/>
        </w:rPr>
        <w:t>。鼓励参与高职学校教育教学的行业企业人员参加竞赛活动（参加国赛情况根据国赛规定）。</w:t>
      </w:r>
      <w:r>
        <w:rPr>
          <w:rFonts w:hint="eastAsia" w:ascii="仿宋_GB2312" w:hAnsi="仿宋" w:eastAsia="仿宋_GB2312" w:cs="仿宋"/>
          <w:sz w:val="30"/>
          <w:szCs w:val="30"/>
          <w:lang w:val="en-US" w:eastAsia="zh-CN"/>
        </w:rPr>
        <w:t>在往届全国职业院校技能大赛高职组竞赛中获得一等奖的选手，不能再参加今年同一专业类赛项的省级竞赛。</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四、参赛报名</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1.参赛院校须于</w:t>
      </w:r>
      <w:r>
        <w:rPr>
          <w:rFonts w:hint="eastAsia" w:ascii="仿宋_GB2312" w:hAnsi="仿宋" w:eastAsia="仿宋_GB2312" w:cs="仿宋"/>
          <w:sz w:val="30"/>
          <w:szCs w:val="30"/>
          <w:lang w:val="en-US" w:eastAsia="zh-CN"/>
        </w:rPr>
        <w:t>11</w:t>
      </w:r>
      <w:r>
        <w:rPr>
          <w:rFonts w:hint="eastAsia" w:ascii="仿宋_GB2312" w:hAnsi="仿宋" w:eastAsia="仿宋_GB2312" w:cs="仿宋"/>
          <w:sz w:val="30"/>
          <w:szCs w:val="30"/>
        </w:rPr>
        <w:t>月</w:t>
      </w:r>
      <w:r>
        <w:rPr>
          <w:rFonts w:hint="eastAsia" w:ascii="仿宋_GB2312" w:hAnsi="仿宋" w:eastAsia="仿宋_GB2312" w:cs="仿宋"/>
          <w:sz w:val="30"/>
          <w:szCs w:val="30"/>
          <w:lang w:val="en-US" w:eastAsia="zh-CN"/>
        </w:rPr>
        <w:t>28</w:t>
      </w:r>
      <w:r>
        <w:rPr>
          <w:rFonts w:hint="eastAsia" w:ascii="仿宋_GB2312" w:hAnsi="仿宋" w:eastAsia="仿宋_GB2312" w:cs="仿宋"/>
          <w:sz w:val="30"/>
          <w:szCs w:val="30"/>
        </w:rPr>
        <w:t>日前登录河南省高职院校技能大赛报名系统（http://39.105.49.188），按要求填报并提交参赛信息。</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2.各参赛校以学校为单位注册报名平台，专人负责报名工作。（技术支持：</w:t>
      </w:r>
      <w:r>
        <w:rPr>
          <w:rFonts w:hint="eastAsia" w:ascii="仿宋_GB2312" w:hAnsi="仿宋" w:eastAsia="仿宋_GB2312" w:cs="仿宋"/>
          <w:sz w:val="30"/>
          <w:szCs w:val="30"/>
          <w:lang w:val="en-US" w:eastAsia="zh-CN"/>
        </w:rPr>
        <w:t>张玺</w:t>
      </w:r>
      <w:r>
        <w:rPr>
          <w:rFonts w:hint="eastAsia" w:ascii="仿宋_GB2312" w:hAnsi="仿宋" w:eastAsia="仿宋_GB2312" w:cs="仿宋"/>
          <w:sz w:val="30"/>
          <w:szCs w:val="30"/>
        </w:rPr>
        <w:t>，电话：</w:t>
      </w:r>
      <w:r>
        <w:rPr>
          <w:rFonts w:hint="eastAsia" w:ascii="仿宋_GB2312" w:hAnsi="仿宋" w:eastAsia="仿宋_GB2312" w:cs="仿宋"/>
          <w:sz w:val="30"/>
          <w:szCs w:val="30"/>
          <w:lang w:val="en-US" w:eastAsia="zh-CN"/>
        </w:rPr>
        <w:t>19837739696</w:t>
      </w:r>
      <w:r>
        <w:rPr>
          <w:rFonts w:hint="eastAsia" w:ascii="仿宋_GB2312" w:hAnsi="仿宋" w:eastAsia="仿宋_GB2312" w:cs="仿宋"/>
          <w:sz w:val="30"/>
          <w:szCs w:val="30"/>
        </w:rPr>
        <w:t>）。</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3.参赛队在报名系统内提交报名信息后，须从系统导出报名表、赛项汇总表，连同参赛选手身份证复印件、单位人事部门开具的在职教师身份证明各1份并加盖公章报送或邮寄至承办学校（新乡职业技术学院）。纸质报名材料接收截止时间为</w:t>
      </w:r>
      <w:r>
        <w:rPr>
          <w:rFonts w:hint="eastAsia" w:ascii="仿宋_GB2312" w:hAnsi="仿宋" w:eastAsia="仿宋_GB2312" w:cs="仿宋"/>
          <w:sz w:val="30"/>
          <w:szCs w:val="30"/>
          <w:lang w:val="en-US" w:eastAsia="zh-CN"/>
        </w:rPr>
        <w:t>11</w:t>
      </w:r>
      <w:r>
        <w:rPr>
          <w:rFonts w:hint="eastAsia" w:ascii="仿宋_GB2312" w:hAnsi="仿宋" w:eastAsia="仿宋_GB2312" w:cs="仿宋"/>
          <w:sz w:val="30"/>
          <w:szCs w:val="30"/>
        </w:rPr>
        <w:t>月</w:t>
      </w:r>
      <w:r>
        <w:rPr>
          <w:rFonts w:hint="eastAsia" w:ascii="仿宋_GB2312" w:hAnsi="仿宋" w:eastAsia="仿宋_GB2312" w:cs="仿宋"/>
          <w:sz w:val="30"/>
          <w:szCs w:val="30"/>
          <w:lang w:val="en-US" w:eastAsia="zh-CN"/>
        </w:rPr>
        <w:t>29</w:t>
      </w:r>
      <w:r>
        <w:rPr>
          <w:rFonts w:hint="eastAsia" w:ascii="仿宋_GB2312" w:hAnsi="仿宋" w:eastAsia="仿宋_GB2312" w:cs="仿宋"/>
          <w:sz w:val="30"/>
          <w:szCs w:val="30"/>
        </w:rPr>
        <w:t>日，以邮戳时间为准。</w:t>
      </w:r>
    </w:p>
    <w:p>
      <w:pPr>
        <w:spacing w:line="560" w:lineRule="exact"/>
        <w:ind w:firstLine="600" w:firstLineChars="200"/>
        <w:jc w:val="left"/>
        <w:rPr>
          <w:rFonts w:hint="default" w:ascii="仿宋_GB2312" w:hAnsi="仿宋" w:eastAsia="仿宋_GB2312" w:cs="仿宋"/>
          <w:sz w:val="30"/>
          <w:szCs w:val="30"/>
          <w:lang w:val="en-US" w:eastAsia="zh-CN"/>
        </w:rPr>
      </w:pPr>
      <w:r>
        <w:rPr>
          <w:rFonts w:hint="eastAsia" w:ascii="仿宋_GB2312" w:hAnsi="仿宋" w:eastAsia="仿宋_GB2312" w:cs="仿宋"/>
          <w:sz w:val="30"/>
          <w:szCs w:val="30"/>
        </w:rPr>
        <w:t xml:space="preserve">邮寄地址：河南省新乡市经济技术开发区经三路六号新乡职业技术学院 </w:t>
      </w:r>
      <w:r>
        <w:rPr>
          <w:rFonts w:hint="eastAsia" w:ascii="仿宋_GB2312" w:hAnsi="仿宋" w:eastAsia="仿宋_GB2312" w:cs="仿宋"/>
          <w:sz w:val="30"/>
          <w:szCs w:val="30"/>
          <w:lang w:val="en-US" w:eastAsia="zh-CN"/>
        </w:rPr>
        <w:t>李梦瑶</w:t>
      </w:r>
      <w:r>
        <w:rPr>
          <w:rFonts w:hint="eastAsia" w:ascii="仿宋_GB2312" w:hAnsi="仿宋" w:eastAsia="仿宋_GB2312" w:cs="仿宋"/>
          <w:sz w:val="30"/>
          <w:szCs w:val="30"/>
        </w:rPr>
        <w:t xml:space="preserve"> </w:t>
      </w:r>
      <w:r>
        <w:rPr>
          <w:rFonts w:hint="eastAsia" w:ascii="仿宋_GB2312" w:hAnsi="仿宋" w:eastAsia="仿宋_GB2312" w:cs="仿宋"/>
          <w:sz w:val="30"/>
          <w:szCs w:val="30"/>
          <w:lang w:val="en-US" w:eastAsia="zh-CN"/>
        </w:rPr>
        <w:t>15670567501</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4.承办学校收到纸质报名材料，按参赛条件的要求认真审核参赛选手资格，审核通过报名成功。</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五、竞赛日程安排（具体以《参赛指南》为准）</w:t>
      </w:r>
    </w:p>
    <w:tbl>
      <w:tblPr>
        <w:tblStyle w:val="15"/>
        <w:tblW w:w="94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436"/>
        <w:gridCol w:w="1836"/>
        <w:gridCol w:w="1019"/>
        <w:gridCol w:w="2749"/>
        <w:gridCol w:w="152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65" w:type="dxa"/>
            <w:gridSpan w:val="2"/>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日期</w:t>
            </w:r>
          </w:p>
        </w:tc>
        <w:tc>
          <w:tcPr>
            <w:tcW w:w="1836"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时间</w:t>
            </w:r>
          </w:p>
        </w:tc>
        <w:tc>
          <w:tcPr>
            <w:tcW w:w="1019"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环节</w:t>
            </w:r>
          </w:p>
        </w:tc>
        <w:tc>
          <w:tcPr>
            <w:tcW w:w="2749"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内容</w:t>
            </w:r>
          </w:p>
        </w:tc>
        <w:tc>
          <w:tcPr>
            <w:tcW w:w="1520"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对象</w:t>
            </w:r>
          </w:p>
        </w:tc>
        <w:tc>
          <w:tcPr>
            <w:tcW w:w="1430" w:type="dxa"/>
            <w:vAlign w:val="center"/>
          </w:tcPr>
          <w:p>
            <w:pPr>
              <w:pStyle w:val="7"/>
              <w:spacing w:before="0" w:after="0" w:line="320" w:lineRule="exact"/>
              <w:jc w:val="center"/>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sz w:val="21"/>
                <w:szCs w:val="21"/>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restart"/>
            <w:vAlign w:val="center"/>
          </w:tcPr>
          <w:p>
            <w:pPr>
              <w:pStyle w:val="13"/>
              <w:spacing w:line="320" w:lineRule="exact"/>
              <w:ind w:firstLine="0" w:firstLineChars="0"/>
              <w:jc w:val="center"/>
              <w:rPr>
                <w:rFonts w:hint="default" w:ascii="方正仿宋_GBK" w:hAnsi="方正仿宋_GBK" w:eastAsia="方正仿宋_GBK" w:cs="方正仿宋_GBK"/>
                <w:sz w:val="21"/>
                <w:szCs w:val="21"/>
                <w:lang w:eastAsia="zh-CN"/>
              </w:rPr>
            </w:pPr>
            <w:r>
              <w:rPr>
                <w:rFonts w:hint="default" w:ascii="方正仿宋_GBK" w:hAnsi="方正仿宋_GBK" w:eastAsia="方正仿宋_GBK" w:cs="方正仿宋_GBK"/>
                <w:sz w:val="21"/>
                <w:szCs w:val="21"/>
                <w:lang w:eastAsia="zh-CN"/>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lang w:eastAsia="zh-CN"/>
              </w:rPr>
              <w:t>月</w:t>
            </w:r>
            <w:r>
              <w:rPr>
                <w:rFonts w:hint="eastAsia" w:ascii="方正仿宋_GBK" w:hAnsi="方正仿宋_GBK" w:eastAsia="方正仿宋_GBK" w:cs="方正仿宋_GBK"/>
                <w:sz w:val="21"/>
                <w:szCs w:val="21"/>
                <w:lang w:val="en-US" w:eastAsia="zh-CN"/>
              </w:rPr>
              <w:t>1</w:t>
            </w:r>
            <w:r>
              <w:rPr>
                <w:rFonts w:hint="default" w:ascii="方正仿宋_GBK" w:hAnsi="方正仿宋_GBK" w:eastAsia="方正仿宋_GBK" w:cs="方正仿宋_GBK"/>
                <w:sz w:val="21"/>
                <w:szCs w:val="21"/>
                <w:lang w:eastAsia="zh-CN"/>
              </w:rPr>
              <w:t>日</w:t>
            </w:r>
          </w:p>
        </w:tc>
        <w:tc>
          <w:tcPr>
            <w:tcW w:w="4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tc>
        <w:tc>
          <w:tcPr>
            <w:tcW w:w="1836"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9：00—12：00</w:t>
            </w:r>
          </w:p>
        </w:tc>
        <w:tc>
          <w:tcPr>
            <w:tcW w:w="1019"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报到</w:t>
            </w:r>
          </w:p>
        </w:tc>
        <w:tc>
          <w:tcPr>
            <w:tcW w:w="2749" w:type="dxa"/>
            <w:vAlign w:val="center"/>
          </w:tcPr>
          <w:p>
            <w:pPr>
              <w:widowControl/>
              <w:spacing w:line="320" w:lineRule="exac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签到、领取赛事资料等</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领队、选手</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宾馆大厅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下午</w:t>
            </w:r>
          </w:p>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14：00—15：00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开幕式</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动员、宣誓、领导讲话等</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领队、选手</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综合楼</w:t>
            </w:r>
            <w:r>
              <w:rPr>
                <w:rFonts w:hint="eastAsia" w:ascii="方正仿宋_GBK" w:hAnsi="方正仿宋_GBK" w:eastAsia="方正仿宋_GBK" w:cs="方正仿宋_GBK"/>
                <w:sz w:val="21"/>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1836"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15：00—17：00</w:t>
            </w:r>
          </w:p>
        </w:tc>
        <w:tc>
          <w:tcPr>
            <w:tcW w:w="1019"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w:t>
            </w:r>
          </w:p>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会议</w:t>
            </w:r>
          </w:p>
        </w:tc>
        <w:tc>
          <w:tcPr>
            <w:tcW w:w="2749" w:type="dxa"/>
          </w:tcPr>
          <w:p>
            <w:pPr>
              <w:widowControl/>
              <w:spacing w:line="32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抽签决定选手的比赛日期。（比赛日期分两批：</w:t>
            </w:r>
          </w:p>
          <w:p>
            <w:pPr>
              <w:widowControl/>
              <w:spacing w:line="320" w:lineRule="exact"/>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第二日</w:t>
            </w:r>
            <w:r>
              <w:rPr>
                <w:rFonts w:hint="eastAsia" w:ascii="方正仿宋_GBK" w:hAnsi="方正仿宋_GBK" w:eastAsia="方正仿宋_GBK" w:cs="方正仿宋_GBK"/>
                <w:sz w:val="21"/>
                <w:szCs w:val="21"/>
              </w:rPr>
              <w:t>上午现场制作+下午现场展示；</w:t>
            </w:r>
            <w:r>
              <w:rPr>
                <w:rFonts w:hint="eastAsia" w:ascii="方正仿宋_GBK" w:hAnsi="方正仿宋_GBK" w:eastAsia="方正仿宋_GBK" w:cs="方正仿宋_GBK"/>
                <w:sz w:val="21"/>
                <w:szCs w:val="21"/>
                <w:lang w:val="en-US" w:eastAsia="zh-CN"/>
              </w:rPr>
              <w:t>第三日</w:t>
            </w:r>
            <w:r>
              <w:rPr>
                <w:rFonts w:hint="eastAsia" w:ascii="方正仿宋_GBK" w:hAnsi="方正仿宋_GBK" w:eastAsia="方正仿宋_GBK" w:cs="方正仿宋_GBK"/>
                <w:sz w:val="21"/>
                <w:szCs w:val="21"/>
              </w:rPr>
              <w:t>上午现场制作+下午现场展示）</w:t>
            </w:r>
          </w:p>
        </w:tc>
        <w:tc>
          <w:tcPr>
            <w:tcW w:w="152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领队</w:t>
            </w:r>
          </w:p>
        </w:tc>
        <w:tc>
          <w:tcPr>
            <w:tcW w:w="1430" w:type="dxa"/>
            <w:vAlign w:val="center"/>
          </w:tcPr>
          <w:p>
            <w:pPr>
              <w:widowControl/>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val="en-US" w:eastAsia="zh-CN"/>
              </w:rPr>
              <w:t>综合楼</w:t>
            </w:r>
            <w:r>
              <w:rPr>
                <w:rFonts w:hint="eastAsia" w:ascii="方正仿宋_GBK" w:hAnsi="方正仿宋_GBK" w:eastAsia="方正仿宋_GBK" w:cs="方正仿宋_GBK"/>
                <w:sz w:val="21"/>
                <w:szCs w:val="21"/>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1836" w:type="dxa"/>
            <w:vAlign w:val="center"/>
          </w:tcPr>
          <w:p>
            <w:pPr>
              <w:spacing w:line="32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15：00—17：00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熟悉</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赛场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熟悉A、B、C三类赛场。A赛场是制作赛场，B、C两类赛场是展示赛场。A赛场分A1和A2</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晚上</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19：00—21：00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裁判员会议</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明确竞赛流程、评分标准</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裁判员</w:t>
            </w:r>
          </w:p>
        </w:tc>
        <w:tc>
          <w:tcPr>
            <w:tcW w:w="1430" w:type="dxa"/>
            <w:vAlign w:val="center"/>
          </w:tcPr>
          <w:p>
            <w:pPr>
              <w:pStyle w:val="7"/>
              <w:spacing w:before="0" w:after="0" w:line="320" w:lineRule="exact"/>
              <w:jc w:val="center"/>
              <w:rPr>
                <w:rFonts w:hint="default"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综合楼会议室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restart"/>
            <w:vAlign w:val="center"/>
          </w:tcPr>
          <w:p>
            <w:pPr>
              <w:pStyle w:val="13"/>
              <w:spacing w:line="320" w:lineRule="exact"/>
              <w:jc w:val="center"/>
              <w:rPr>
                <w:rFonts w:hint="default"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5</w:t>
            </w:r>
            <w:r>
              <w:rPr>
                <w:rFonts w:hint="default"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rPr>
              <w:t>月2日</w:t>
            </w: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：00—</w:t>
            </w: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检录</w:t>
            </w:r>
          </w:p>
          <w:p>
            <w:pPr>
              <w:pStyle w:val="7"/>
              <w:spacing w:before="0" w:after="0" w:line="320" w:lineRule="exact"/>
              <w:jc w:val="center"/>
              <w:rPr>
                <w:rFonts w:hint="default"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抽签</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1.检录、加密、宣讲竞赛纪律（各类通讯工具、储存设备和参考资料禁用）2.抽取A赛场的场次和机位号；抽取赛题和两名选手各自承担的展示内容</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vAlign w:val="center"/>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vAlign w:val="center"/>
          </w:tcPr>
          <w:p>
            <w:pPr>
              <w:pStyle w:val="7"/>
              <w:spacing w:before="0" w:after="0" w:line="320" w:lineRule="exact"/>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：30—1</w:t>
            </w:r>
            <w:r>
              <w:rPr>
                <w:rFonts w:hint="eastAsia" w:ascii="方正仿宋_GBK" w:hAnsi="方正仿宋_GBK" w:eastAsia="方正仿宋_GBK" w:cs="方正仿宋_GBK"/>
                <w:b w:val="0"/>
                <w:bCs w:val="0"/>
                <w:sz w:val="21"/>
                <w:szCs w:val="21"/>
                <w:lang w:val="en-US" w:eastAsia="zh-CN"/>
              </w:rPr>
              <w:t>5</w:t>
            </w:r>
            <w:r>
              <w:rPr>
                <w:rFonts w:hint="eastAsia" w:ascii="方正仿宋_GBK" w:hAnsi="方正仿宋_GBK" w:eastAsia="方正仿宋_GBK" w:cs="方正仿宋_GBK"/>
                <w:b w:val="0"/>
                <w:bCs w:val="0"/>
                <w:sz w:val="21"/>
                <w:szCs w:val="21"/>
              </w:rPr>
              <w:t>：</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制作</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在A1和A2</w:t>
            </w:r>
            <w:r>
              <w:rPr>
                <w:rFonts w:hint="eastAsia" w:ascii="方正仿宋_GBK" w:hAnsi="方正仿宋_GBK" w:eastAsia="方正仿宋_GBK" w:cs="方正仿宋_GBK"/>
                <w:b w:val="0"/>
                <w:bCs w:val="0"/>
                <w:sz w:val="21"/>
                <w:szCs w:val="21"/>
                <w:lang w:val="en-US" w:eastAsia="zh-CN"/>
              </w:rPr>
              <w:t>两</w:t>
            </w:r>
            <w:r>
              <w:rPr>
                <w:rFonts w:hint="eastAsia" w:ascii="方正仿宋_GBK" w:hAnsi="方正仿宋_GBK" w:eastAsia="方正仿宋_GBK" w:cs="方正仿宋_GBK"/>
                <w:b w:val="0"/>
                <w:bCs w:val="0"/>
                <w:sz w:val="21"/>
                <w:szCs w:val="21"/>
              </w:rPr>
              <w:t>个赛场同时进行，每个赛场</w:t>
            </w:r>
            <w:r>
              <w:rPr>
                <w:rFonts w:hint="eastAsia" w:ascii="方正仿宋_GBK" w:hAnsi="方正仿宋_GBK" w:eastAsia="方正仿宋_GBK" w:cs="方正仿宋_GBK"/>
                <w:b w:val="0"/>
                <w:bCs w:val="0"/>
                <w:sz w:val="21"/>
                <w:szCs w:val="21"/>
                <w:lang w:val="en-US" w:eastAsia="zh-CN"/>
              </w:rPr>
              <w:t>10</w:t>
            </w:r>
            <w:r>
              <w:rPr>
                <w:rFonts w:hint="eastAsia" w:ascii="方正仿宋_GBK" w:hAnsi="方正仿宋_GBK" w:eastAsia="方正仿宋_GBK" w:cs="方正仿宋_GBK"/>
                <w:b w:val="0"/>
                <w:bCs w:val="0"/>
                <w:sz w:val="21"/>
                <w:szCs w:val="21"/>
              </w:rPr>
              <w:t>个代表队</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restart"/>
          </w:tcPr>
          <w:p>
            <w:pPr>
              <w:pStyle w:val="13"/>
              <w:spacing w:line="320" w:lineRule="exact"/>
              <w:ind w:firstLine="480"/>
              <w:rPr>
                <w:rFonts w:hint="eastAsia" w:ascii="方正仿宋_GBK" w:hAnsi="方正仿宋_GBK" w:eastAsia="方正仿宋_GBK" w:cs="方正仿宋_GBK"/>
                <w:sz w:val="21"/>
                <w:szCs w:val="21"/>
              </w:rPr>
            </w:pPr>
          </w:p>
          <w:p>
            <w:pPr>
              <w:bidi w:val="0"/>
              <w:rPr>
                <w:rFonts w:hint="eastAsia"/>
              </w:rPr>
            </w:pPr>
          </w:p>
          <w:p>
            <w:pPr>
              <w:bidi w:val="0"/>
              <w:jc w:val="center"/>
              <w:rPr>
                <w:rFonts w:hint="default" w:eastAsiaTheme="minorEastAsia"/>
                <w:lang w:val="en-US" w:eastAsia="zh-CN"/>
              </w:rPr>
            </w:pPr>
            <w:r>
              <w:rPr>
                <w:rFonts w:hint="eastAsia"/>
                <w:lang w:val="en-US" w:eastAsia="zh-CN"/>
              </w:rPr>
              <w:t>下午</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展示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B赛场进行说课展示，选手依次参赛；C赛场进行模拟课堂教学的展示，选手依次参赛</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14：00—17：00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案例</w:t>
            </w:r>
          </w:p>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评分</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下午参赛选手的教育案例分析集中评分</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裁判员</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restart"/>
            <w:vAlign w:val="center"/>
          </w:tcPr>
          <w:p>
            <w:pPr>
              <w:pStyle w:val="13"/>
              <w:spacing w:line="320" w:lineRule="exact"/>
              <w:jc w:val="center"/>
              <w:rPr>
                <w:rFonts w:hint="default"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rPr>
              <w:t>5</w:t>
            </w:r>
            <w:r>
              <w:rPr>
                <w:rFonts w:hint="default" w:ascii="方正仿宋_GBK" w:hAnsi="方正仿宋_GBK" w:eastAsia="方正仿宋_GBK" w:cs="方正仿宋_GBK"/>
                <w:sz w:val="21"/>
                <w:szCs w:val="21"/>
              </w:rPr>
              <w:t>1</w:t>
            </w:r>
            <w:r>
              <w:rPr>
                <w:rFonts w:hint="eastAsia" w:ascii="方正仿宋_GBK" w:hAnsi="方正仿宋_GBK" w:eastAsia="方正仿宋_GBK" w:cs="方正仿宋_GBK"/>
                <w:sz w:val="21"/>
                <w:szCs w:val="21"/>
                <w:lang w:val="en-US" w:eastAsia="zh-CN"/>
              </w:rPr>
              <w:t>2</w:t>
            </w:r>
            <w:r>
              <w:rPr>
                <w:rFonts w:hint="default" w:ascii="方正仿宋_GBK" w:hAnsi="方正仿宋_GBK" w:eastAsia="方正仿宋_GBK" w:cs="方正仿宋_GBK"/>
                <w:sz w:val="21"/>
                <w:szCs w:val="21"/>
              </w:rPr>
              <w:t>月3日</w:t>
            </w:r>
          </w:p>
        </w:tc>
        <w:tc>
          <w:tcPr>
            <w:tcW w:w="436" w:type="dxa"/>
            <w:vMerge w:val="restart"/>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上午</w:t>
            </w:r>
          </w:p>
          <w:p>
            <w:pPr>
              <w:pStyle w:val="7"/>
              <w:spacing w:before="0" w:after="0" w:line="320" w:lineRule="exact"/>
              <w:jc w:val="center"/>
              <w:rPr>
                <w:rFonts w:hint="eastAsia" w:ascii="方正仿宋_GBK" w:hAnsi="方正仿宋_GBK" w:eastAsia="方正仿宋_GBK" w:cs="方正仿宋_GBK"/>
                <w:b w:val="0"/>
                <w:bCs w:val="0"/>
                <w:sz w:val="21"/>
                <w:szCs w:val="21"/>
              </w:rPr>
            </w:pPr>
          </w:p>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：00—</w:t>
            </w: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检录</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抽签</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1.检录、加密、宣讲竞赛纪律（各类通讯工具、储存设备和参考资料禁用）2.抽取A赛场的场次和机位号；抽取赛题和两名选手各自承担的展示内容</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vAlign w:val="center"/>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lang w:val="en-US" w:eastAsia="zh-CN"/>
              </w:rPr>
              <w:t>7</w:t>
            </w:r>
            <w:r>
              <w:rPr>
                <w:rFonts w:hint="eastAsia" w:ascii="方正仿宋_GBK" w:hAnsi="方正仿宋_GBK" w:eastAsia="方正仿宋_GBK" w:cs="方正仿宋_GBK"/>
                <w:b w:val="0"/>
                <w:bCs w:val="0"/>
                <w:sz w:val="21"/>
                <w:szCs w:val="21"/>
              </w:rPr>
              <w:t>：30—1</w:t>
            </w:r>
            <w:r>
              <w:rPr>
                <w:rFonts w:hint="eastAsia" w:ascii="方正仿宋_GBK" w:hAnsi="方正仿宋_GBK" w:eastAsia="方正仿宋_GBK" w:cs="方正仿宋_GBK"/>
                <w:b w:val="0"/>
                <w:bCs w:val="0"/>
                <w:sz w:val="21"/>
                <w:szCs w:val="21"/>
                <w:lang w:val="en-US" w:eastAsia="zh-CN"/>
              </w:rPr>
              <w:t>5</w:t>
            </w:r>
            <w:r>
              <w:rPr>
                <w:rFonts w:hint="eastAsia" w:ascii="方正仿宋_GBK" w:hAnsi="方正仿宋_GBK" w:eastAsia="方正仿宋_GBK" w:cs="方正仿宋_GBK"/>
                <w:b w:val="0"/>
                <w:bCs w:val="0"/>
                <w:sz w:val="21"/>
                <w:szCs w:val="21"/>
              </w:rPr>
              <w:t>：</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制作</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rPr>
              <w:t>在A1和A2</w:t>
            </w:r>
            <w:r>
              <w:rPr>
                <w:rFonts w:hint="eastAsia" w:ascii="方正仿宋_GBK" w:hAnsi="方正仿宋_GBK" w:eastAsia="方正仿宋_GBK" w:cs="方正仿宋_GBK"/>
                <w:b w:val="0"/>
                <w:bCs w:val="0"/>
                <w:sz w:val="21"/>
                <w:szCs w:val="21"/>
                <w:lang w:val="en-US" w:eastAsia="zh-CN"/>
              </w:rPr>
              <w:t>两</w:t>
            </w:r>
            <w:r>
              <w:rPr>
                <w:rFonts w:hint="eastAsia" w:ascii="方正仿宋_GBK" w:hAnsi="方正仿宋_GBK" w:eastAsia="方正仿宋_GBK" w:cs="方正仿宋_GBK"/>
                <w:b w:val="0"/>
                <w:bCs w:val="0"/>
                <w:sz w:val="21"/>
                <w:szCs w:val="21"/>
              </w:rPr>
              <w:t>个赛场同时进行，每个赛场</w:t>
            </w:r>
            <w:r>
              <w:rPr>
                <w:rFonts w:hint="eastAsia" w:ascii="方正仿宋_GBK" w:hAnsi="方正仿宋_GBK" w:eastAsia="方正仿宋_GBK" w:cs="方正仿宋_GBK"/>
                <w:b w:val="0"/>
                <w:bCs w:val="0"/>
                <w:sz w:val="21"/>
                <w:szCs w:val="21"/>
                <w:lang w:val="en-US" w:eastAsia="zh-CN"/>
              </w:rPr>
              <w:t>10</w:t>
            </w:r>
            <w:r>
              <w:rPr>
                <w:rFonts w:hint="eastAsia" w:ascii="方正仿宋_GBK" w:hAnsi="方正仿宋_GBK" w:eastAsia="方正仿宋_GBK" w:cs="方正仿宋_GBK"/>
                <w:b w:val="0"/>
                <w:bCs w:val="0"/>
                <w:sz w:val="21"/>
                <w:szCs w:val="21"/>
              </w:rPr>
              <w:t>个代表队</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restart"/>
          </w:tcPr>
          <w:p>
            <w:pPr>
              <w:pStyle w:val="13"/>
              <w:spacing w:line="320" w:lineRule="exact"/>
              <w:ind w:firstLine="480"/>
              <w:rPr>
                <w:rFonts w:hint="eastAsia" w:ascii="方正仿宋_GBK" w:hAnsi="方正仿宋_GBK" w:eastAsia="方正仿宋_GBK" w:cs="方正仿宋_GBK"/>
                <w:sz w:val="21"/>
                <w:szCs w:val="21"/>
              </w:rPr>
            </w:pPr>
          </w:p>
          <w:p>
            <w:pPr>
              <w:bidi w:val="0"/>
              <w:jc w:val="center"/>
              <w:rPr>
                <w:rFonts w:hint="eastAsia" w:eastAsiaTheme="minorEastAsia"/>
                <w:lang w:val="en-US" w:eastAsia="zh-CN"/>
              </w:rPr>
            </w:pPr>
            <w:r>
              <w:rPr>
                <w:rFonts w:hint="eastAsia"/>
                <w:lang w:val="en-US" w:eastAsia="zh-CN"/>
              </w:rPr>
              <w:t>下午</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w:t>
            </w:r>
            <w:r>
              <w:rPr>
                <w:rFonts w:hint="eastAsia" w:ascii="方正仿宋_GBK" w:hAnsi="方正仿宋_GBK" w:eastAsia="方正仿宋_GBK" w:cs="方正仿宋_GBK"/>
                <w:b w:val="0"/>
                <w:bCs w:val="0"/>
                <w:sz w:val="21"/>
                <w:szCs w:val="21"/>
                <w:lang w:val="en-US" w:eastAsia="zh-CN"/>
              </w:rPr>
              <w:t>2</w:t>
            </w:r>
            <w:r>
              <w:rPr>
                <w:rFonts w:hint="eastAsia" w:ascii="方正仿宋_GBK" w:hAnsi="方正仿宋_GBK" w:eastAsia="方正仿宋_GBK" w:cs="方正仿宋_GBK"/>
                <w:b w:val="0"/>
                <w:bCs w:val="0"/>
                <w:sz w:val="21"/>
                <w:szCs w:val="21"/>
              </w:rPr>
              <w:t>：00—17：00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展示</w:t>
            </w:r>
          </w:p>
        </w:tc>
        <w:tc>
          <w:tcPr>
            <w:tcW w:w="2749"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B赛场进行说课展示，选手依次参赛；C赛场进行模拟课堂教学的展示，选手依次参赛</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当天比赛</w:t>
            </w:r>
          </w:p>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rPr>
              <w:t>14：00—17：00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lang w:val="en-US" w:eastAsia="zh-CN"/>
              </w:rPr>
            </w:pPr>
            <w:r>
              <w:rPr>
                <w:rFonts w:hint="eastAsia" w:ascii="方正仿宋_GBK" w:hAnsi="方正仿宋_GBK" w:eastAsia="方正仿宋_GBK" w:cs="方正仿宋_GBK"/>
                <w:b w:val="0"/>
                <w:bCs w:val="0"/>
                <w:sz w:val="21"/>
                <w:szCs w:val="21"/>
                <w:lang w:val="en-US" w:eastAsia="zh-CN"/>
              </w:rPr>
              <w:t>案例</w:t>
            </w:r>
          </w:p>
          <w:p>
            <w:pPr>
              <w:pStyle w:val="7"/>
              <w:spacing w:before="0" w:after="0" w:line="320" w:lineRule="exact"/>
              <w:jc w:val="center"/>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lang w:val="en-US" w:eastAsia="zh-CN"/>
              </w:rPr>
              <w:t>评分</w:t>
            </w:r>
          </w:p>
        </w:tc>
        <w:tc>
          <w:tcPr>
            <w:tcW w:w="2749" w:type="dxa"/>
            <w:vAlign w:val="top"/>
          </w:tcPr>
          <w:p>
            <w:pPr>
              <w:pStyle w:val="7"/>
              <w:spacing w:before="0" w:after="0" w:line="320" w:lineRule="exact"/>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rPr>
              <w:t>下午参赛选手的教育案例分析集中评分</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lang w:val="en-US" w:eastAsia="zh-CN"/>
              </w:rPr>
              <w:t>裁判员</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kern w:val="2"/>
                <w:sz w:val="21"/>
                <w:szCs w:val="21"/>
                <w:lang w:val="en-US" w:eastAsia="zh-CN" w:bidi="ar-SA"/>
              </w:rPr>
            </w:pPr>
            <w:r>
              <w:rPr>
                <w:rFonts w:hint="eastAsia" w:ascii="方正仿宋_GBK" w:hAnsi="方正仿宋_GBK" w:eastAsia="方正仿宋_GBK" w:cs="方正仿宋_GBK"/>
                <w:b w:val="0"/>
                <w:bCs w:val="0"/>
                <w:sz w:val="21"/>
                <w:szCs w:val="21"/>
              </w:rPr>
              <w:t>竞赛场地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429" w:type="dxa"/>
            <w:vMerge w:val="continue"/>
          </w:tcPr>
          <w:p>
            <w:pPr>
              <w:pStyle w:val="13"/>
              <w:spacing w:line="320" w:lineRule="exact"/>
              <w:ind w:firstLine="480"/>
              <w:rPr>
                <w:rFonts w:hint="eastAsia" w:ascii="方正仿宋_GBK" w:hAnsi="方正仿宋_GBK" w:eastAsia="方正仿宋_GBK" w:cs="方正仿宋_GBK"/>
                <w:sz w:val="21"/>
                <w:szCs w:val="21"/>
              </w:rPr>
            </w:pPr>
          </w:p>
        </w:tc>
        <w:tc>
          <w:tcPr>
            <w:tcW w:w="436" w:type="dxa"/>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晚上</w:t>
            </w:r>
          </w:p>
        </w:tc>
        <w:tc>
          <w:tcPr>
            <w:tcW w:w="1836"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19：00—20：30</w:t>
            </w:r>
          </w:p>
        </w:tc>
        <w:tc>
          <w:tcPr>
            <w:tcW w:w="1019"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闭幕式</w:t>
            </w:r>
          </w:p>
        </w:tc>
        <w:tc>
          <w:tcPr>
            <w:tcW w:w="2749" w:type="dxa"/>
            <w:vAlign w:val="center"/>
          </w:tcPr>
          <w:p>
            <w:pPr>
              <w:pStyle w:val="7"/>
              <w:spacing w:before="0" w:after="0" w:line="320" w:lineRule="exact"/>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总结、交流、颁奖等</w:t>
            </w:r>
          </w:p>
        </w:tc>
        <w:tc>
          <w:tcPr>
            <w:tcW w:w="152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rPr>
              <w:t>领队、选手</w:t>
            </w:r>
          </w:p>
        </w:tc>
        <w:tc>
          <w:tcPr>
            <w:tcW w:w="1430" w:type="dxa"/>
            <w:vAlign w:val="center"/>
          </w:tcPr>
          <w:p>
            <w:pPr>
              <w:pStyle w:val="7"/>
              <w:spacing w:before="0" w:after="0" w:line="320" w:lineRule="exact"/>
              <w:jc w:val="center"/>
              <w:rPr>
                <w:rFonts w:hint="eastAsia" w:ascii="方正仿宋_GBK" w:hAnsi="方正仿宋_GBK" w:eastAsia="方正仿宋_GBK" w:cs="方正仿宋_GBK"/>
                <w:b w:val="0"/>
                <w:bCs w:val="0"/>
                <w:sz w:val="21"/>
                <w:szCs w:val="21"/>
              </w:rPr>
            </w:pPr>
            <w:r>
              <w:rPr>
                <w:rFonts w:hint="eastAsia" w:ascii="方正仿宋_GBK" w:hAnsi="方正仿宋_GBK" w:eastAsia="方正仿宋_GBK" w:cs="方正仿宋_GBK"/>
                <w:b w:val="0"/>
                <w:bCs w:val="0"/>
                <w:sz w:val="21"/>
                <w:szCs w:val="21"/>
                <w:lang w:val="en-US" w:eastAsia="zh-CN"/>
              </w:rPr>
              <w:t>综合楼</w:t>
            </w:r>
            <w:r>
              <w:rPr>
                <w:rFonts w:hint="eastAsia" w:ascii="方正仿宋_GBK" w:hAnsi="方正仿宋_GBK" w:eastAsia="方正仿宋_GBK" w:cs="方正仿宋_GBK"/>
                <w:b w:val="0"/>
                <w:bCs w:val="0"/>
                <w:sz w:val="21"/>
                <w:szCs w:val="21"/>
              </w:rPr>
              <w:t>报告厅</w:t>
            </w:r>
          </w:p>
        </w:tc>
      </w:tr>
    </w:tbl>
    <w:p>
      <w:pPr>
        <w:widowControl/>
        <w:adjustRightInd w:val="0"/>
        <w:snapToGrid w:val="0"/>
        <w:ind w:firstLine="420" w:firstLineChars="200"/>
        <w:jc w:val="left"/>
        <w:rPr>
          <w:rFonts w:hint="eastAsia" w:ascii="Times New Roman" w:hAnsi="Times New Roman" w:eastAsia="仿宋_GB2312"/>
          <w:color w:val="000000"/>
          <w:kern w:val="0"/>
          <w:szCs w:val="21"/>
          <w:lang w:bidi="ar"/>
        </w:rPr>
      </w:pPr>
      <w:r>
        <w:rPr>
          <w:rFonts w:hint="eastAsia" w:ascii="仿宋" w:hAnsi="仿宋" w:eastAsia="仿宋" w:cs="仿宋"/>
          <w:color w:val="000000"/>
          <w:kern w:val="0"/>
          <w:szCs w:val="21"/>
          <w:lang w:bidi="ar"/>
        </w:rPr>
        <w:t>说明：</w:t>
      </w:r>
      <w:r>
        <w:rPr>
          <w:rFonts w:hint="eastAsia" w:ascii="Times New Roman" w:hAnsi="Times New Roman" w:eastAsia="仿宋_GB2312"/>
          <w:color w:val="000000"/>
          <w:kern w:val="0"/>
          <w:szCs w:val="21"/>
          <w:lang w:bidi="ar"/>
        </w:rPr>
        <w:t>选手在 A 赛场（制作赛场）于 3.5 小时内完成“教育案例分析”和“模拟课堂教学及说课”的设计制作，并提交到大赛系统。当天下午由工作人员将教学方案、授课课件和说课课件交给 B、</w:t>
      </w:r>
    </w:p>
    <w:p>
      <w:pPr>
        <w:widowControl/>
        <w:adjustRightInd w:val="0"/>
        <w:snapToGrid w:val="0"/>
        <w:jc w:val="left"/>
        <w:rPr>
          <w:rFonts w:hint="eastAsia" w:ascii="Times New Roman" w:hAnsi="Times New Roman" w:eastAsia="仿宋_GB2312"/>
          <w:color w:val="000000"/>
          <w:kern w:val="0"/>
          <w:szCs w:val="21"/>
          <w:lang w:bidi="ar"/>
        </w:rPr>
      </w:pPr>
      <w:r>
        <w:rPr>
          <w:rFonts w:hint="eastAsia" w:ascii="Times New Roman" w:hAnsi="Times New Roman" w:eastAsia="仿宋_GB2312"/>
          <w:color w:val="000000"/>
          <w:kern w:val="0"/>
          <w:szCs w:val="21"/>
          <w:lang w:bidi="ar"/>
        </w:rPr>
        <w:t>C 赛场（展示赛场）的裁判员打分；“教育案例分析”于当天下午由裁判员集中评分。</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六、竞赛内容</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（一）竞赛内容结构</w:t>
      </w:r>
    </w:p>
    <w:p>
      <w:pPr>
        <w:spacing w:line="560" w:lineRule="exact"/>
        <w:ind w:firstLine="600" w:firstLineChars="200"/>
        <w:jc w:val="left"/>
        <w:rPr>
          <w:rFonts w:ascii="仿宋" w:hAnsi="仿宋" w:eastAsia="仿宋" w:cs="仿宋"/>
          <w:sz w:val="30"/>
          <w:szCs w:val="30"/>
        </w:rPr>
      </w:pPr>
      <w:r>
        <w:rPr>
          <w:rFonts w:hint="eastAsia" w:ascii="仿宋_GB2312" w:hAnsi="仿宋" w:eastAsia="仿宋_GB2312" w:cs="仿宋"/>
          <w:sz w:val="30"/>
          <w:szCs w:val="30"/>
        </w:rPr>
        <w:t>为更好检验专业教师教育教学能力，根据工作基本规范，结合小学教育类专业教学工作现状与发展需要，全国职业院校技能大赛“小学教育活动设计与实施”赛项教师赛内容定为两个模块，具体设置如下：</w:t>
      </w:r>
    </w:p>
    <w:p>
      <w:pPr>
        <w:spacing w:line="56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1.模块一：教育案例分析</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聚焦理想信念教育、社会主义核心价值观教育、心理健康教育、职业生涯规划、创新创业教育等问题，对职业院校师范生教育过程中的实际场景进行分析，写出分析报告。</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（1）考查的技术技能</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教育情境理解分析能力；教师职业道德、教育学、心理学知识的应用能力；班级管理能力；开展心理健康、师德师风及职业发展教育的能力；案例分析的写作能力。</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（2）涵盖的职业典型工作任务</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班级建设与管理任务；心理健康教育任务；师德师风教育任务；职业发展教育任务。</w:t>
      </w:r>
    </w:p>
    <w:p>
      <w:pPr>
        <w:spacing w:line="560" w:lineRule="exact"/>
        <w:ind w:firstLine="602" w:firstLineChars="200"/>
        <w:rPr>
          <w:rFonts w:ascii="楷体" w:hAnsi="楷体" w:eastAsia="楷体" w:cs="楷体"/>
          <w:b/>
          <w:bCs/>
          <w:sz w:val="30"/>
          <w:szCs w:val="30"/>
        </w:rPr>
      </w:pPr>
      <w:r>
        <w:rPr>
          <w:rFonts w:hint="eastAsia" w:ascii="楷体" w:hAnsi="楷体" w:eastAsia="楷体" w:cs="楷体"/>
          <w:b/>
          <w:bCs/>
          <w:sz w:val="30"/>
          <w:szCs w:val="30"/>
        </w:rPr>
        <w:t>2.模块二：模拟课堂教学及说课</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根据随机抽取的授课主题撰写1课时的教案、制作教学课件、制作说课课件，以无学生上课的形式模拟课堂教学，最后针对授课内容进行说课。</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（1）考查的技术技能</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教育学、心理学知识的应用能力；教学基本技能及运用现代信息技术开展教学活动的能力；教材的分析解读能力；课堂教学设计、组织、实施、评价的能力；语言表达能力。</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（2）涵盖的职业典型工作任务</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教材解读分析任务；学情分析任务；教学设计任务；教学实施任务；</w:t>
      </w:r>
    </w:p>
    <w:p>
      <w:pPr>
        <w:spacing w:line="560" w:lineRule="exact"/>
        <w:ind w:left="596" w:leftChars="284"/>
        <w:jc w:val="left"/>
        <w:rPr>
          <w:rFonts w:ascii="楷体" w:hAnsi="楷体" w:eastAsia="楷体" w:cs="楷体"/>
          <w:b/>
          <w:bCs/>
          <w:sz w:val="30"/>
          <w:szCs w:val="30"/>
        </w:rPr>
      </w:pPr>
      <w:r>
        <w:rPr>
          <w:rFonts w:hint="eastAsia" w:ascii="仿宋_GB2312" w:hAnsi="仿宋" w:eastAsia="仿宋_GB2312" w:cs="仿宋"/>
          <w:sz w:val="30"/>
          <w:szCs w:val="30"/>
        </w:rPr>
        <w:t>利用及开发教学资源任务；教学辅导及检测任务；教学反思任务。</w:t>
      </w:r>
      <w:r>
        <w:rPr>
          <w:rFonts w:hint="eastAsia" w:ascii="楷体" w:hAnsi="楷体" w:eastAsia="楷体" w:cs="楷体"/>
          <w:b/>
          <w:bCs/>
          <w:sz w:val="30"/>
          <w:szCs w:val="30"/>
        </w:rPr>
        <w:t>（二）赛项模块、比赛时长及分值配比</w:t>
      </w:r>
    </w:p>
    <w:p>
      <w:pPr>
        <w:jc w:val="center"/>
        <w:rPr>
          <w:rFonts w:ascii="Times New Roman" w:hAnsi="Times New Roman" w:eastAsia="黑体"/>
          <w:b/>
          <w:bCs/>
          <w:color w:val="000000"/>
          <w:kern w:val="0"/>
          <w:szCs w:val="21"/>
          <w:shd w:val="clear" w:color="auto" w:fill="FFFFFF"/>
          <w:lang w:bidi="ar"/>
        </w:rPr>
      </w:pPr>
    </w:p>
    <w:p>
      <w:pPr>
        <w:jc w:val="center"/>
        <w:rPr>
          <w:rFonts w:ascii="Times New Roman" w:hAnsi="Times New Roman" w:eastAsia="黑体"/>
          <w:b/>
          <w:bCs/>
          <w:color w:val="000000"/>
          <w:kern w:val="0"/>
          <w:sz w:val="28"/>
          <w:szCs w:val="28"/>
          <w:shd w:val="clear" w:color="auto" w:fill="FFFFFF"/>
          <w:lang w:bidi="ar"/>
        </w:rPr>
      </w:pPr>
      <w:r>
        <w:rPr>
          <w:rFonts w:ascii="Times New Roman" w:hAnsi="Times New Roman" w:eastAsia="黑体"/>
          <w:b/>
          <w:bCs/>
          <w:color w:val="000000"/>
          <w:kern w:val="0"/>
          <w:sz w:val="28"/>
          <w:szCs w:val="28"/>
          <w:shd w:val="clear" w:color="auto" w:fill="FFFFFF"/>
          <w:lang w:bidi="ar"/>
        </w:rPr>
        <w:t>赛项模块、比赛时长及分配比值表</w:t>
      </w:r>
    </w:p>
    <w:tbl>
      <w:tblPr>
        <w:tblStyle w:val="15"/>
        <w:tblW w:w="888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82"/>
        <w:gridCol w:w="1230"/>
        <w:gridCol w:w="1450"/>
        <w:gridCol w:w="2510"/>
        <w:gridCol w:w="2136"/>
        <w:gridCol w:w="97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812"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模块</w:t>
            </w:r>
          </w:p>
        </w:tc>
        <w:tc>
          <w:tcPr>
            <w:tcW w:w="3960"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主要内容</w:t>
            </w:r>
          </w:p>
        </w:tc>
        <w:tc>
          <w:tcPr>
            <w:tcW w:w="213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比赛时长</w:t>
            </w:r>
          </w:p>
        </w:tc>
        <w:tc>
          <w:tcPr>
            <w:tcW w:w="97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582"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模块一</w:t>
            </w:r>
          </w:p>
        </w:tc>
        <w:tc>
          <w:tcPr>
            <w:tcW w:w="123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教育案例分析</w:t>
            </w:r>
          </w:p>
        </w:tc>
        <w:tc>
          <w:tcPr>
            <w:tcW w:w="145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制作环节</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教育案例分析撰写</w:t>
            </w:r>
          </w:p>
        </w:tc>
        <w:tc>
          <w:tcPr>
            <w:tcW w:w="2136" w:type="dxa"/>
            <w:vMerge w:val="restart"/>
            <w:vAlign w:val="center"/>
          </w:tcPr>
          <w:p>
            <w:pPr>
              <w:adjustRightInd w:val="0"/>
              <w:snapToGrid w:val="0"/>
              <w:spacing w:line="380"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Cs/>
                <w:sz w:val="21"/>
                <w:szCs w:val="21"/>
              </w:rPr>
              <w:t>模块一与模块二的制作环节共3.5小时。其中模块一在60分钟内完成提交。模块二展示环节1为15分钟，展示环节2为8分钟</w:t>
            </w:r>
          </w:p>
        </w:tc>
        <w:tc>
          <w:tcPr>
            <w:tcW w:w="973" w:type="dxa"/>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58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sz w:val="21"/>
                <w:szCs w:val="21"/>
              </w:rPr>
              <w:t>模块二</w:t>
            </w:r>
          </w:p>
        </w:tc>
        <w:tc>
          <w:tcPr>
            <w:tcW w:w="123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模拟课堂教学及说课</w:t>
            </w:r>
          </w:p>
        </w:tc>
        <w:tc>
          <w:tcPr>
            <w:tcW w:w="14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制作环节</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撰写教学方案</w:t>
            </w:r>
          </w:p>
        </w:tc>
        <w:tc>
          <w:tcPr>
            <w:tcW w:w="21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973" w:type="dxa"/>
            <w:vMerge w:val="restart"/>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567" w:hRule="atLeast"/>
          <w:jc w:val="center"/>
        </w:trPr>
        <w:tc>
          <w:tcPr>
            <w:tcW w:w="5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制作教学课件</w:t>
            </w:r>
          </w:p>
        </w:tc>
        <w:tc>
          <w:tcPr>
            <w:tcW w:w="21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973"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5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制作说课课件</w:t>
            </w:r>
          </w:p>
        </w:tc>
        <w:tc>
          <w:tcPr>
            <w:tcW w:w="21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973"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5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45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展示环节</w:t>
            </w: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模拟课堂教学</w:t>
            </w:r>
          </w:p>
        </w:tc>
        <w:tc>
          <w:tcPr>
            <w:tcW w:w="21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973"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582"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23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sz w:val="21"/>
                <w:szCs w:val="21"/>
              </w:rPr>
            </w:pPr>
          </w:p>
        </w:tc>
        <w:tc>
          <w:tcPr>
            <w:tcW w:w="145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p>
        </w:tc>
        <w:tc>
          <w:tcPr>
            <w:tcW w:w="2510"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说课</w:t>
            </w:r>
          </w:p>
        </w:tc>
        <w:tc>
          <w:tcPr>
            <w:tcW w:w="2136"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c>
          <w:tcPr>
            <w:tcW w:w="973" w:type="dxa"/>
            <w:vMerge w:val="continue"/>
            <w:vAlign w:val="center"/>
          </w:tcPr>
          <w:p>
            <w:pPr>
              <w:adjustRightInd w:val="0"/>
              <w:snapToGrid w:val="0"/>
              <w:spacing w:line="380" w:lineRule="exact"/>
              <w:jc w:val="center"/>
              <w:rPr>
                <w:rFonts w:hint="eastAsia" w:ascii="方正仿宋_GBK" w:hAnsi="方正仿宋_GBK" w:eastAsia="方正仿宋_GBK" w:cs="方正仿宋_GBK"/>
                <w:bCs/>
                <w:sz w:val="21"/>
                <w:szCs w:val="21"/>
              </w:rPr>
            </w:pPr>
          </w:p>
        </w:tc>
      </w:tr>
    </w:tbl>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七、竞赛方式</w:t>
      </w:r>
    </w:p>
    <w:p>
      <w:pPr>
        <w:spacing w:line="560" w:lineRule="exact"/>
        <w:ind w:firstLine="600" w:firstLineChars="200"/>
        <w:jc w:val="left"/>
        <w:rPr>
          <w:rFonts w:hint="eastAsia" w:ascii="仿宋_GB2312" w:hAnsi="仿宋" w:eastAsia="仿宋_GB2312" w:cs="仿宋"/>
          <w:sz w:val="30"/>
          <w:szCs w:val="30"/>
        </w:rPr>
      </w:pPr>
      <w:r>
        <w:rPr>
          <w:rFonts w:hint="eastAsia" w:ascii="楷体" w:hAnsi="楷体" w:eastAsia="楷体" w:cs="楷体"/>
          <w:sz w:val="30"/>
          <w:szCs w:val="30"/>
        </w:rPr>
        <w:t>（一）竞赛形式</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竞赛形式为线下比赛，分 A、B、C 三类赛场。</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A 赛场为制作赛场，B、C 赛场为展示赛场。</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“教育案例分析”即模块一在 A 赛场制作。</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“模拟课堂教学及说课”即模块二在 A 赛场制作，说课在 B 赛场展示，模拟课堂教学在 C 赛场展示。</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A 赛场分 A1</w:t>
      </w:r>
      <w:r>
        <w:rPr>
          <w:rFonts w:hint="eastAsia" w:ascii="仿宋_GB2312" w:hAnsi="仿宋" w:eastAsia="仿宋_GB2312" w:cs="仿宋"/>
          <w:sz w:val="30"/>
          <w:szCs w:val="30"/>
          <w:lang w:val="en-US" w:eastAsia="zh-CN"/>
        </w:rPr>
        <w:t>、</w:t>
      </w:r>
      <w:r>
        <w:rPr>
          <w:rFonts w:hint="eastAsia" w:ascii="仿宋_GB2312" w:hAnsi="仿宋" w:eastAsia="仿宋_GB2312" w:cs="仿宋"/>
          <w:sz w:val="30"/>
          <w:szCs w:val="30"/>
        </w:rPr>
        <w:t xml:space="preserve">A2 </w:t>
      </w:r>
      <w:r>
        <w:rPr>
          <w:rFonts w:hint="eastAsia" w:ascii="仿宋_GB2312" w:hAnsi="仿宋" w:eastAsia="仿宋_GB2312" w:cs="仿宋"/>
          <w:sz w:val="30"/>
          <w:szCs w:val="30"/>
          <w:lang w:val="en-US" w:eastAsia="zh-CN"/>
        </w:rPr>
        <w:t>两</w:t>
      </w:r>
      <w:r>
        <w:rPr>
          <w:rFonts w:hint="eastAsia" w:ascii="仿宋_GB2312" w:hAnsi="仿宋" w:eastAsia="仿宋_GB2312" w:cs="仿宋"/>
          <w:sz w:val="30"/>
          <w:szCs w:val="30"/>
        </w:rPr>
        <w:t>个赛场同时进行。</w:t>
      </w:r>
    </w:p>
    <w:p>
      <w:pPr>
        <w:spacing w:line="560" w:lineRule="exact"/>
        <w:ind w:firstLine="600" w:firstLineChars="200"/>
        <w:jc w:val="left"/>
        <w:rPr>
          <w:rFonts w:hint="eastAsia" w:ascii="楷体" w:hAnsi="楷体" w:eastAsia="楷体" w:cs="楷体"/>
          <w:sz w:val="30"/>
          <w:szCs w:val="30"/>
        </w:rPr>
      </w:pPr>
      <w:r>
        <w:rPr>
          <w:rFonts w:hint="eastAsia" w:ascii="楷体" w:hAnsi="楷体" w:eastAsia="楷体" w:cs="楷体"/>
          <w:sz w:val="30"/>
          <w:szCs w:val="30"/>
        </w:rPr>
        <w:t>（</w:t>
      </w:r>
      <w:r>
        <w:rPr>
          <w:rFonts w:hint="eastAsia" w:ascii="楷体" w:hAnsi="楷体" w:eastAsia="楷体" w:cs="楷体"/>
          <w:sz w:val="30"/>
          <w:szCs w:val="30"/>
          <w:lang w:val="en-US" w:eastAsia="zh-CN"/>
        </w:rPr>
        <w:t>二</w:t>
      </w:r>
      <w:r>
        <w:rPr>
          <w:rFonts w:hint="eastAsia" w:ascii="楷体" w:hAnsi="楷体" w:eastAsia="楷体" w:cs="楷体"/>
          <w:sz w:val="30"/>
          <w:szCs w:val="30"/>
        </w:rPr>
        <w:t>）组队方式</w:t>
      </w:r>
    </w:p>
    <w:p>
      <w:pPr>
        <w:spacing w:line="560" w:lineRule="exact"/>
        <w:ind w:firstLine="600" w:firstLineChars="200"/>
        <w:jc w:val="left"/>
        <w:rPr>
          <w:rFonts w:hint="eastAsia" w:ascii="仿宋_GB2312" w:hAnsi="仿宋" w:eastAsia="仿宋_GB2312" w:cs="仿宋"/>
          <w:sz w:val="30"/>
          <w:szCs w:val="30"/>
        </w:rPr>
      </w:pPr>
      <w:r>
        <w:rPr>
          <w:rFonts w:hint="eastAsia" w:ascii="仿宋_GB2312" w:hAnsi="仿宋" w:eastAsia="仿宋_GB2312" w:cs="仿宋"/>
          <w:sz w:val="30"/>
          <w:szCs w:val="30"/>
        </w:rPr>
        <w:t>组队方式为团体赛，每队由同校2名教师组成，不得跨校组队，同一学校参赛队不超过</w:t>
      </w:r>
      <w:r>
        <w:rPr>
          <w:rFonts w:hint="eastAsia" w:ascii="仿宋_GB2312" w:hAnsi="仿宋" w:eastAsia="仿宋_GB2312" w:cs="仿宋"/>
          <w:sz w:val="30"/>
          <w:szCs w:val="30"/>
          <w:lang w:val="en-US" w:eastAsia="zh-CN"/>
        </w:rPr>
        <w:t>2</w:t>
      </w:r>
      <w:r>
        <w:rPr>
          <w:rFonts w:hint="eastAsia" w:ascii="仿宋_GB2312" w:hAnsi="仿宋" w:eastAsia="仿宋_GB2312" w:cs="仿宋"/>
          <w:sz w:val="30"/>
          <w:szCs w:val="30"/>
        </w:rPr>
        <w:t>队。赛题现场抽签决定；2名选手合作完成模块一和模块二的制作部分，任务可以自由分配；模拟课堂教学及说课的展示，由参赛队伍自行明确1名选手进行模拟课堂教学，另1名选手进行说课。每校设领队1人。</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八、竞赛规则</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（一）参赛选手报名</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参赛选手为高等职业院校、高等专科学校小学教育类专业相关课程全职在岗教师（包括在编在岗教师、签订正式聘用合同并连续全职在参赛学校工作一年以上的在聘教师）。选手报名时须提交小学教育类专业所教一门课程的10个授课主题。报名获得确认后不得随意更换。如比赛前参赛选手因故无法参赛，须由省级教育行政部门于相应赛项开赛10个工作日之前出具书面说明，经大赛执委会办公室核实同意后予以更换；竞赛开始后，参赛队不得更换参赛选手。</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 xml:space="preserve">（二）赛题库       </w:t>
      </w:r>
    </w:p>
    <w:p>
      <w:pPr>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采用国赛题库，请各参赛院校在“全国职业院校技能大赛”官网“规程赛题”栏下载“2023年全国职业院校技能大赛赛项规程与赛题”， “</w:t>
      </w:r>
      <w:r>
        <w:fldChar w:fldCharType="begin"/>
      </w:r>
      <w:r>
        <w:instrText xml:space="preserve"> HYPERLINK "http://www.chinaskills-jsw.org/_img/2021/04/02/20210402232525451.rar" \t "_blank" </w:instrText>
      </w:r>
      <w:r>
        <w:fldChar w:fldCharType="separate"/>
      </w:r>
      <w:r>
        <w:rPr>
          <w:rFonts w:hint="eastAsia" w:ascii="仿宋_GB2312" w:hAnsi="仿宋" w:eastAsia="仿宋_GB2312" w:cs="仿宋"/>
          <w:sz w:val="30"/>
          <w:szCs w:val="30"/>
        </w:rPr>
        <w:t>GZ060 小学教育活动设计与实施赛项规程与赛程”题库</w:t>
      </w:r>
      <w:r>
        <w:rPr>
          <w:rFonts w:hint="eastAsia" w:ascii="仿宋_GB2312" w:hAnsi="仿宋" w:eastAsia="仿宋_GB2312" w:cs="仿宋"/>
          <w:sz w:val="30"/>
          <w:szCs w:val="30"/>
        </w:rPr>
        <w:fldChar w:fldCharType="end"/>
      </w:r>
      <w:r>
        <w:rPr>
          <w:rFonts w:hint="eastAsia" w:ascii="仿宋_GB2312" w:hAnsi="仿宋" w:eastAsia="仿宋_GB2312" w:cs="仿宋"/>
          <w:sz w:val="30"/>
          <w:szCs w:val="30"/>
        </w:rPr>
        <w:t>：</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http://www.chinaskills-jsw.org/content_7.html </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（三）熟悉场地</w:t>
      </w:r>
    </w:p>
    <w:p>
      <w:pPr>
        <w:spacing w:line="560" w:lineRule="exact"/>
        <w:ind w:firstLine="600" w:firstLineChars="200"/>
        <w:jc w:val="left"/>
        <w:rPr>
          <w:rFonts w:ascii="仿宋" w:hAnsi="仿宋" w:eastAsia="仿宋" w:cs="仿宋"/>
          <w:sz w:val="30"/>
          <w:szCs w:val="30"/>
        </w:rPr>
      </w:pPr>
      <w:r>
        <w:rPr>
          <w:rFonts w:hint="eastAsia" w:ascii="仿宋_GB2312" w:hAnsi="仿宋" w:eastAsia="仿宋_GB2312" w:cs="仿宋"/>
          <w:sz w:val="30"/>
          <w:szCs w:val="30"/>
        </w:rPr>
        <w:t>参赛选手应在竞赛日程规定的时间熟悉竞赛场地，选手可进入竞赛场地体验。参赛队熟悉竞赛场地后，对赛场提供的设备、工具等有异议时，必须在2小时内由领队提出书面报告送交竞赛仲裁组，提请赛项执委会安排整改，超时不予受理。</w:t>
      </w:r>
      <w:r>
        <w:rPr>
          <w:rFonts w:hint="eastAsia" w:ascii="仿宋" w:hAnsi="仿宋" w:eastAsia="仿宋" w:cs="仿宋"/>
          <w:sz w:val="30"/>
          <w:szCs w:val="30"/>
        </w:rPr>
        <w:t xml:space="preserve"> </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（四）领队会议</w:t>
      </w:r>
    </w:p>
    <w:p>
      <w:pPr>
        <w:spacing w:line="560" w:lineRule="exact"/>
        <w:ind w:firstLine="600" w:firstLineChars="200"/>
        <w:rPr>
          <w:rFonts w:ascii="Times New Roman" w:hAnsi="Times New Roman" w:eastAsia="仿宋_GB2312" w:cs="Times New Roman"/>
          <w:sz w:val="30"/>
          <w:szCs w:val="30"/>
        </w:rPr>
      </w:pPr>
      <w:r>
        <w:rPr>
          <w:rFonts w:hint="eastAsia" w:ascii="仿宋_GB2312" w:hAnsi="仿宋" w:eastAsia="仿宋_GB2312" w:cs="仿宋"/>
          <w:sz w:val="30"/>
          <w:szCs w:val="30"/>
        </w:rPr>
        <w:t>竞赛日程第一天下午三点召开领队会议，讲解竞赛注意事项并答疑，由各参赛队伍的领队参加。</w:t>
      </w:r>
      <w:r>
        <w:rPr>
          <w:rFonts w:hint="eastAsia" w:ascii="Times New Roman" w:hAnsi="Times New Roman" w:eastAsia="仿宋_GB2312" w:cs="Times New Roman"/>
          <w:sz w:val="30"/>
          <w:szCs w:val="30"/>
        </w:rPr>
        <w:t xml:space="preserve"> </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（五）抽签环节</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赛场和场次在比赛现场由选手本人抽取。选手须携带身份证、工作证明、参赛证（简称三证），并按抽签顺序参加竞赛。</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（六）参赛选手入场</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参赛选手应提前15分钟到达赛场，凭三证检录，不得迟到。选手根据抽签结果在对应的座位入座，裁判负责核对参赛选手信息。赛位由抽签确定，不得擅自变更、调整；选手在竞赛过程中不得擅自离开赛场，如有特殊情况，须经裁判人员同意，若需休息、饮水或去洗手间等，耗用时间计算在比赛时间内。选手不得将手机、无线上网卡、移动存储设备、资料等与竞赛无关的物品带入赛场。选手不得在参赛服饰上作任何标识，违规者取消比赛成绩。比赛结束时，参赛选手应立即停止操作，不得以任何理由拖延比赛时间。</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（七）正式比赛</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参赛选手凭号牌进入赛场，听从裁判长发布竞赛开始指令后正式开始竞赛，合理利用现场提供的所有条件完成竞赛任务。竞赛过程中，参赛选手须严格遵守相关操作规程，确保设备及人身安全，并接受裁判员的监督和警示，确保比赛公平公正、顺利进行。选手因个人操作失误造成人身安全事故和设备故障时，裁判长有权中止该选手竞赛；如非选手个人因素出现设备故障而无法竞赛，经裁判长判定，可由技术人员排除故障后继续竞赛，并补足所耽误的竞赛时间。竞赛结束，参赛选手须完成现场清理并经裁判员同意后方可离开。 </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（八）成绩评定与公布</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成绩经裁判员签字确认后，由监督组进行抽检复核，无误后由裁判长和监督组人员签字确认，并报赛项执委会备案，由大赛执委会办公室公布成绩。如有争议，提交仲裁组裁定。</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（九）竞赛纪律</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任何人不得以任何方式帮助和影响参赛选手。对造成不良后果的依据竞赛规则进行处理。竞赛过程中，除参加本场次竞赛的选手、裁判员、现场工作人员和经批准的人员外，其他人员一律不得进入竞赛现场。对不听劝阻、无理取闹者依据竞赛规则进行处理。对违反竞赛纪律的参赛选手及所在代表队和单位，视情节轻重、影响程度，予以取消竞赛资格并通报批评。所有专家和裁判的工作纪律将严格参照《全国职业院校技能大赛专家和裁判工作管理办法》执行。</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（十）观摩须知</w:t>
      </w:r>
    </w:p>
    <w:p>
      <w:pPr>
        <w:pStyle w:val="13"/>
        <w:spacing w:line="560" w:lineRule="exact"/>
        <w:ind w:firstLine="600"/>
        <w:rPr>
          <w:rFonts w:hAnsi="仿宋" w:eastAsia="仿宋_GB2312" w:cs="仿宋"/>
          <w:sz w:val="30"/>
          <w:szCs w:val="30"/>
        </w:rPr>
      </w:pPr>
      <w:r>
        <w:rPr>
          <w:rFonts w:hint="eastAsia" w:hAnsi="仿宋" w:eastAsia="仿宋_GB2312" w:cs="仿宋"/>
          <w:sz w:val="30"/>
          <w:szCs w:val="30"/>
        </w:rPr>
        <w:t>赛场内设定观摩区域，不允许有大声喧哗等影响参赛选手竞赛的行为发生。</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九、技术环境</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（一）场地要求</w:t>
      </w:r>
    </w:p>
    <w:p>
      <w:pPr>
        <w:spacing w:line="560" w:lineRule="exact"/>
        <w:ind w:firstLine="600" w:firstLineChars="200"/>
        <w:rPr>
          <w:rFonts w:ascii="Times New Roman" w:hAnsi="Times New Roman" w:eastAsia="仿宋_GB2312" w:cs="Times New Roman"/>
          <w:sz w:val="30"/>
          <w:szCs w:val="30"/>
        </w:rPr>
      </w:pPr>
      <w:r>
        <w:rPr>
          <w:rFonts w:hint="eastAsia" w:ascii="仿宋_GB2312" w:hAnsi="仿宋" w:eastAsia="仿宋_GB2312" w:cs="仿宋"/>
          <w:sz w:val="30"/>
          <w:szCs w:val="30"/>
        </w:rPr>
        <w:t>多媒体教室、普通教室的数量要与参赛选手人数相匹配，各场地根据要求在适当的位置配备录像设备，并有能容纳师生共同观摩的场地。</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（二）录像直播</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专业的摄录系统，用于后续大赛视频成果转化等。高清的多媒体投影系统，能实现远程竞赛直播。</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（三）软件环境</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Windows10、WPS、Windows 图片查看器、PhotoshopCS6。输入法包括：搜狗拼音输入法、微软拼音、搜狗五笔输入法。</w:t>
      </w:r>
      <w:r>
        <w:rPr>
          <w:rFonts w:hint="eastAsia" w:ascii="仿宋" w:hAnsi="仿宋" w:eastAsia="仿宋" w:cs="仿宋"/>
          <w:sz w:val="30"/>
          <w:szCs w:val="30"/>
        </w:rPr>
        <w:t xml:space="preserve"> </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（四）技术平台</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技术平台能同时满足线下和线上比赛的需要，可用平台进行评审，裁判可使用平台进行记分并签字确认，可替代传统的纸质评分和手动计分方式，能达到评审过程全记录，评审结果不可篡改，更加公平、公正、透明，更加高效、科学。</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2.技术平台经过不少于两场市级或以上相关专业技能大赛的使用，运行稳定、高效、便捷。</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3.平台对于设备的要求</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选手机试设备：电脑要求Windows10及以上操作系统，屏幕分辨率最低1334×768像素，至少有32G以上可用存储空间，内存4G及以上。</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裁判员评审设备：平板电脑要求Android6.0及以上操作系统，屏幕在10英尺以上,支持多点触控，屏幕分辨率最低1280×800像素，支持2.4Ghz无线网络。</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十、竞赛样题</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本赛项赛题分为教育案例分析、模拟课堂教学及说课两个模块，竞赛样题如下：</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（一）模块一：教育案例分析</w:t>
      </w:r>
    </w:p>
    <w:p>
      <w:pPr>
        <w:spacing w:line="560" w:lineRule="exact"/>
        <w:ind w:firstLine="602" w:firstLineChars="200"/>
        <w:rPr>
          <w:rFonts w:ascii="仿宋_GB2312" w:hAnsi="仿宋" w:eastAsia="仿宋_GB2312" w:cs="仿宋"/>
          <w:b/>
          <w:bCs/>
          <w:sz w:val="30"/>
          <w:szCs w:val="30"/>
        </w:rPr>
      </w:pPr>
      <w:r>
        <w:rPr>
          <w:rFonts w:hint="eastAsia" w:ascii="仿宋_GB2312" w:hAnsi="仿宋" w:eastAsia="仿宋_GB2312" w:cs="仿宋"/>
          <w:b/>
          <w:bCs/>
          <w:sz w:val="30"/>
          <w:szCs w:val="30"/>
        </w:rPr>
        <w:t>1.样题</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大二学生小张看到小红书上发布兼职消息，为某购物平台刷好评就能获得薪酬。小张按照要求扫码，页面转到淘宝，点击购买后，页面跳转支付宝人脸支付，扣掉300块，联系客服想要退掉时，客服表示钱会由商家代付，并给予二维码，表示扫码添加好友，联系客服就可以退钱。次日，客服表示小张账户涉嫌诈骗，钱退不回去，需要刷额度才能返钱，并提供银行卡号，要求小张转3000元到该账户。在按照其要求操作后，表示为提高额度又依次给了两次二维码，分别扣除500和258元，并表示24小时以内钱会退回。小张再次联系退钱事宜时，此人已无法联系。</w:t>
      </w:r>
    </w:p>
    <w:p>
      <w:pPr>
        <w:spacing w:line="560" w:lineRule="exact"/>
        <w:ind w:firstLine="602" w:firstLineChars="200"/>
        <w:rPr>
          <w:rFonts w:hint="eastAsia" w:ascii="仿宋_GB2312" w:hAnsi="仿宋" w:eastAsia="仿宋_GB2312" w:cs="仿宋"/>
          <w:b/>
          <w:bCs/>
          <w:sz w:val="30"/>
          <w:szCs w:val="30"/>
        </w:rPr>
      </w:pPr>
      <w:r>
        <w:rPr>
          <w:rFonts w:hint="eastAsia" w:ascii="仿宋_GB2312" w:hAnsi="仿宋" w:eastAsia="仿宋_GB2312" w:cs="仿宋"/>
          <w:b/>
          <w:bCs/>
          <w:sz w:val="30"/>
          <w:szCs w:val="30"/>
        </w:rPr>
        <w:t>2.赛题说明</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请根据赛题中的事件，在比赛电脑上完成案例分析，形成不少于1000字Word文档，并在规定时间（60分钟）内提交。文档内容一般包括情况分析、解决方案和工作启示等部分，要求结构完整、表达流畅、观点鲜明、分析透彻。</w:t>
      </w:r>
    </w:p>
    <w:p>
      <w:pPr>
        <w:spacing w:line="560" w:lineRule="exact"/>
        <w:ind w:firstLine="600" w:firstLineChars="200"/>
        <w:jc w:val="left"/>
        <w:rPr>
          <w:rFonts w:ascii="楷体" w:hAnsi="楷体" w:eastAsia="楷体" w:cs="楷体"/>
          <w:sz w:val="30"/>
          <w:szCs w:val="30"/>
        </w:rPr>
      </w:pPr>
      <w:r>
        <w:rPr>
          <w:rFonts w:hint="eastAsia" w:ascii="楷体" w:hAnsi="楷体" w:eastAsia="楷体" w:cs="楷体"/>
          <w:sz w:val="30"/>
          <w:szCs w:val="30"/>
        </w:rPr>
        <w:t>（二）模块二：模拟课堂教学及说课</w:t>
      </w:r>
    </w:p>
    <w:p>
      <w:pPr>
        <w:spacing w:line="560" w:lineRule="exact"/>
        <w:ind w:firstLine="602" w:firstLineChars="200"/>
        <w:rPr>
          <w:rFonts w:hint="eastAsia" w:ascii="仿宋_GB2312" w:hAnsi="仿宋" w:eastAsia="仿宋_GB2312" w:cs="仿宋"/>
          <w:b/>
          <w:bCs/>
          <w:sz w:val="30"/>
          <w:szCs w:val="30"/>
        </w:rPr>
      </w:pPr>
      <w:r>
        <w:rPr>
          <w:rFonts w:hint="eastAsia" w:ascii="仿宋_GB2312" w:hAnsi="仿宋" w:eastAsia="仿宋_GB2312" w:cs="仿宋"/>
          <w:b/>
          <w:bCs/>
          <w:sz w:val="30"/>
          <w:szCs w:val="30"/>
        </w:rPr>
        <w:t>1.样题</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因选手专业、教材版本等不同，由参赛教师团队在报名时提交小学教育类专业所教一门课程的10个授课主题，执委会从中随机抽取一个授课主题，参赛教师团队进行模拟课堂教学及说课。</w:t>
      </w:r>
    </w:p>
    <w:p>
      <w:pPr>
        <w:spacing w:line="560" w:lineRule="exact"/>
        <w:ind w:firstLine="602" w:firstLineChars="200"/>
        <w:rPr>
          <w:rFonts w:hint="eastAsia" w:ascii="仿宋_GB2312" w:hAnsi="仿宋" w:eastAsia="仿宋_GB2312" w:cs="仿宋"/>
          <w:b/>
          <w:bCs/>
          <w:sz w:val="30"/>
          <w:szCs w:val="30"/>
        </w:rPr>
      </w:pPr>
      <w:r>
        <w:rPr>
          <w:rFonts w:hint="eastAsia" w:ascii="仿宋_GB2312" w:hAnsi="仿宋" w:eastAsia="仿宋_GB2312" w:cs="仿宋"/>
          <w:b/>
          <w:bCs/>
          <w:sz w:val="30"/>
          <w:szCs w:val="30"/>
        </w:rPr>
        <w:t>2.赛题说明</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（1）撰写教学方案：根据赛题内容在比赛电脑上完成1课时的教学设计，形成Word文档，并在规定时间内提交。教学方案一般包含教学目标、教学重点难点、教材分析、学情分析、教学过程等。</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（2）制作课堂教学PPT：根据教学设计，在比赛电脑上制作15分钟片段教学PPT，并在规定时间内提交。要求播放流畅、画面美观。</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（3）制作说课PPT：结合教学方案制作说课课件，并在规定时间内提交。</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（4）模拟课堂教学：展示环节中需要使用以上素材进行15分钟无学生授课。要求教学目标明确、教学步骤清晰、教学方法恰当、教学语言准确规范、教态自然、信息技术运用有效、板书规范美观。</w:t>
      </w:r>
    </w:p>
    <w:p>
      <w:pPr>
        <w:spacing w:line="560" w:lineRule="exact"/>
        <w:ind w:firstLine="600" w:firstLineChars="200"/>
      </w:pPr>
      <w:r>
        <w:rPr>
          <w:rFonts w:hint="eastAsia" w:ascii="仿宋_GB2312" w:hAnsi="仿宋" w:eastAsia="仿宋_GB2312" w:cs="仿宋"/>
          <w:sz w:val="30"/>
          <w:szCs w:val="30"/>
        </w:rPr>
        <w:t>（5）说课:针对授课内容进行8分钟的说课。</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十一、成绩评定</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（一）评分方式</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1.裁判组实行“裁判长负责制”，设裁判长1名，全面负责赛项的裁判与管理工作。</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2.竞赛项目总分为100分。其中“教育案例分析”模块100分，占竞赛项目总分的30%；“模拟课堂教学及说课”模块100分（撰写教学方案30分、制作教学课件和说课课件20分、模拟课堂教学30分、说课20分），占竞赛项目总分的70%。所有分赛项均去掉一个最高分和一个最低分，两个模块加权分数之和为最终竞赛项目得分。</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（二）成绩产生</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在监督仲裁组监督下，由裁判长指定解密裁判启封检录抽签加密档案，找出各参赛队与加密对应关系；将竞赛结果分别由加密号转换为参赛队；将相应赛项分值按照规则计算，得出总分；然后进行分值排序；打印封装。</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（三）成绩复核</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 xml:space="preserve">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如果复核、抽检错误率超过5%，裁判组将对所有成绩进行复核。 </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（四）成绩公布</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最终成绩经复核无误，由裁判长、监督仲裁组人员共同签字确认后公布。</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（五）特殊情况</w:t>
      </w:r>
    </w:p>
    <w:p>
      <w:pPr>
        <w:spacing w:line="560" w:lineRule="exact"/>
        <w:ind w:firstLine="600" w:firstLineChars="200"/>
        <w:rPr>
          <w:rFonts w:hint="eastAsia" w:ascii="仿宋" w:hAnsi="仿宋" w:eastAsia="仿宋_GB2312" w:cs="仿宋"/>
          <w:sz w:val="30"/>
          <w:szCs w:val="30"/>
          <w:lang w:eastAsia="zh-CN"/>
        </w:rPr>
      </w:pPr>
      <w:r>
        <w:rPr>
          <w:rFonts w:hint="eastAsia" w:ascii="仿宋_GB2312" w:hAnsi="仿宋" w:eastAsia="仿宋_GB2312" w:cs="仿宋"/>
          <w:sz w:val="30"/>
          <w:szCs w:val="30"/>
        </w:rPr>
        <w:t>参赛队伍如有损坏赛场提供的设备等不符合职业规范的行为，视情节扣5-10分。竞赛时段，参赛选手有不服从裁判及监考、扰乱赛场秩序等行为情节严重的，取消参赛队评奖资格。有作弊行为的，该选手成绩所有赛项分数计“零”分，参赛队所在学校禁赛一年。裁判宣布竞赛时间到，选手仍强行操作的，该选手该项成绩计“零”分，取消参赛队奖项评比资格</w:t>
      </w:r>
      <w:r>
        <w:rPr>
          <w:rFonts w:hint="eastAsia" w:ascii="仿宋_GB2312" w:hAnsi="仿宋" w:eastAsia="仿宋_GB2312" w:cs="仿宋"/>
          <w:sz w:val="30"/>
          <w:szCs w:val="30"/>
          <w:lang w:eastAsia="zh-CN"/>
        </w:rPr>
        <w:t>。</w:t>
      </w:r>
    </w:p>
    <w:p>
      <w:pPr>
        <w:spacing w:line="560" w:lineRule="exact"/>
        <w:ind w:firstLine="600" w:firstLineChars="200"/>
      </w:pPr>
      <w:r>
        <w:rPr>
          <w:rFonts w:hint="eastAsia" w:ascii="楷体" w:hAnsi="楷体" w:eastAsia="楷体" w:cs="楷体"/>
          <w:sz w:val="30"/>
          <w:szCs w:val="30"/>
        </w:rPr>
        <w:t>（六）评分标准（见附件）</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十二、技术规范</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本赛项遵循《职业教育专业简介（2022年修订）》《职业教育“双师型”教师基本标准（试行）》《中共中央 国务院关于全面深化新时代教师队伍建设改革的意见》《教师数字素养》《小学教育专业师范生教师职业能力标准（试行）》《小学教师专业标准（试行）》《义务教育课程方案和课程标准（2022年版）》和等文件标准以及赛项相应学科知识及技能方面的教学要求和技术规范，具体如下：</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0"/>
        <w:gridCol w:w="7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《职业教育专业简介（2022年修订）》</w:t>
            </w:r>
          </w:p>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p>
        </w:tc>
        <w:tc>
          <w:tcPr>
            <w:tcW w:w="7355" w:type="dxa"/>
          </w:tcPr>
          <w:p>
            <w:pPr>
              <w:widowControl/>
              <w:snapToGrid w:val="0"/>
              <w:spacing w:before="120" w:before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赛项相关专业培养德智体美劳全面发展，掌握扎实的科学文化基础和思想政治理论、教育教学基础理论、相关学科知识等，具备良好的人文素养、科学素养和创新意识，具备较强的课程设计与实施、班级建设与管理、数字化教育技术应用、终身学习等能力，具有工匠精神和信息素养，能够从事小学一门学科课程教学、兼教其他两门学科等工作的高素质教育工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《中共中央 国务院关于全面深化新时代教师队伍建设改革的意见》</w:t>
            </w:r>
          </w:p>
        </w:tc>
        <w:tc>
          <w:tcPr>
            <w:tcW w:w="7355" w:type="dxa"/>
          </w:tcPr>
          <w:p>
            <w:pPr>
              <w:widowControl/>
              <w:snapToGrid w:val="0"/>
              <w:spacing w:before="120" w:before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《职业教育“双师型”教师基本标准（试行）》</w:t>
            </w:r>
          </w:p>
        </w:tc>
        <w:tc>
          <w:tcPr>
            <w:tcW w:w="7355" w:type="dxa"/>
          </w:tcPr>
          <w:p>
            <w:pPr>
              <w:widowControl/>
              <w:snapToGrid w:val="0"/>
              <w:spacing w:before="120" w:before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贯彻党的教育方针，热爱职业教育事业，具有良好的思想政治素质和师德素养，自觉践行社会主义核心价值观，弘扬劳模精神、劳动精神、工匠精神，为人师表，关爱学生；落实立德树人根本任务，遵循职业教育规律和技术技能人才成长规律，践行产教融合、校企合作，做到工学结合、知行合一、德技并修。在教育教学和技术技能培养过程中落实课程思政要求，形成相应的经验模式；具备相应的理论教学和实践教学能力，掌握先进的教学理念和教学方法，积极参与教学改革与研究。能够采取多种教学模式方式，有效运用现代信息技术开展教学；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变化，及时将新技术、新工艺、新规范融入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《教师数字素养》</w:t>
            </w:r>
          </w:p>
        </w:tc>
        <w:tc>
          <w:tcPr>
            <w:tcW w:w="7355" w:type="dxa"/>
          </w:tcPr>
          <w:p>
            <w:pPr>
              <w:widowControl/>
              <w:snapToGrid w:val="0"/>
              <w:spacing w:before="120" w:before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教师数字素养，即教师适当利用数字技术获取、加工、使用、管理和评价数字信息和资源，发现、分析和解决教育教学问题，优化、创新和变革教育教学活动而具有的意识、能力和责任。标准包括五个维度，即数字化意识、数字技术知识与技能、数字化应用、数字社会责任、专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《小学教育专业师范生教师职业能力标准（试行）》</w:t>
            </w:r>
          </w:p>
        </w:tc>
        <w:tc>
          <w:tcPr>
            <w:tcW w:w="7355" w:type="dxa"/>
          </w:tcPr>
          <w:p>
            <w:pPr>
              <w:widowControl/>
              <w:snapToGrid w:val="0"/>
              <w:spacing w:before="120" w:before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着眼新时代教师培养目标，围绕有理想信念、有道德情操、有扎实学识、有仁爱之心的好老师培养，突出师德师风第一标准，细化师范生实践能力要求，基于师范生能达到的实际水平，加快推进教育现代化相匹配的教书育人能力素质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《小学教师专业标准（试行）》</w:t>
            </w:r>
          </w:p>
        </w:tc>
        <w:tc>
          <w:tcPr>
            <w:tcW w:w="7355" w:type="dxa"/>
          </w:tcPr>
          <w:p>
            <w:pPr>
              <w:widowControl/>
              <w:snapToGrid w:val="0"/>
              <w:spacing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师德为先。热爱小学教育事业，具有职业理想，践行社会主义核心价值体系，履行教师职业道德规范，依法执教。关爱小学生，尊重小学生人格，富有爱心、责任心、耐心和细心；为人师表，教书育人，自尊自律，做小学生健康成长的指导者和引路人；</w:t>
            </w:r>
          </w:p>
          <w:p>
            <w:pPr>
              <w:widowControl/>
              <w:snapToGrid w:val="0"/>
              <w:spacing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学生为本。尊重小学生权益，以小学生为主体，充分调动和发挥小学生的主动性；遵循小学生身心发展特点和教育教学规律，提供适合的教育，促进小学生生动活泼学习、健康快乐成长；</w:t>
            </w:r>
          </w:p>
          <w:p>
            <w:pPr>
              <w:widowControl/>
              <w:snapToGrid w:val="0"/>
              <w:spacing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能力为重。把学科知识、教育理论与教育实践有机结合，突出教书育人实践能力；研究小学生，遵循小学生成长规律，提升教育教学专业化水平；坚持实践、反思、再实践、再反思，不断提高专业能力；</w:t>
            </w:r>
          </w:p>
          <w:p>
            <w:pPr>
              <w:widowControl/>
              <w:snapToGrid w:val="0"/>
              <w:spacing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终身学习。学习先进教育理论，了解国内外小学教育改革发展的经验和做法；优化知识结构，提高文化素养；具有终身学习与持续发展的意识和能力，做终身学习的典范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800" w:type="dxa"/>
            <w:vAlign w:val="center"/>
          </w:tcPr>
          <w:p>
            <w:pPr>
              <w:widowControl/>
              <w:snapToGrid w:val="0"/>
              <w:spacing w:before="120" w:beforeLines="50" w:line="380" w:lineRule="exact"/>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《义务教育课程方案和课程标准（2022年版）》</w:t>
            </w:r>
          </w:p>
        </w:tc>
        <w:tc>
          <w:tcPr>
            <w:tcW w:w="7355" w:type="dxa"/>
          </w:tcPr>
          <w:p>
            <w:pPr>
              <w:widowControl/>
              <w:snapToGrid w:val="0"/>
              <w:spacing w:before="120" w:beforeLines="50" w:after="120" w:afterLines="50" w:line="380" w:lineRule="exact"/>
              <w:ind w:firstLine="420" w:firstLineChars="200"/>
              <w:jc w:val="left"/>
              <w:rPr>
                <w:rFonts w:hint="eastAsia" w:ascii="方正仿宋_GBK" w:hAnsi="方正仿宋_GBK" w:eastAsia="方正仿宋_GBK" w:cs="方正仿宋_GBK"/>
                <w:sz w:val="21"/>
                <w:szCs w:val="21"/>
                <w:lang w:bidi="ar"/>
              </w:rPr>
            </w:pPr>
            <w:r>
              <w:rPr>
                <w:rFonts w:hint="eastAsia" w:ascii="方正仿宋_GBK" w:hAnsi="方正仿宋_GBK" w:eastAsia="方正仿宋_GBK" w:cs="方正仿宋_GBK"/>
                <w:sz w:val="21"/>
                <w:szCs w:val="21"/>
                <w:lang w:bidi="ar"/>
              </w:rPr>
              <w:t>义务教育课程标准描绘了育人蓝图，增强了思想性，系统融入习近平新时代中国特色社会主义思想，强化社会主义先进文化、革命文化、中华优秀传统文化等方面的教育；增强了科学性，遵循学生认知规律，注重与学生生活、社会实际的联系；增强了时代性，注重体现马克思主义中国化最新成果，反映经济社会发展新变化、科学技术进步新成果；增强了整体性，注重学段纵向衔接、学科横向配合；增强了指导性，加强了课程实施指导，做到好用管用。为义务教育优质均衡、高质量发展提供了有力支撑</w:t>
            </w:r>
          </w:p>
        </w:tc>
      </w:tr>
    </w:tbl>
    <w:p>
      <w:pPr>
        <w:pStyle w:val="13"/>
        <w:rPr>
          <w:rFonts w:ascii="Times New Roman" w:hAnsi="Times New Roman"/>
        </w:rPr>
      </w:pP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十三、奖项设定</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根据《河南省教育厅办公室关于举办2023年河南省高等职业教育技能大赛的通知》（教职成函〔2023〕307号）要求，本次省选省赛</w:t>
      </w:r>
      <w:r>
        <w:rPr>
          <w:rFonts w:hint="eastAsia" w:ascii="仿宋_GB2312" w:hAnsi="仿宋" w:eastAsia="仿宋_GB2312" w:cs="仿宋"/>
          <w:sz w:val="30"/>
          <w:szCs w:val="30"/>
          <w:lang w:val="en-US" w:eastAsia="zh-CN"/>
        </w:rPr>
        <w:t>教师</w:t>
      </w:r>
      <w:r>
        <w:rPr>
          <w:rFonts w:hint="eastAsia" w:ascii="仿宋_GB2312" w:hAnsi="仿宋" w:eastAsia="仿宋_GB2312" w:cs="仿宋"/>
          <w:sz w:val="30"/>
          <w:szCs w:val="30"/>
        </w:rPr>
        <w:t>组设团队奖。团队奖的获奖等次与比例分别为：一等奖15%、二等奖25%、三等奖30%。如果最终成绩出现并列，以“模拟课堂教学及说课”展示部分的分数来排序。竞赛结果进行排名，推荐参加国赛。</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十四、赛项安全</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赛事安全是技能竞赛一切工作顺利开展的先决条件，是赛事筹备和运行工作必须考虑的核心问题。赛项工作组采取切实有效措施，保证大赛期间的参赛选手、指导教师、裁判员、工作人员的人身安全。</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（一）比赛环境</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1.赛前组织专人对比赛现场、住宿场所和交通保障进行考察，并对安全工作提出明确要求。赛场的布置，赛场内的器材、设备，符合国家有关安全规定。承办单位赛前将按照执委会要求排除安全隐患。</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2.赛场周围设立警戒线，防止无关人员进入发生意外事件。比赛现场内的每个工位安全操作规范。选手进场后开赛前，裁判长将统一进行告知。</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3.承办院校制定赛场用电预案。现场提供医疗和消防安全保障。</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4.严格控制与参赛无关的易燃易爆以及各类危险品进入比赛场地，不许随便携带书包进入赛场。</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5.大赛期间工作组须在比赛管理的关键岗位增加力量，建立安全管理机制。</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（二）组队责任</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1.各学校组织代表队时，须为参赛选手购买大赛期间的人身意外伤害保险，有效期必须为大赛举行期间，不得以其他长期保险代替。</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2.各学校代表队组成后，须制定相关管理制度，并对所有选手、指导教师进行安全教育。</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3.各参赛队伍须加强对参与比赛人员的安全管理，实现与赛场安全管理的对接。</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（三）应急处理</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比赛期间发生意外事故，发现者应第一时间报告赛项执委会，同时采取措施避免事态扩大。赛项执委会应立即启动预案予以解决并报告赛区执委会。赛项出现重大安全问题可以停赛，是否停赛由赛区组委会决定。事后，赛区执委会应向大赛执委会报告详细情况。</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（四）处罚措施</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1.因参赛队伍原因造成重大安全事故的，取消其获奖资格。</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2.参赛队伍有发生重大安全事故隐患，经赛场工作人员提示、警告无效的，可取消其继续比赛的资格。</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3.赛事工作人员违规的，按照相应的制度追究责任。情节恶劣并造成重大安全事故的，由司法机关追究相应法律责任。</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十五、申诉与仲裁</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（一）申诉</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1.参赛队对不符合赛项规定的设备、工具、软件，有失公正的评判、奖励，以及对工作人员的违规行为等，均可提出申诉。</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申诉应在赛项结束后2小时内提出，超过时效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不予受理。申诉报告须有申诉参赛选手、领队签名。</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3.赛项仲裁工作组收到申诉报告后，应根据申诉事由进行审查，2小时内书面通知申诉方，告知申诉处理结果。如受理申诉，要通知申诉方举办听证会的时间和地点；如不受理，要说明理由。</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4.申诉人不得无故拒不接受处理结果，不允许采取过激行为刁难、攻击工作人员，否则视为放弃申诉。</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（二）仲裁</w:t>
      </w:r>
    </w:p>
    <w:p>
      <w:pPr>
        <w:autoSpaceDE w:val="0"/>
        <w:autoSpaceDN w:val="0"/>
        <w:adjustRightInd w:val="0"/>
        <w:spacing w:line="560" w:lineRule="exact"/>
        <w:ind w:firstLine="600" w:firstLineChars="200"/>
        <w:jc w:val="left"/>
        <w:rPr>
          <w:rFonts w:ascii="仿宋_GB2312" w:hAnsi="仿宋" w:eastAsia="仿宋_GB2312" w:cs="仿宋"/>
          <w:sz w:val="30"/>
          <w:szCs w:val="30"/>
        </w:rPr>
      </w:pPr>
      <w:r>
        <w:rPr>
          <w:rFonts w:hint="eastAsia" w:ascii="仿宋_GB2312" w:hAnsi="仿宋" w:eastAsia="仿宋_GB2312" w:cs="仿宋"/>
          <w:sz w:val="30"/>
          <w:szCs w:val="30"/>
        </w:rPr>
        <w:t>申诉人不满意赛项仲裁工作组的处理结果的，可向大赛组委会提出复议申请。大赛组委会的仲裁结果为最终结果。</w:t>
      </w:r>
    </w:p>
    <w:p>
      <w:pPr>
        <w:autoSpaceDE w:val="0"/>
        <w:autoSpaceDN w:val="0"/>
        <w:adjustRightInd w:val="0"/>
        <w:spacing w:line="560" w:lineRule="exact"/>
        <w:ind w:firstLine="600" w:firstLineChars="200"/>
        <w:jc w:val="left"/>
        <w:rPr>
          <w:rFonts w:ascii="Times New Roman" w:hAnsi="黑体" w:eastAsia="黑体" w:cs="Times New Roman"/>
          <w:sz w:val="30"/>
          <w:szCs w:val="30"/>
        </w:rPr>
      </w:pPr>
      <w:r>
        <w:rPr>
          <w:rFonts w:hint="eastAsia" w:ascii="Times New Roman" w:hAnsi="黑体" w:eastAsia="黑体" w:cs="Times New Roman"/>
          <w:sz w:val="30"/>
          <w:szCs w:val="30"/>
        </w:rPr>
        <w:t>十六、竞赛须知</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（一）参赛队须知</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1.每队参赛选手必须为同一学校小学教育类专业相关课程的全职在岗教师（不含兼职教师和外聘教师），不得跨校组队，违者取消竞赛资格。</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熟悉竞赛规程和赛项须知，领队负责做好本参赛队竞赛期间的管理工作。参赛选手在报名获得审核确认后，原则上不再更换，如队员因故不能参赛，须由所在省级教育主管部门于开赛10个工作日之前出具书面说明，经大赛执委会办公室核实后予以替换；参赛选手不得冒名顶替，违者取消竞赛资格。参赛选手注册报到后，不得更换，允许参赛选手缺席竞赛。</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3.参赛选手按照大赛规程安排，凭参赛证、身份证和工作证明参加竞赛及相关活动。</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4.参赛选手可统一着装，但不应出现地域及院校的信息，并符合安全及竞赛要求。</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5.参赛队统一使用赛场提供的技术平台工具。</w:t>
      </w:r>
    </w:p>
    <w:p>
      <w:pPr>
        <w:spacing w:line="560" w:lineRule="exact"/>
        <w:ind w:firstLine="600" w:firstLineChars="200"/>
        <w:rPr>
          <w:rFonts w:ascii="仿宋" w:hAnsi="仿宋" w:eastAsia="仿宋" w:cs="仿宋"/>
          <w:sz w:val="30"/>
          <w:szCs w:val="30"/>
        </w:rPr>
      </w:pPr>
      <w:r>
        <w:rPr>
          <w:rFonts w:hint="eastAsia" w:ascii="仿宋_GB2312" w:hAnsi="仿宋" w:eastAsia="仿宋_GB2312" w:cs="仿宋"/>
          <w:sz w:val="30"/>
          <w:szCs w:val="30"/>
        </w:rPr>
        <w:t>6.各参赛队必须按相关操作规程要求参与竞赛，在竞赛过程中不按要求操作，出现人为损坏设备情况，由参赛队照价赔偿。</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（二）参赛选手须知</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1.参赛选手应严格遵守赛场规章、操作规程，保证人身及设备安全，接受现场工作人员的监督和警示，文明竞赛。</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2.参赛选手在赛场内应始终佩带参赛凭证。</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3.参赛选手应自觉遵守赛场纪律，服从裁判，听从指挥。禁止将参考资料（用品）及通讯工具带入赛场。</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4.参赛选手竞赛过程中，如严重违背竞赛纪律和规则，现场裁判员有权中止其竞赛。</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5.在竞赛过程中，参赛选手不得故意干扰其他选手的竞赛。</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6.在竞赛中因非人为因素造成的设备故障，经设备检修工程师确认、经裁判员请示裁判长同意后，可将该参赛选手的竞赛时间相应补足。</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7.参赛选手有义务参加赛项执委会组织的座谈、报告会、采访等活动。</w:t>
      </w:r>
    </w:p>
    <w:p>
      <w:pPr>
        <w:spacing w:line="560" w:lineRule="exact"/>
        <w:ind w:firstLine="600" w:firstLineChars="200"/>
        <w:rPr>
          <w:rFonts w:ascii="楷体" w:hAnsi="楷体" w:eastAsia="楷体" w:cs="楷体"/>
          <w:sz w:val="30"/>
          <w:szCs w:val="30"/>
        </w:rPr>
      </w:pPr>
      <w:r>
        <w:rPr>
          <w:rFonts w:hint="eastAsia" w:ascii="楷体" w:hAnsi="楷体" w:eastAsia="楷体" w:cs="楷体"/>
          <w:sz w:val="30"/>
          <w:szCs w:val="30"/>
        </w:rPr>
        <w:t>（三）工作人员须知</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1.树立服务观念，一切为参赛选手着想，以高度负责的精神、严肃认真的态度和严谨细致的作风，圆满完成本职任务。</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2.注意文明礼貌，保持良好形象，明确职责，规范言行。</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3.积极参加有关的培训、学习，规范上岗、规范工作。</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4.赛前60分钟到达赛场，严守工作岗位，不迟到，不早退，不无故离岗，特殊情况需向赛项执委会请假。</w:t>
      </w:r>
    </w:p>
    <w:p>
      <w:pPr>
        <w:spacing w:line="560" w:lineRule="exact"/>
        <w:ind w:firstLine="600" w:firstLineChars="200"/>
        <w:rPr>
          <w:rFonts w:ascii="仿宋_GB2312" w:hAnsi="仿宋" w:eastAsia="仿宋_GB2312" w:cs="仿宋"/>
          <w:sz w:val="30"/>
          <w:szCs w:val="30"/>
        </w:rPr>
      </w:pPr>
      <w:r>
        <w:rPr>
          <w:rFonts w:hint="eastAsia" w:ascii="仿宋_GB2312" w:hAnsi="仿宋" w:eastAsia="仿宋_GB2312" w:cs="仿宋"/>
          <w:sz w:val="30"/>
          <w:szCs w:val="30"/>
        </w:rPr>
        <w:t>5.严格按照工作程序和有关规定办事，如遇突发事件，应按照安全工作预案，组织指挥人员疏散，确保人员安全。</w:t>
      </w:r>
    </w:p>
    <w:p>
      <w:pPr>
        <w:spacing w:line="560" w:lineRule="exact"/>
        <w:ind w:firstLine="600" w:firstLineChars="200"/>
        <w:rPr>
          <w:rFonts w:hint="eastAsia" w:ascii="仿宋_GB2312" w:hAnsi="仿宋" w:eastAsia="仿宋_GB2312" w:cs="仿宋"/>
          <w:sz w:val="30"/>
          <w:szCs w:val="30"/>
        </w:rPr>
      </w:pPr>
      <w:r>
        <w:rPr>
          <w:rFonts w:hint="eastAsia" w:ascii="仿宋_GB2312" w:hAnsi="仿宋" w:eastAsia="仿宋_GB2312" w:cs="仿宋"/>
          <w:sz w:val="30"/>
          <w:szCs w:val="30"/>
        </w:rPr>
        <w:t>6.保持通信畅通，服从统一领导，遵守竞赛纪律，加强协作配合，提高工作效率。</w:t>
      </w:r>
    </w:p>
    <w:p>
      <w:pPr>
        <w:autoSpaceDE w:val="0"/>
        <w:autoSpaceDN w:val="0"/>
        <w:adjustRightInd w:val="0"/>
        <w:spacing w:line="560" w:lineRule="exact"/>
        <w:ind w:firstLine="600" w:firstLineChars="200"/>
        <w:jc w:val="left"/>
        <w:rPr>
          <w:rFonts w:hint="eastAsia" w:ascii="Times New Roman" w:hAnsi="黑体" w:eastAsia="黑体" w:cs="Times New Roman"/>
          <w:sz w:val="30"/>
          <w:szCs w:val="30"/>
        </w:rPr>
      </w:pPr>
      <w:r>
        <w:rPr>
          <w:rFonts w:hint="eastAsia" w:ascii="Times New Roman" w:hAnsi="黑体" w:eastAsia="黑体" w:cs="Times New Roman"/>
          <w:sz w:val="30"/>
          <w:szCs w:val="30"/>
        </w:rPr>
        <w:t>十七、竞赛观摩</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赛场内设定观摩区域和参观路线，向媒体、企业代表、院校师生及家长等社会公众开放，观摩区域自开幕式开始开放，直至闭幕式结束。不允许有大声喧哗等影响参赛选手竞赛的行为发生。指导教师可进入赛场观摩区观摩，但不能进入赛场内指导。赛场外设立展览展示区域，配专人接待讲解。为保证大赛顺利进行，观摩人员在观摩期间应遵循以下规则：</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1.除与竞赛直接有关工作人员、裁判员、参赛选手外，其余人员均为观摩观众。</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2.禁止在观摩区大声喧哗。</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3.禁止在观摩区使用相机、摄影机等一切对比赛正常进行造成干扰的带有闪光灯及快门音的设备。</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4.不得违反 2023-2024 年全国职业院校技能大赛规定的各项纪律。</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 xml:space="preserve">5.保持观摩区清洁，将饮料食品包装及其他杂物扔进垃圾箱。 </w:t>
      </w:r>
    </w:p>
    <w:p>
      <w:pPr>
        <w:spacing w:line="560" w:lineRule="exact"/>
        <w:ind w:firstLine="600" w:firstLineChars="2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6.如对裁判裁决产生质疑的，请通过各参赛队领队向赛项监督仲裁委员会提出。</w:t>
      </w:r>
    </w:p>
    <w:p>
      <w:pPr>
        <w:pStyle w:val="2"/>
        <w:rPr>
          <w:rFonts w:hint="eastAsia" w:ascii="方正黑体_GBK" w:hAnsi="方正黑体_GBK" w:eastAsia="方正黑体_GBK" w:cs="方正黑体_GBK"/>
          <w:sz w:val="30"/>
          <w:szCs w:val="30"/>
        </w:rPr>
      </w:pPr>
    </w:p>
    <w:p>
      <w:pPr>
        <w:pStyle w:val="13"/>
        <w:ind w:firstLine="600"/>
        <w:rPr>
          <w:rFonts w:ascii="Times New Roman" w:hAnsi="Times New Roman" w:eastAsia="仿宋_GB2312" w:cs="Times New Roman"/>
          <w:sz w:val="30"/>
          <w:szCs w:val="30"/>
        </w:rPr>
      </w:pPr>
    </w:p>
    <w:p>
      <w:pPr>
        <w:pStyle w:val="13"/>
        <w:ind w:firstLine="600"/>
        <w:rPr>
          <w:rFonts w:ascii="Times New Roman" w:hAnsi="Times New Roman" w:eastAsia="仿宋_GB2312" w:cs="Times New Roman"/>
          <w:sz w:val="30"/>
          <w:szCs w:val="30"/>
        </w:rPr>
      </w:pPr>
    </w:p>
    <w:p>
      <w:pPr>
        <w:pStyle w:val="13"/>
        <w:ind w:firstLine="600"/>
        <w:rPr>
          <w:rFonts w:ascii="Times New Roman" w:hAnsi="Times New Roman" w:eastAsia="仿宋_GB2312" w:cs="Times New Roman"/>
          <w:sz w:val="30"/>
          <w:szCs w:val="30"/>
        </w:rPr>
      </w:pPr>
    </w:p>
    <w:p>
      <w:pPr>
        <w:pStyle w:val="13"/>
        <w:ind w:firstLine="600"/>
        <w:rPr>
          <w:rFonts w:ascii="Times New Roman" w:hAnsi="Times New Roman" w:eastAsia="仿宋_GB2312" w:cs="Times New Roman"/>
          <w:sz w:val="30"/>
          <w:szCs w:val="30"/>
        </w:rPr>
      </w:pPr>
    </w:p>
    <w:p>
      <w:pPr>
        <w:pStyle w:val="13"/>
        <w:ind w:firstLine="0" w:firstLineChars="0"/>
        <w:rPr>
          <w:rFonts w:ascii="Times New Roman" w:hAnsi="Times New Roman" w:eastAsia="仿宋_GB2312" w:cs="Times New Roman"/>
          <w:sz w:val="30"/>
          <w:szCs w:val="30"/>
        </w:rPr>
        <w:sectPr>
          <w:footerReference r:id="rId3" w:type="default"/>
          <w:pgSz w:w="11910" w:h="16840"/>
          <w:pgMar w:top="2098" w:right="1247" w:bottom="1985" w:left="1361" w:header="0" w:footer="1123" w:gutter="0"/>
          <w:cols w:space="720" w:num="1"/>
        </w:sectPr>
      </w:pPr>
    </w:p>
    <w:p>
      <w:pPr>
        <w:spacing w:line="560" w:lineRule="exact"/>
      </w:pPr>
      <w:r>
        <w:rPr>
          <w:rFonts w:hint="eastAsia" w:ascii="仿宋" w:hAnsi="仿宋" w:eastAsia="仿宋" w:cs="仿宋"/>
          <w:sz w:val="30"/>
          <w:szCs w:val="30"/>
        </w:rPr>
        <w:t>附件：评分标准</w:t>
      </w:r>
    </w:p>
    <w:p>
      <w:pPr>
        <w:jc w:val="center"/>
        <w:rPr>
          <w:rFonts w:ascii="Times New Roman" w:hAnsi="Times New Roman"/>
        </w:rPr>
      </w:pPr>
      <w:r>
        <w:rPr>
          <w:rFonts w:ascii="Times New Roman" w:hAnsi="Times New Roman" w:eastAsia="黑体"/>
          <w:b/>
          <w:bCs/>
          <w:color w:val="000000"/>
          <w:kern w:val="0"/>
          <w:sz w:val="28"/>
          <w:szCs w:val="28"/>
          <w:shd w:val="clear" w:color="auto" w:fill="FFFFFF"/>
          <w:lang w:bidi="ar"/>
        </w:rPr>
        <w:t>模块一：教育案例分析  评分标准</w:t>
      </w:r>
    </w:p>
    <w:tbl>
      <w:tblPr>
        <w:tblStyle w:val="14"/>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27"/>
        <w:gridCol w:w="8095"/>
        <w:gridCol w:w="863"/>
        <w:gridCol w:w="951"/>
        <w:gridCol w:w="1031"/>
        <w:gridCol w:w="1009"/>
        <w:gridCol w:w="76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1" w:hRule="atLeast"/>
          <w:jc w:val="center"/>
        </w:trPr>
        <w:tc>
          <w:tcPr>
            <w:tcW w:w="17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选手编号</w:t>
            </w:r>
          </w:p>
        </w:tc>
        <w:tc>
          <w:tcPr>
            <w:tcW w:w="8095" w:type="dxa"/>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p>
        </w:tc>
        <w:tc>
          <w:tcPr>
            <w:tcW w:w="3854" w:type="dxa"/>
            <w:gridSpan w:val="4"/>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等级</w:t>
            </w:r>
          </w:p>
        </w:tc>
        <w:tc>
          <w:tcPr>
            <w:tcW w:w="764" w:type="dxa"/>
            <w:vMerge w:val="restart"/>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1" w:hRule="atLeast"/>
          <w:jc w:val="center"/>
        </w:trPr>
        <w:tc>
          <w:tcPr>
            <w:tcW w:w="17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指标</w:t>
            </w:r>
          </w:p>
        </w:tc>
        <w:tc>
          <w:tcPr>
            <w:tcW w:w="8095"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评分标准</w:t>
            </w:r>
          </w:p>
        </w:tc>
        <w:tc>
          <w:tcPr>
            <w:tcW w:w="863"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较差</w:t>
            </w:r>
          </w:p>
        </w:tc>
        <w:tc>
          <w:tcPr>
            <w:tcW w:w="95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一般</w:t>
            </w:r>
          </w:p>
        </w:tc>
        <w:tc>
          <w:tcPr>
            <w:tcW w:w="103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良好</w:t>
            </w:r>
          </w:p>
        </w:tc>
        <w:tc>
          <w:tcPr>
            <w:tcW w:w="1009"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优秀</w:t>
            </w:r>
          </w:p>
        </w:tc>
        <w:tc>
          <w:tcPr>
            <w:tcW w:w="764" w:type="dxa"/>
            <w:vMerge w:val="continue"/>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3" w:hRule="atLeast"/>
          <w:jc w:val="center"/>
        </w:trPr>
        <w:tc>
          <w:tcPr>
            <w:tcW w:w="1727" w:type="dxa"/>
            <w:tcBorders>
              <w:tl2br w:val="nil"/>
              <w:tr2bl w:val="nil"/>
            </w:tcBorders>
            <w:vAlign w:val="center"/>
          </w:tcPr>
          <w:p>
            <w:pPr>
              <w:adjustRightInd w:val="0"/>
              <w:snapToGrid w:val="0"/>
              <w:spacing w:line="36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结构清晰完整（20分）</w:t>
            </w:r>
          </w:p>
        </w:tc>
        <w:tc>
          <w:tcPr>
            <w:tcW w:w="8095" w:type="dxa"/>
            <w:tcBorders>
              <w:tl2br w:val="nil"/>
              <w:tr2bl w:val="nil"/>
            </w:tcBorders>
          </w:tcPr>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1.层次清晰，结构完整。案例分析应包括：事件分析、解决方案和工作启示三个部分</w:t>
            </w:r>
          </w:p>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2.能充分凸显发现问题、分析问题、解决问题的基本思路。结合教育政策要求，教育学、心理学相关理论以及高校工作实际深入分析说明问题</w:t>
            </w:r>
          </w:p>
        </w:tc>
        <w:tc>
          <w:tcPr>
            <w:tcW w:w="863"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0-11</w:t>
            </w:r>
          </w:p>
        </w:tc>
        <w:tc>
          <w:tcPr>
            <w:tcW w:w="95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12-14</w:t>
            </w:r>
          </w:p>
        </w:tc>
        <w:tc>
          <w:tcPr>
            <w:tcW w:w="103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15-17</w:t>
            </w:r>
          </w:p>
        </w:tc>
        <w:tc>
          <w:tcPr>
            <w:tcW w:w="1009"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18-20</w:t>
            </w:r>
          </w:p>
        </w:tc>
        <w:tc>
          <w:tcPr>
            <w:tcW w:w="764" w:type="dxa"/>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80" w:hRule="atLeast"/>
          <w:jc w:val="center"/>
        </w:trPr>
        <w:tc>
          <w:tcPr>
            <w:tcW w:w="1727" w:type="dxa"/>
            <w:tcBorders>
              <w:tl2br w:val="nil"/>
              <w:tr2bl w:val="nil"/>
            </w:tcBorders>
            <w:vAlign w:val="center"/>
          </w:tcPr>
          <w:p>
            <w:pPr>
              <w:adjustRightInd w:val="0"/>
              <w:snapToGrid w:val="0"/>
              <w:spacing w:line="36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表达通顺准确（20分）</w:t>
            </w:r>
          </w:p>
        </w:tc>
        <w:tc>
          <w:tcPr>
            <w:tcW w:w="8095" w:type="dxa"/>
            <w:tcBorders>
              <w:tl2br w:val="nil"/>
              <w:tr2bl w:val="nil"/>
            </w:tcBorders>
          </w:tcPr>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1.文字通顺、准确，语法规范，无病句</w:t>
            </w:r>
          </w:p>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2.达到规定字数要求（不少于1000字）</w:t>
            </w:r>
          </w:p>
        </w:tc>
        <w:tc>
          <w:tcPr>
            <w:tcW w:w="863"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0-11</w:t>
            </w:r>
          </w:p>
        </w:tc>
        <w:tc>
          <w:tcPr>
            <w:tcW w:w="95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12-14</w:t>
            </w:r>
          </w:p>
        </w:tc>
        <w:tc>
          <w:tcPr>
            <w:tcW w:w="103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15-17</w:t>
            </w:r>
          </w:p>
        </w:tc>
        <w:tc>
          <w:tcPr>
            <w:tcW w:w="1009"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18-20</w:t>
            </w:r>
          </w:p>
        </w:tc>
        <w:tc>
          <w:tcPr>
            <w:tcW w:w="764" w:type="dxa"/>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41" w:hRule="atLeast"/>
          <w:jc w:val="center"/>
        </w:trPr>
        <w:tc>
          <w:tcPr>
            <w:tcW w:w="1727" w:type="dxa"/>
            <w:tcBorders>
              <w:tl2br w:val="nil"/>
              <w:tr2bl w:val="nil"/>
            </w:tcBorders>
            <w:vAlign w:val="center"/>
          </w:tcPr>
          <w:p>
            <w:pPr>
              <w:adjustRightInd w:val="0"/>
              <w:snapToGrid w:val="0"/>
              <w:spacing w:line="36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观点正确鲜明（25分）</w:t>
            </w:r>
          </w:p>
        </w:tc>
        <w:tc>
          <w:tcPr>
            <w:tcW w:w="8095" w:type="dxa"/>
            <w:tcBorders>
              <w:tl2br w:val="nil"/>
              <w:tr2bl w:val="nil"/>
            </w:tcBorders>
          </w:tcPr>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1.准确理解把握案例特点，能结合工作实际抓住关键要素，发现并提出自己的观点</w:t>
            </w:r>
          </w:p>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2.观点符合新时代高校育人的相关要求，贯彻“立德树人”“以生为本”等教育理念，坚持正确的观念导向</w:t>
            </w:r>
          </w:p>
        </w:tc>
        <w:tc>
          <w:tcPr>
            <w:tcW w:w="863"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0-14</w:t>
            </w:r>
          </w:p>
        </w:tc>
        <w:tc>
          <w:tcPr>
            <w:tcW w:w="95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15-17</w:t>
            </w:r>
          </w:p>
        </w:tc>
        <w:tc>
          <w:tcPr>
            <w:tcW w:w="103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18-21</w:t>
            </w:r>
          </w:p>
        </w:tc>
        <w:tc>
          <w:tcPr>
            <w:tcW w:w="1009"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22-25</w:t>
            </w:r>
          </w:p>
        </w:tc>
        <w:tc>
          <w:tcPr>
            <w:tcW w:w="764" w:type="dxa"/>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47" w:hRule="atLeast"/>
          <w:jc w:val="center"/>
        </w:trPr>
        <w:tc>
          <w:tcPr>
            <w:tcW w:w="1727" w:type="dxa"/>
            <w:tcBorders>
              <w:tl2br w:val="nil"/>
              <w:tr2bl w:val="nil"/>
            </w:tcBorders>
            <w:vAlign w:val="center"/>
          </w:tcPr>
          <w:p>
            <w:pPr>
              <w:adjustRightInd w:val="0"/>
              <w:snapToGrid w:val="0"/>
              <w:spacing w:line="36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分析全面透彻（35分）</w:t>
            </w:r>
          </w:p>
        </w:tc>
        <w:tc>
          <w:tcPr>
            <w:tcW w:w="8095" w:type="dxa"/>
            <w:tcBorders>
              <w:tl2br w:val="nil"/>
              <w:tr2bl w:val="nil"/>
            </w:tcBorders>
          </w:tcPr>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1.能够快速分析聚焦问题本质</w:t>
            </w:r>
          </w:p>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2.能够结合教育教学理论，依据案例特征，提出解决思路和可操作性强的解决方案，处理方式科学得当</w:t>
            </w:r>
          </w:p>
          <w:p>
            <w:pPr>
              <w:adjustRightInd w:val="0"/>
              <w:snapToGrid w:val="0"/>
              <w:spacing w:line="36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3.能够提出该案例对高校教育教学工作中其他类似问题的启示</w:t>
            </w:r>
          </w:p>
        </w:tc>
        <w:tc>
          <w:tcPr>
            <w:tcW w:w="863"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0-20</w:t>
            </w:r>
          </w:p>
        </w:tc>
        <w:tc>
          <w:tcPr>
            <w:tcW w:w="95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21-25</w:t>
            </w:r>
          </w:p>
        </w:tc>
        <w:tc>
          <w:tcPr>
            <w:tcW w:w="1031"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26-30</w:t>
            </w:r>
          </w:p>
        </w:tc>
        <w:tc>
          <w:tcPr>
            <w:tcW w:w="1009"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31-35</w:t>
            </w:r>
          </w:p>
        </w:tc>
        <w:tc>
          <w:tcPr>
            <w:tcW w:w="764" w:type="dxa"/>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7" w:hRule="atLeast"/>
          <w:jc w:val="center"/>
        </w:trPr>
        <w:tc>
          <w:tcPr>
            <w:tcW w:w="9822" w:type="dxa"/>
            <w:gridSpan w:val="2"/>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合计得分</w:t>
            </w:r>
          </w:p>
        </w:tc>
        <w:tc>
          <w:tcPr>
            <w:tcW w:w="4618" w:type="dxa"/>
            <w:gridSpan w:val="5"/>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26" w:hRule="atLeast"/>
          <w:jc w:val="center"/>
        </w:trPr>
        <w:tc>
          <w:tcPr>
            <w:tcW w:w="14440" w:type="dxa"/>
            <w:gridSpan w:val="7"/>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裁判员签名：</w:t>
            </w:r>
          </w:p>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xml:space="preserve">                                                                                    日期：       年     月     日</w:t>
            </w:r>
          </w:p>
        </w:tc>
      </w:tr>
    </w:tbl>
    <w:p>
      <w:pPr>
        <w:jc w:val="center"/>
        <w:rPr>
          <w:rFonts w:ascii="Times New Roman" w:hAnsi="Times New Roman"/>
        </w:rPr>
      </w:pPr>
      <w:r>
        <w:rPr>
          <w:rFonts w:ascii="Times New Roman" w:hAnsi="Times New Roman" w:eastAsia="黑体"/>
          <w:b/>
          <w:bCs/>
          <w:color w:val="000000"/>
          <w:kern w:val="0"/>
          <w:sz w:val="28"/>
          <w:szCs w:val="28"/>
          <w:shd w:val="clear" w:color="auto" w:fill="FFFFFF"/>
          <w:lang w:bidi="ar"/>
        </w:rPr>
        <w:t>模块二：模拟课堂教学及说课  评分标准</w:t>
      </w:r>
    </w:p>
    <w:tbl>
      <w:tblPr>
        <w:tblStyle w:val="14"/>
        <w:tblW w:w="1451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127"/>
        <w:gridCol w:w="6745"/>
        <w:gridCol w:w="845"/>
        <w:gridCol w:w="955"/>
        <w:gridCol w:w="1064"/>
        <w:gridCol w:w="1027"/>
        <w:gridCol w:w="75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74"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选手编号</w:t>
            </w:r>
          </w:p>
        </w:tc>
        <w:tc>
          <w:tcPr>
            <w:tcW w:w="6745"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p>
        </w:tc>
        <w:tc>
          <w:tcPr>
            <w:tcW w:w="3891" w:type="dxa"/>
            <w:gridSpan w:val="4"/>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等级</w:t>
            </w:r>
          </w:p>
        </w:tc>
        <w:tc>
          <w:tcPr>
            <w:tcW w:w="755" w:type="dxa"/>
            <w:vMerge w:val="restart"/>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54"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指标</w:t>
            </w:r>
          </w:p>
        </w:tc>
        <w:tc>
          <w:tcPr>
            <w:tcW w:w="6745"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评分标准</w:t>
            </w:r>
          </w:p>
        </w:tc>
        <w:tc>
          <w:tcPr>
            <w:tcW w:w="845"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较差</w:t>
            </w:r>
          </w:p>
        </w:tc>
        <w:tc>
          <w:tcPr>
            <w:tcW w:w="955"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一般</w:t>
            </w:r>
          </w:p>
        </w:tc>
        <w:tc>
          <w:tcPr>
            <w:tcW w:w="1064"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良好</w:t>
            </w:r>
          </w:p>
        </w:tc>
        <w:tc>
          <w:tcPr>
            <w:tcW w:w="10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优秀</w:t>
            </w:r>
          </w:p>
        </w:tc>
        <w:tc>
          <w:tcPr>
            <w:tcW w:w="755" w:type="dxa"/>
            <w:vMerge w:val="continue"/>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463"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撰写教学方案</w:t>
            </w:r>
          </w:p>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（30分）</w:t>
            </w:r>
          </w:p>
        </w:tc>
        <w:tc>
          <w:tcPr>
            <w:tcW w:w="6745" w:type="dxa"/>
            <w:tcBorders>
              <w:tl2br w:val="nil"/>
              <w:tr2bl w:val="nil"/>
            </w:tcBorders>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1.教学目标符合课标要求和学生情况</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2.教材内容处理得当，教学任务具体明确</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3.有效整合教学资源，注重课程思政</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4.教学设计逻辑性强，时间安排合理</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5.教学设计有创新，提升教学效果</w:t>
            </w:r>
          </w:p>
        </w:tc>
        <w:tc>
          <w:tcPr>
            <w:tcW w:w="84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0-20</w:t>
            </w:r>
          </w:p>
        </w:tc>
        <w:tc>
          <w:tcPr>
            <w:tcW w:w="95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21-23</w:t>
            </w:r>
          </w:p>
        </w:tc>
        <w:tc>
          <w:tcPr>
            <w:tcW w:w="1064"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24-26</w:t>
            </w:r>
          </w:p>
        </w:tc>
        <w:tc>
          <w:tcPr>
            <w:tcW w:w="1027"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27-30</w:t>
            </w:r>
          </w:p>
        </w:tc>
        <w:tc>
          <w:tcPr>
            <w:tcW w:w="755" w:type="dxa"/>
            <w:tcBorders>
              <w:tl2br w:val="nil"/>
              <w:tr2bl w:val="nil"/>
            </w:tcBorders>
            <w:vAlign w:val="center"/>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865"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制作教学课件和说课课件（20分）</w:t>
            </w:r>
          </w:p>
        </w:tc>
        <w:tc>
          <w:tcPr>
            <w:tcW w:w="6745" w:type="dxa"/>
            <w:tcBorders>
              <w:tl2br w:val="nil"/>
              <w:tr2bl w:val="nil"/>
            </w:tcBorders>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1.课件辅助教学效果好</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2.课件操作方便、播放流畅</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3.课件设计美观大方、布局合理</w:t>
            </w:r>
          </w:p>
        </w:tc>
        <w:tc>
          <w:tcPr>
            <w:tcW w:w="84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0-11</w:t>
            </w:r>
          </w:p>
        </w:tc>
        <w:tc>
          <w:tcPr>
            <w:tcW w:w="95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12-14</w:t>
            </w:r>
          </w:p>
        </w:tc>
        <w:tc>
          <w:tcPr>
            <w:tcW w:w="1064"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15-17</w:t>
            </w:r>
          </w:p>
        </w:tc>
        <w:tc>
          <w:tcPr>
            <w:tcW w:w="1027"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18-20</w:t>
            </w:r>
          </w:p>
        </w:tc>
        <w:tc>
          <w:tcPr>
            <w:tcW w:w="755" w:type="dxa"/>
            <w:tcBorders>
              <w:tl2br w:val="nil"/>
              <w:tr2bl w:val="nil"/>
            </w:tcBorders>
            <w:vAlign w:val="center"/>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1016"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模拟课堂教学</w:t>
            </w:r>
          </w:p>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（30分）</w:t>
            </w:r>
          </w:p>
        </w:tc>
        <w:tc>
          <w:tcPr>
            <w:tcW w:w="6745" w:type="dxa"/>
            <w:tcBorders>
              <w:tl2br w:val="nil"/>
              <w:tr2bl w:val="nil"/>
            </w:tcBorders>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1.教学启发性强，学生积极主动参与活动</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2.教学方法选择合理有效，重难点突出</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3.教学评价合理反馈及时</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4.教学板书设计科学合理</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5.精神面貌良好，教学基本功扎实</w:t>
            </w:r>
          </w:p>
        </w:tc>
        <w:tc>
          <w:tcPr>
            <w:tcW w:w="84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0-20</w:t>
            </w:r>
          </w:p>
        </w:tc>
        <w:tc>
          <w:tcPr>
            <w:tcW w:w="95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21-23</w:t>
            </w:r>
          </w:p>
        </w:tc>
        <w:tc>
          <w:tcPr>
            <w:tcW w:w="1064"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24-26</w:t>
            </w:r>
          </w:p>
        </w:tc>
        <w:tc>
          <w:tcPr>
            <w:tcW w:w="1027"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27-30</w:t>
            </w:r>
          </w:p>
        </w:tc>
        <w:tc>
          <w:tcPr>
            <w:tcW w:w="755" w:type="dxa"/>
            <w:tcBorders>
              <w:tl2br w:val="nil"/>
              <w:tr2bl w:val="nil"/>
            </w:tcBorders>
            <w:vAlign w:val="center"/>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964" w:hRule="atLeast"/>
          <w:jc w:val="center"/>
        </w:trPr>
        <w:tc>
          <w:tcPr>
            <w:tcW w:w="3127" w:type="dxa"/>
            <w:tcBorders>
              <w:tl2br w:val="nil"/>
              <w:tr2bl w:val="nil"/>
            </w:tcBorders>
            <w:vAlign w:val="center"/>
          </w:tcPr>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说课</w:t>
            </w:r>
          </w:p>
          <w:p>
            <w:pPr>
              <w:adjustRightInd w:val="0"/>
              <w:snapToGrid w:val="0"/>
              <w:spacing w:line="38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（20分）</w:t>
            </w:r>
          </w:p>
        </w:tc>
        <w:tc>
          <w:tcPr>
            <w:tcW w:w="6745" w:type="dxa"/>
            <w:tcBorders>
              <w:tl2br w:val="nil"/>
              <w:tr2bl w:val="nil"/>
            </w:tcBorders>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1.说清教材，重难点把握准确</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2.学情分析准确，教学目标合理</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3.教学环节设计具有逻辑性，创新性，教学方法选择合理</w:t>
            </w:r>
          </w:p>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4.教学反思有深度</w:t>
            </w:r>
          </w:p>
        </w:tc>
        <w:tc>
          <w:tcPr>
            <w:tcW w:w="84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0-11</w:t>
            </w:r>
          </w:p>
        </w:tc>
        <w:tc>
          <w:tcPr>
            <w:tcW w:w="955"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12-14</w:t>
            </w:r>
          </w:p>
        </w:tc>
        <w:tc>
          <w:tcPr>
            <w:tcW w:w="1064"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15-17</w:t>
            </w:r>
          </w:p>
        </w:tc>
        <w:tc>
          <w:tcPr>
            <w:tcW w:w="1027" w:type="dxa"/>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18-20</w:t>
            </w:r>
          </w:p>
        </w:tc>
        <w:tc>
          <w:tcPr>
            <w:tcW w:w="755" w:type="dxa"/>
            <w:tcBorders>
              <w:tl2br w:val="nil"/>
              <w:tr2bl w:val="nil"/>
            </w:tcBorders>
            <w:vAlign w:val="center"/>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522" w:hRule="atLeast"/>
          <w:jc w:val="center"/>
        </w:trPr>
        <w:tc>
          <w:tcPr>
            <w:tcW w:w="9872" w:type="dxa"/>
            <w:gridSpan w:val="2"/>
            <w:tcBorders>
              <w:tl2br w:val="nil"/>
              <w:tr2bl w:val="nil"/>
            </w:tcBorders>
            <w:vAlign w:val="center"/>
          </w:tcPr>
          <w:p>
            <w:pPr>
              <w:adjustRightInd w:val="0"/>
              <w:snapToGrid w:val="0"/>
              <w:spacing w:line="340" w:lineRule="exact"/>
              <w:jc w:val="center"/>
              <w:rPr>
                <w:rFonts w:ascii="仿宋" w:hAnsi="仿宋" w:eastAsia="仿宋" w:cs="仿宋"/>
                <w:bCs/>
                <w:kern w:val="0"/>
                <w:sz w:val="24"/>
                <w:szCs w:val="24"/>
                <w:lang w:bidi="ar"/>
              </w:rPr>
            </w:pPr>
            <w:r>
              <w:rPr>
                <w:rFonts w:hint="eastAsia" w:ascii="仿宋" w:hAnsi="仿宋" w:eastAsia="仿宋" w:cs="仿宋"/>
                <w:bCs/>
                <w:kern w:val="0"/>
                <w:sz w:val="24"/>
                <w:szCs w:val="24"/>
                <w:lang w:bidi="ar"/>
              </w:rPr>
              <w:t>合计得分</w:t>
            </w:r>
          </w:p>
        </w:tc>
        <w:tc>
          <w:tcPr>
            <w:tcW w:w="4646" w:type="dxa"/>
            <w:gridSpan w:val="5"/>
            <w:tcBorders>
              <w:tl2br w:val="nil"/>
              <w:tr2bl w:val="nil"/>
            </w:tcBorders>
            <w:vAlign w:val="center"/>
          </w:tcPr>
          <w:p>
            <w:pPr>
              <w:adjustRightInd w:val="0"/>
              <w:snapToGrid w:val="0"/>
              <w:spacing w:line="34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339" w:hRule="atLeast"/>
          <w:jc w:val="center"/>
        </w:trPr>
        <w:tc>
          <w:tcPr>
            <w:tcW w:w="14518" w:type="dxa"/>
            <w:gridSpan w:val="7"/>
            <w:tcBorders>
              <w:tl2br w:val="nil"/>
              <w:tr2bl w:val="nil"/>
            </w:tcBorders>
            <w:vAlign w:val="center"/>
          </w:tcPr>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xml:space="preserve">裁判员签名：                  </w:t>
            </w:r>
          </w:p>
          <w:p>
            <w:pPr>
              <w:adjustRightInd w:val="0"/>
              <w:snapToGrid w:val="0"/>
              <w:spacing w:line="380" w:lineRule="exact"/>
              <w:jc w:val="left"/>
              <w:rPr>
                <w:rFonts w:ascii="仿宋" w:hAnsi="仿宋" w:eastAsia="仿宋" w:cs="仿宋"/>
                <w:bCs/>
                <w:kern w:val="0"/>
                <w:sz w:val="24"/>
                <w:szCs w:val="24"/>
                <w:lang w:bidi="ar"/>
              </w:rPr>
            </w:pPr>
            <w:r>
              <w:rPr>
                <w:rFonts w:hint="eastAsia" w:ascii="仿宋" w:hAnsi="仿宋" w:eastAsia="仿宋" w:cs="仿宋"/>
                <w:bCs/>
                <w:kern w:val="0"/>
                <w:sz w:val="24"/>
                <w:szCs w:val="24"/>
                <w:lang w:bidi="ar"/>
              </w:rPr>
              <w:t xml:space="preserve">                                                                                          日期：      年   月    日           </w:t>
            </w:r>
          </w:p>
        </w:tc>
      </w:tr>
    </w:tbl>
    <w:p>
      <w:pPr>
        <w:widowControl/>
        <w:spacing w:after="159" w:afterLines="50"/>
        <w:jc w:val="left"/>
        <w:rPr>
          <w:rFonts w:ascii="Times New Roman" w:hAnsi="Times New Roman" w:eastAsia="楷体_GB2312"/>
          <w:b/>
          <w:bCs/>
          <w:sz w:val="32"/>
        </w:rPr>
        <w:sectPr>
          <w:pgSz w:w="16838" w:h="11906" w:orient="landscape"/>
          <w:pgMar w:top="1519" w:right="1242" w:bottom="1463" w:left="1315" w:header="851" w:footer="992" w:gutter="0"/>
          <w:cols w:space="0" w:num="1"/>
          <w:docGrid w:type="lines" w:linePitch="318" w:charSpace="0"/>
        </w:sectPr>
      </w:pPr>
    </w:p>
    <w:p>
      <w:pPr>
        <w:autoSpaceDE w:val="0"/>
        <w:autoSpaceDN w:val="0"/>
        <w:adjustRightInd w:val="0"/>
        <w:rPr>
          <w:rFonts w:ascii="Times New Roman" w:hAnsi="Times New Roman" w:eastAsia="仿宋_GB2312" w:cs="Times New Roman"/>
          <w:b/>
          <w:bCs/>
          <w:kern w:val="0"/>
          <w:sz w:val="30"/>
          <w:szCs w:val="30"/>
        </w:rPr>
      </w:pPr>
    </w:p>
    <w:sectPr>
      <w:footerReference r:id="rId4"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等线 Light">
    <w:altName w:val="仿宋"/>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ind w:left="0"/>
      <w:rPr>
        <w:sz w:val="12"/>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6277610</wp:posOffset>
              </wp:positionH>
              <wp:positionV relativeFrom="page">
                <wp:posOffset>9790430</wp:posOffset>
              </wp:positionV>
              <wp:extent cx="166370" cy="152400"/>
              <wp:effectExtent l="0" t="0" r="0" b="0"/>
              <wp:wrapNone/>
              <wp:docPr id="48" name="文本框 3"/>
              <wp:cNvGraphicFramePr/>
              <a:graphic xmlns:a="http://schemas.openxmlformats.org/drawingml/2006/main">
                <a:graphicData uri="http://schemas.microsoft.com/office/word/2010/wordprocessingShape">
                  <wps:wsp>
                    <wps:cNvSpPr txBox="true"/>
                    <wps:spPr>
                      <a:xfrm>
                        <a:off x="0" y="0"/>
                        <a:ext cx="166370" cy="152400"/>
                      </a:xfrm>
                      <a:prstGeom prst="rect">
                        <a:avLst/>
                      </a:prstGeom>
                      <a:noFill/>
                      <a:ln>
                        <a:noFill/>
                      </a:ln>
                      <a:effectLst/>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lIns="0" tIns="0" rIns="0" bIns="0" upright="true"/>
                  </wps:wsp>
                </a:graphicData>
              </a:graphic>
            </wp:anchor>
          </w:drawing>
        </mc:Choice>
        <mc:Fallback>
          <w:pict>
            <v:shape id="文本框 3" o:spid="_x0000_s1026" o:spt="202" type="#_x0000_t202" style="position:absolute;left:0pt;margin-left:494.3pt;margin-top:770.9pt;height:12pt;width:13.1pt;mso-position-horizontal-relative:page;mso-position-vertical-relative:page;z-index:-251657216;mso-width-relative:page;mso-height-relative:page;" filled="f" stroked="f" coordsize="21600,21600" o:gfxdata="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BjTiN3bAAAADgEAAA8AAAAAAAAAAQAgAAAAOAAAAGRycy9kb3ducmV2Lnht&#10;bFBLAQIUABQAAAAIAIdO4kBzq55opwEAADgDAAAOAAAAAAAAAAEAIAAAAEABAABkcnMvZTJvRG9j&#10;LnhtbFBLBQYAAAAABgAGAFkBAABZ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仿宋" w:hAnsi="仿宋" w:eastAsia="仿宋"/>
        <w:sz w:val="24"/>
        <w:szCs w:val="24"/>
      </w:rPr>
    </w:pPr>
    <w:sdt>
      <w:sdtPr>
        <w:id w:val="-1"/>
      </w:sdtPr>
      <w:sdtEndPr>
        <w:rPr>
          <w:rFonts w:ascii="仿宋" w:hAnsi="仿宋" w:eastAsia="仿宋"/>
          <w:sz w:val="24"/>
          <w:szCs w:val="24"/>
        </w:rPr>
      </w:sdtEndPr>
      <w:sdtContent>
        <w:r>
          <w:rPr>
            <w:rFonts w:hint="eastAsia" w:ascii="仿宋" w:hAnsi="仿宋" w:eastAsia="仿宋"/>
            <w:sz w:val="24"/>
            <w:szCs w:val="24"/>
          </w:rPr>
          <w:t>-</w:t>
        </w:r>
        <w:r>
          <w:rPr>
            <w:rFonts w:ascii="仿宋" w:hAnsi="仿宋" w:eastAsia="仿宋"/>
            <w:sz w:val="24"/>
            <w:szCs w:val="24"/>
          </w:rPr>
          <w:fldChar w:fldCharType="begin"/>
        </w:r>
        <w:r>
          <w:rPr>
            <w:rFonts w:ascii="仿宋" w:hAnsi="仿宋" w:eastAsia="仿宋"/>
            <w:sz w:val="24"/>
            <w:szCs w:val="24"/>
          </w:rPr>
          <w:instrText xml:space="preserve">PAGE   \* MERGEFORMAT</w:instrText>
        </w:r>
        <w:r>
          <w:rPr>
            <w:rFonts w:ascii="仿宋" w:hAnsi="仿宋" w:eastAsia="仿宋"/>
            <w:sz w:val="24"/>
            <w:szCs w:val="24"/>
          </w:rPr>
          <w:fldChar w:fldCharType="separate"/>
        </w:r>
        <w:r>
          <w:rPr>
            <w:rFonts w:ascii="仿宋" w:hAnsi="仿宋" w:eastAsia="仿宋"/>
            <w:sz w:val="24"/>
            <w:szCs w:val="24"/>
            <w:lang w:val="zh-CN"/>
          </w:rPr>
          <w:t>22</w:t>
        </w:r>
        <w:r>
          <w:rPr>
            <w:rFonts w:ascii="仿宋" w:hAnsi="仿宋" w:eastAsia="仿宋"/>
            <w:sz w:val="24"/>
            <w:szCs w:val="24"/>
          </w:rPr>
          <w:fldChar w:fldCharType="end"/>
        </w:r>
      </w:sdtContent>
    </w:sdt>
    <w:r>
      <w:rPr>
        <w:rFonts w:hint="eastAsia" w:ascii="仿宋" w:hAnsi="仿宋" w:eastAsia="仿宋"/>
        <w:sz w:val="24"/>
        <w:szCs w:val="24"/>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yNzE3M2FlMjcwM2E1MGI4MzI0YWFmZWY5NzE3NTQifQ=="/>
  </w:docVars>
  <w:rsids>
    <w:rsidRoot w:val="00386175"/>
    <w:rsid w:val="00014E7D"/>
    <w:rsid w:val="000201FD"/>
    <w:rsid w:val="00022426"/>
    <w:rsid w:val="00031404"/>
    <w:rsid w:val="000321B3"/>
    <w:rsid w:val="0003229E"/>
    <w:rsid w:val="00033583"/>
    <w:rsid w:val="0004101F"/>
    <w:rsid w:val="00052ADD"/>
    <w:rsid w:val="00065DBB"/>
    <w:rsid w:val="00067D20"/>
    <w:rsid w:val="00070084"/>
    <w:rsid w:val="0007586F"/>
    <w:rsid w:val="00080439"/>
    <w:rsid w:val="000864D2"/>
    <w:rsid w:val="00086965"/>
    <w:rsid w:val="000B195E"/>
    <w:rsid w:val="000B19F1"/>
    <w:rsid w:val="000C7EAE"/>
    <w:rsid w:val="000D3F2E"/>
    <w:rsid w:val="000E2317"/>
    <w:rsid w:val="000F2C9F"/>
    <w:rsid w:val="000F5A8B"/>
    <w:rsid w:val="00134A71"/>
    <w:rsid w:val="0014269C"/>
    <w:rsid w:val="00167F29"/>
    <w:rsid w:val="001725B2"/>
    <w:rsid w:val="00172755"/>
    <w:rsid w:val="00181909"/>
    <w:rsid w:val="001A42E3"/>
    <w:rsid w:val="001C276D"/>
    <w:rsid w:val="001E2F27"/>
    <w:rsid w:val="0020014E"/>
    <w:rsid w:val="00204858"/>
    <w:rsid w:val="00206D18"/>
    <w:rsid w:val="0024352C"/>
    <w:rsid w:val="00252B49"/>
    <w:rsid w:val="002607C9"/>
    <w:rsid w:val="00260EFB"/>
    <w:rsid w:val="00263A52"/>
    <w:rsid w:val="00270281"/>
    <w:rsid w:val="00284C8B"/>
    <w:rsid w:val="00284E0B"/>
    <w:rsid w:val="002B598E"/>
    <w:rsid w:val="002F18E8"/>
    <w:rsid w:val="00306652"/>
    <w:rsid w:val="00316FEA"/>
    <w:rsid w:val="00334503"/>
    <w:rsid w:val="0034453A"/>
    <w:rsid w:val="003501FA"/>
    <w:rsid w:val="00376F98"/>
    <w:rsid w:val="00386175"/>
    <w:rsid w:val="003C0C72"/>
    <w:rsid w:val="003E54B9"/>
    <w:rsid w:val="00406A2A"/>
    <w:rsid w:val="00416FEF"/>
    <w:rsid w:val="00420B5A"/>
    <w:rsid w:val="00430F63"/>
    <w:rsid w:val="00494EEF"/>
    <w:rsid w:val="004A273C"/>
    <w:rsid w:val="004E35E5"/>
    <w:rsid w:val="004F03E2"/>
    <w:rsid w:val="00502A98"/>
    <w:rsid w:val="00506679"/>
    <w:rsid w:val="005256D8"/>
    <w:rsid w:val="00566327"/>
    <w:rsid w:val="005679D6"/>
    <w:rsid w:val="00586454"/>
    <w:rsid w:val="00586698"/>
    <w:rsid w:val="005B1930"/>
    <w:rsid w:val="005C3F69"/>
    <w:rsid w:val="005D060B"/>
    <w:rsid w:val="005E0FF1"/>
    <w:rsid w:val="005E648C"/>
    <w:rsid w:val="005E6582"/>
    <w:rsid w:val="005F755D"/>
    <w:rsid w:val="00606602"/>
    <w:rsid w:val="00607AB9"/>
    <w:rsid w:val="00612D1A"/>
    <w:rsid w:val="0063094F"/>
    <w:rsid w:val="006632A0"/>
    <w:rsid w:val="00667EBF"/>
    <w:rsid w:val="00675B1F"/>
    <w:rsid w:val="00681C6D"/>
    <w:rsid w:val="006B1D0A"/>
    <w:rsid w:val="006B7EFF"/>
    <w:rsid w:val="006D7BD0"/>
    <w:rsid w:val="006D7CA4"/>
    <w:rsid w:val="007064F9"/>
    <w:rsid w:val="007277D9"/>
    <w:rsid w:val="0073104B"/>
    <w:rsid w:val="0073336E"/>
    <w:rsid w:val="00755446"/>
    <w:rsid w:val="00763A71"/>
    <w:rsid w:val="007653FF"/>
    <w:rsid w:val="0077315E"/>
    <w:rsid w:val="00776970"/>
    <w:rsid w:val="00790FB5"/>
    <w:rsid w:val="00795051"/>
    <w:rsid w:val="007E732B"/>
    <w:rsid w:val="00863720"/>
    <w:rsid w:val="00881E1F"/>
    <w:rsid w:val="00886C07"/>
    <w:rsid w:val="00892D0F"/>
    <w:rsid w:val="008A2D5C"/>
    <w:rsid w:val="008B63E1"/>
    <w:rsid w:val="008E6FD9"/>
    <w:rsid w:val="00900D0C"/>
    <w:rsid w:val="00915DCD"/>
    <w:rsid w:val="00926D8F"/>
    <w:rsid w:val="00944581"/>
    <w:rsid w:val="00955C73"/>
    <w:rsid w:val="009736B1"/>
    <w:rsid w:val="00981986"/>
    <w:rsid w:val="009B45C4"/>
    <w:rsid w:val="009B4A21"/>
    <w:rsid w:val="009C02A9"/>
    <w:rsid w:val="00A051FB"/>
    <w:rsid w:val="00A174BE"/>
    <w:rsid w:val="00A309EF"/>
    <w:rsid w:val="00A453C2"/>
    <w:rsid w:val="00AA4189"/>
    <w:rsid w:val="00AA63F2"/>
    <w:rsid w:val="00AB7B1B"/>
    <w:rsid w:val="00AE740E"/>
    <w:rsid w:val="00B01E05"/>
    <w:rsid w:val="00B02581"/>
    <w:rsid w:val="00B05BE2"/>
    <w:rsid w:val="00B12462"/>
    <w:rsid w:val="00B468FD"/>
    <w:rsid w:val="00B63364"/>
    <w:rsid w:val="00B651E4"/>
    <w:rsid w:val="00B76786"/>
    <w:rsid w:val="00B80E08"/>
    <w:rsid w:val="00B866AB"/>
    <w:rsid w:val="00B95F83"/>
    <w:rsid w:val="00BA111A"/>
    <w:rsid w:val="00BA4E91"/>
    <w:rsid w:val="00BC41CD"/>
    <w:rsid w:val="00BE0227"/>
    <w:rsid w:val="00BF08D4"/>
    <w:rsid w:val="00C15991"/>
    <w:rsid w:val="00C35D7D"/>
    <w:rsid w:val="00C46199"/>
    <w:rsid w:val="00C53D6C"/>
    <w:rsid w:val="00C729A4"/>
    <w:rsid w:val="00C97E81"/>
    <w:rsid w:val="00CA400C"/>
    <w:rsid w:val="00CE2E79"/>
    <w:rsid w:val="00CF3381"/>
    <w:rsid w:val="00D04BE4"/>
    <w:rsid w:val="00D10555"/>
    <w:rsid w:val="00D17B02"/>
    <w:rsid w:val="00D4554F"/>
    <w:rsid w:val="00D66568"/>
    <w:rsid w:val="00D66C54"/>
    <w:rsid w:val="00D71E86"/>
    <w:rsid w:val="00D73341"/>
    <w:rsid w:val="00D83749"/>
    <w:rsid w:val="00D839C6"/>
    <w:rsid w:val="00DC0624"/>
    <w:rsid w:val="00DC663F"/>
    <w:rsid w:val="00DD0F63"/>
    <w:rsid w:val="00DE3571"/>
    <w:rsid w:val="00E0242F"/>
    <w:rsid w:val="00E04AC5"/>
    <w:rsid w:val="00E32F34"/>
    <w:rsid w:val="00E35FD5"/>
    <w:rsid w:val="00E36B7D"/>
    <w:rsid w:val="00E73383"/>
    <w:rsid w:val="00E8415C"/>
    <w:rsid w:val="00E959A8"/>
    <w:rsid w:val="00EC1678"/>
    <w:rsid w:val="00F0162E"/>
    <w:rsid w:val="00F06AE1"/>
    <w:rsid w:val="00F071CA"/>
    <w:rsid w:val="00F212C4"/>
    <w:rsid w:val="00F2154C"/>
    <w:rsid w:val="00F26E63"/>
    <w:rsid w:val="00F41C9F"/>
    <w:rsid w:val="00F460E6"/>
    <w:rsid w:val="00F52036"/>
    <w:rsid w:val="00F8188D"/>
    <w:rsid w:val="00F836D0"/>
    <w:rsid w:val="00F85239"/>
    <w:rsid w:val="00F86BBF"/>
    <w:rsid w:val="00F93B4D"/>
    <w:rsid w:val="00F96216"/>
    <w:rsid w:val="00FA21F4"/>
    <w:rsid w:val="00FE676F"/>
    <w:rsid w:val="00FF4F79"/>
    <w:rsid w:val="072F1C30"/>
    <w:rsid w:val="11547649"/>
    <w:rsid w:val="12BE33E2"/>
    <w:rsid w:val="158711E6"/>
    <w:rsid w:val="17AD0A5F"/>
    <w:rsid w:val="17BC79BC"/>
    <w:rsid w:val="18E56167"/>
    <w:rsid w:val="1A392354"/>
    <w:rsid w:val="1B176E1F"/>
    <w:rsid w:val="1C73729D"/>
    <w:rsid w:val="1FEF6220"/>
    <w:rsid w:val="208E2D7B"/>
    <w:rsid w:val="212F0A93"/>
    <w:rsid w:val="24B34B34"/>
    <w:rsid w:val="24F0494D"/>
    <w:rsid w:val="26E96C29"/>
    <w:rsid w:val="28074216"/>
    <w:rsid w:val="28D30BF8"/>
    <w:rsid w:val="2F083133"/>
    <w:rsid w:val="31952B22"/>
    <w:rsid w:val="33866860"/>
    <w:rsid w:val="35E25836"/>
    <w:rsid w:val="37135007"/>
    <w:rsid w:val="37E42938"/>
    <w:rsid w:val="37E65505"/>
    <w:rsid w:val="3CA25AE5"/>
    <w:rsid w:val="3D313D2B"/>
    <w:rsid w:val="3D77000E"/>
    <w:rsid w:val="40253CAB"/>
    <w:rsid w:val="42F517F5"/>
    <w:rsid w:val="46171EC7"/>
    <w:rsid w:val="4DD13173"/>
    <w:rsid w:val="52965A56"/>
    <w:rsid w:val="54DF6509"/>
    <w:rsid w:val="5FA34D8E"/>
    <w:rsid w:val="5FFE8F46"/>
    <w:rsid w:val="63AA67B6"/>
    <w:rsid w:val="63E923DC"/>
    <w:rsid w:val="66825F08"/>
    <w:rsid w:val="680D2138"/>
    <w:rsid w:val="6A4678EF"/>
    <w:rsid w:val="6C7B5B70"/>
    <w:rsid w:val="6FE3230A"/>
    <w:rsid w:val="71991759"/>
    <w:rsid w:val="73F531FC"/>
    <w:rsid w:val="740955DA"/>
    <w:rsid w:val="740B1C44"/>
    <w:rsid w:val="7AFF8724"/>
    <w:rsid w:val="7DCF6C9E"/>
    <w:rsid w:val="7F923611"/>
    <w:rsid w:val="7FF62775"/>
    <w:rsid w:val="879F28AD"/>
    <w:rsid w:val="EA7BEFA2"/>
    <w:rsid w:val="F77D9CF7"/>
    <w:rsid w:val="FE3F15D6"/>
    <w:rsid w:val="FE775F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8"/>
    <w:qFormat/>
    <w:uiPriority w:val="9"/>
    <w:pPr>
      <w:keepNext/>
      <w:keepLines/>
      <w:spacing w:before="340" w:after="330" w:line="578" w:lineRule="auto"/>
      <w:outlineLvl w:val="0"/>
    </w:pPr>
    <w:rPr>
      <w:rFonts w:eastAsia="宋体"/>
      <w:b/>
      <w:bCs/>
      <w:kern w:val="44"/>
      <w:sz w:val="44"/>
      <w:szCs w:val="44"/>
    </w:rPr>
  </w:style>
  <w:style w:type="paragraph" w:styleId="5">
    <w:name w:val="heading 2"/>
    <w:basedOn w:val="1"/>
    <w:next w:val="1"/>
    <w:link w:val="19"/>
    <w:unhideWhenUsed/>
    <w:qFormat/>
    <w:uiPriority w:val="9"/>
    <w:pPr>
      <w:keepNext/>
      <w:keepLines/>
      <w:spacing w:before="260" w:after="260" w:line="416" w:lineRule="auto"/>
      <w:outlineLvl w:val="1"/>
    </w:pPr>
    <w:rPr>
      <w:rFonts w:eastAsia="宋体" w:asciiTheme="majorHAnsi" w:hAnsiTheme="majorHAnsi" w:cstheme="majorBidi"/>
      <w:b/>
      <w:bCs/>
      <w:sz w:val="32"/>
      <w:szCs w:val="32"/>
    </w:rPr>
  </w:style>
  <w:style w:type="paragraph" w:styleId="6">
    <w:name w:val="heading 3"/>
    <w:basedOn w:val="1"/>
    <w:next w:val="1"/>
    <w:link w:val="20"/>
    <w:unhideWhenUsed/>
    <w:qFormat/>
    <w:uiPriority w:val="9"/>
    <w:pPr>
      <w:keepNext/>
      <w:keepLines/>
      <w:spacing w:before="260" w:after="260" w:line="416" w:lineRule="auto"/>
      <w:outlineLvl w:val="2"/>
    </w:pPr>
    <w:rPr>
      <w:rFonts w:ascii="仿宋" w:hAnsi="仿宋" w:eastAsia="仿宋"/>
      <w:b/>
      <w:bCs/>
      <w:sz w:val="30"/>
      <w:szCs w:val="32"/>
    </w:rPr>
  </w:style>
  <w:style w:type="paragraph" w:styleId="7">
    <w:name w:val="heading 4"/>
    <w:basedOn w:val="1"/>
    <w:next w:val="1"/>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9"/>
    <w:qFormat/>
    <w:uiPriority w:val="1"/>
    <w:pPr>
      <w:autoSpaceDE w:val="0"/>
      <w:autoSpaceDN w:val="0"/>
      <w:ind w:left="640"/>
      <w:jc w:val="left"/>
    </w:pPr>
    <w:rPr>
      <w:rFonts w:ascii="宋体" w:hAnsi="宋体" w:eastAsia="宋体" w:cs="宋体"/>
      <w:kern w:val="0"/>
      <w:sz w:val="28"/>
      <w:szCs w:val="28"/>
      <w:lang w:val="zh-CN" w:bidi="zh-CN"/>
    </w:rPr>
  </w:style>
  <w:style w:type="paragraph" w:customStyle="1" w:styleId="3">
    <w:name w:val="Default"/>
    <w:qFormat/>
    <w:uiPriority w:val="0"/>
    <w:pPr>
      <w:widowControl w:val="0"/>
      <w:autoSpaceDE w:val="0"/>
      <w:autoSpaceDN w:val="0"/>
      <w:adjustRightInd w:val="0"/>
      <w:spacing w:line="260" w:lineRule="atLeast"/>
    </w:pPr>
    <w:rPr>
      <w:rFonts w:ascii="仿宋_GB2312" w:hAnsi="Calibri" w:eastAsia="仿宋_GB2312" w:cs="仿宋_GB2312"/>
      <w:color w:val="000000"/>
      <w:sz w:val="24"/>
      <w:szCs w:val="24"/>
      <w:lang w:val="en-US" w:eastAsia="zh-CN" w:bidi="ar-SA"/>
    </w:rPr>
  </w:style>
  <w:style w:type="paragraph" w:styleId="8">
    <w:name w:val="Body Text Indent"/>
    <w:basedOn w:val="1"/>
    <w:qFormat/>
    <w:uiPriority w:val="0"/>
    <w:pPr>
      <w:ind w:firstLine="630"/>
    </w:pPr>
    <w:rPr>
      <w:rFonts w:ascii="仿宋_GB2312" w:eastAsia="仿宋_GB2312"/>
      <w:sz w:val="32"/>
    </w:rPr>
  </w:style>
  <w:style w:type="paragraph" w:styleId="9">
    <w:name w:val="Balloon Text"/>
    <w:basedOn w:val="1"/>
    <w:link w:val="28"/>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w:basedOn w:val="2"/>
    <w:unhideWhenUsed/>
    <w:qFormat/>
    <w:uiPriority w:val="99"/>
    <w:pPr>
      <w:ind w:firstLine="420" w:firstLineChars="100"/>
    </w:pPr>
  </w:style>
  <w:style w:type="paragraph" w:styleId="13">
    <w:name w:val="Body Text First Indent 2"/>
    <w:basedOn w:val="8"/>
    <w:unhideWhenUsed/>
    <w:qFormat/>
    <w:uiPriority w:val="99"/>
    <w:pPr>
      <w:ind w:firstLine="420" w:firstLineChars="200"/>
    </w:pPr>
    <w:rPr>
      <w:rFonts w:eastAsia="宋体"/>
      <w:sz w:val="21"/>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customStyle="1" w:styleId="18">
    <w:name w:val="标题 1 Char"/>
    <w:basedOn w:val="16"/>
    <w:link w:val="4"/>
    <w:qFormat/>
    <w:uiPriority w:val="9"/>
    <w:rPr>
      <w:rFonts w:eastAsia="宋体"/>
      <w:b/>
      <w:bCs/>
      <w:kern w:val="44"/>
      <w:sz w:val="44"/>
      <w:szCs w:val="44"/>
    </w:rPr>
  </w:style>
  <w:style w:type="character" w:customStyle="1" w:styleId="19">
    <w:name w:val="标题 2 Char"/>
    <w:basedOn w:val="16"/>
    <w:link w:val="5"/>
    <w:qFormat/>
    <w:uiPriority w:val="9"/>
    <w:rPr>
      <w:rFonts w:eastAsia="宋体" w:asciiTheme="majorHAnsi" w:hAnsiTheme="majorHAnsi" w:cstheme="majorBidi"/>
      <w:b/>
      <w:bCs/>
      <w:sz w:val="32"/>
      <w:szCs w:val="32"/>
    </w:rPr>
  </w:style>
  <w:style w:type="character" w:customStyle="1" w:styleId="20">
    <w:name w:val="标题 3 Char"/>
    <w:basedOn w:val="16"/>
    <w:link w:val="6"/>
    <w:qFormat/>
    <w:uiPriority w:val="9"/>
    <w:rPr>
      <w:rFonts w:ascii="仿宋" w:hAnsi="仿宋" w:eastAsia="仿宋"/>
      <w:b/>
      <w:bCs/>
      <w:sz w:val="30"/>
      <w:szCs w:val="32"/>
    </w:rPr>
  </w:style>
  <w:style w:type="character" w:customStyle="1" w:styleId="21">
    <w:name w:val="页眉 Char"/>
    <w:basedOn w:val="16"/>
    <w:link w:val="11"/>
    <w:qFormat/>
    <w:uiPriority w:val="99"/>
    <w:rPr>
      <w:sz w:val="18"/>
      <w:szCs w:val="18"/>
    </w:rPr>
  </w:style>
  <w:style w:type="character" w:customStyle="1" w:styleId="22">
    <w:name w:val="页脚 Char"/>
    <w:basedOn w:val="16"/>
    <w:link w:val="10"/>
    <w:qFormat/>
    <w:uiPriority w:val="99"/>
    <w:rPr>
      <w:sz w:val="18"/>
      <w:szCs w:val="18"/>
    </w:rPr>
  </w:style>
  <w:style w:type="table" w:customStyle="1" w:styleId="23">
    <w:name w:val="网格型1"/>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网格型2"/>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25">
    <w:name w:val="List Paragraph"/>
    <w:basedOn w:val="1"/>
    <w:qFormat/>
    <w:uiPriority w:val="34"/>
    <w:pPr>
      <w:ind w:firstLine="420" w:firstLineChars="200"/>
    </w:pPr>
  </w:style>
  <w:style w:type="table" w:customStyle="1" w:styleId="26">
    <w:name w:val="网格型3"/>
    <w:basedOn w:val="14"/>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7">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28">
    <w:name w:val="批注框文本 Char"/>
    <w:basedOn w:val="16"/>
    <w:link w:val="9"/>
    <w:semiHidden/>
    <w:qFormat/>
    <w:uiPriority w:val="99"/>
    <w:rPr>
      <w:kern w:val="2"/>
      <w:sz w:val="18"/>
      <w:szCs w:val="18"/>
    </w:rPr>
  </w:style>
  <w:style w:type="character" w:customStyle="1" w:styleId="29">
    <w:name w:val="正文文本 Char"/>
    <w:basedOn w:val="16"/>
    <w:link w:val="2"/>
    <w:qFormat/>
    <w:uiPriority w:val="1"/>
    <w:rPr>
      <w:rFonts w:ascii="宋体" w:hAnsi="宋体" w:eastAsia="宋体" w:cs="宋体"/>
      <w:sz w:val="28"/>
      <w:szCs w:val="28"/>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Pages>
  <Words>1719</Words>
  <Characters>9802</Characters>
  <Lines>81</Lines>
  <Paragraphs>22</Paragraphs>
  <TotalTime>26</TotalTime>
  <ScaleCrop>false</ScaleCrop>
  <LinksUpToDate>false</LinksUpToDate>
  <CharactersWithSpaces>11499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2021-04-23T16:24:00Z</dcterms:created>
  <dc:creator>冰</dc:creator>
  <cp:lastModifiedBy>uos</cp:lastModifiedBy>
  <dcterms:modified xsi:type="dcterms:W3CDTF">2023-11-27T09:03:05Z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EC3B5AFF958B4985A2329C34EA0ACDD4_12</vt:lpwstr>
  </property>
</Properties>
</file>