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黑体" w:hAnsi="黑体" w:eastAsia="黑体"/>
          <w:b/>
          <w:sz w:val="44"/>
          <w:szCs w:val="44"/>
        </w:rPr>
      </w:pPr>
      <w:r>
        <w:rPr>
          <w:rFonts w:hint="eastAsia" w:ascii="方正小标宋简体" w:hAnsi="方正小标宋简体" w:eastAsia="方正小标宋简体" w:cs="方正小标宋简体"/>
          <w:bCs/>
          <w:spacing w:val="-17"/>
          <w:kern w:val="0"/>
          <w:sz w:val="44"/>
          <w:szCs w:val="44"/>
        </w:rPr>
        <w:t>2024年河南省高等职业教育技能大赛</w:t>
      </w:r>
    </w:p>
    <w:p>
      <w:pPr>
        <w:widowControl/>
        <w:spacing w:line="600" w:lineRule="exact"/>
        <w:jc w:val="center"/>
        <w:rPr>
          <w:sz w:val="44"/>
          <w:szCs w:val="44"/>
        </w:rPr>
      </w:pPr>
      <w:r>
        <w:rPr>
          <w:rFonts w:hint="eastAsia" w:ascii="方正小标宋简体" w:hAnsi="方正小标宋简体" w:eastAsia="方正小标宋简体" w:cs="方正小标宋简体"/>
          <w:bCs/>
          <w:spacing w:val="-17"/>
          <w:kern w:val="0"/>
          <w:sz w:val="44"/>
          <w:szCs w:val="44"/>
        </w:rPr>
        <w:t>工业互联网集成应用赛项</w:t>
      </w:r>
      <w:r>
        <w:rPr>
          <w:rFonts w:ascii="方正小标宋简体" w:hAnsi="方正小标宋简体" w:eastAsia="方正小标宋简体" w:cs="方正小标宋简体"/>
          <w:bCs/>
          <w:spacing w:val="-17"/>
          <w:kern w:val="0"/>
          <w:sz w:val="44"/>
          <w:szCs w:val="44"/>
        </w:rPr>
        <w:t>竞赛方案</w:t>
      </w:r>
    </w:p>
    <w:p>
      <w:pPr>
        <w:pStyle w:val="6"/>
        <w:spacing w:before="0" w:after="0" w:line="240" w:lineRule="auto"/>
        <w:rPr>
          <w:rFonts w:hint="eastAsia" w:ascii="黑体" w:hAnsi="黑体" w:eastAsia="黑体"/>
          <w:b w:val="0"/>
          <w:szCs w:val="30"/>
        </w:rPr>
      </w:pPr>
    </w:p>
    <w:p>
      <w:pPr>
        <w:pStyle w:val="6"/>
        <w:spacing w:before="0" w:after="0" w:line="240" w:lineRule="auto"/>
        <w:ind w:firstLine="640"/>
        <w:rPr>
          <w:rFonts w:hint="eastAsia" w:ascii="黑体" w:hAnsi="黑体" w:eastAsia="黑体"/>
          <w:b w:val="0"/>
          <w:szCs w:val="30"/>
        </w:rPr>
      </w:pPr>
      <w:r>
        <w:rPr>
          <w:rFonts w:hint="eastAsia" w:ascii="黑体" w:hAnsi="黑体" w:eastAsia="黑体"/>
          <w:b w:val="0"/>
          <w:szCs w:val="30"/>
        </w:rPr>
        <w:t>一、赛项名称</w:t>
      </w:r>
      <w:bookmarkStart w:id="4" w:name="_GoBack"/>
      <w:bookmarkEnd w:id="4"/>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bCs/>
          <w:color w:val="auto"/>
          <w:kern w:val="0"/>
          <w:sz w:val="30"/>
          <w:szCs w:val="30"/>
          <w:lang w:bidi="zh-CN"/>
        </w:rPr>
      </w:pPr>
      <w:r>
        <w:rPr>
          <w:rFonts w:hint="eastAsia" w:ascii="仿宋_GB2312" w:hAnsi="仿宋_GB2312" w:eastAsia="仿宋_GB2312" w:cs="仿宋_GB2312"/>
          <w:bCs/>
          <w:color w:val="auto"/>
          <w:kern w:val="0"/>
          <w:sz w:val="30"/>
          <w:szCs w:val="30"/>
          <w:lang w:bidi="zh-CN"/>
        </w:rPr>
        <w:t>赛项名称：</w:t>
      </w:r>
      <w:r>
        <w:rPr>
          <w:rFonts w:hint="eastAsia" w:ascii="仿宋_GB2312" w:hAnsi="仿宋" w:eastAsia="仿宋_GB2312" w:cstheme="minorBidi"/>
          <w:bCs/>
          <w:sz w:val="30"/>
          <w:szCs w:val="30"/>
        </w:rPr>
        <w:t>工业互联网集成应用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bCs/>
          <w:color w:val="auto"/>
          <w:kern w:val="0"/>
          <w:sz w:val="30"/>
          <w:szCs w:val="30"/>
          <w:lang w:val="en-US" w:bidi="zh-CN"/>
        </w:rPr>
      </w:pPr>
      <w:r>
        <w:rPr>
          <w:rFonts w:hint="eastAsia" w:ascii="仿宋_GB2312" w:hAnsi="仿宋_GB2312" w:eastAsia="仿宋_GB2312" w:cs="仿宋_GB2312"/>
          <w:bCs/>
          <w:color w:val="auto"/>
          <w:kern w:val="0"/>
          <w:sz w:val="30"/>
          <w:szCs w:val="30"/>
          <w:lang w:val="en-US" w:bidi="zh-CN"/>
        </w:rPr>
        <w:t>赛项编号：</w:t>
      </w:r>
      <w:r>
        <w:rPr>
          <w:rFonts w:hint="eastAsia" w:ascii="仿宋_GB2312" w:hAnsi="仿宋" w:eastAsia="仿宋_GB2312" w:cstheme="minorBidi"/>
          <w:bCs/>
          <w:sz w:val="30"/>
          <w:szCs w:val="30"/>
          <w:lang w:val="en-US" w:eastAsia="zh-CN"/>
        </w:rPr>
        <w:t>GZ001</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bCs/>
          <w:color w:val="auto"/>
          <w:kern w:val="0"/>
          <w:sz w:val="30"/>
          <w:szCs w:val="30"/>
          <w:lang w:val="en-US" w:bidi="zh-CN"/>
        </w:rPr>
      </w:pPr>
      <w:r>
        <w:rPr>
          <w:rFonts w:hint="eastAsia" w:ascii="仿宋_GB2312" w:hAnsi="仿宋_GB2312" w:eastAsia="仿宋_GB2312" w:cs="仿宋_GB2312"/>
          <w:bCs/>
          <w:color w:val="auto"/>
          <w:kern w:val="0"/>
          <w:sz w:val="30"/>
          <w:szCs w:val="30"/>
          <w:lang w:val="en-US" w:bidi="zh-CN"/>
        </w:rPr>
        <w:t>赛项</w:t>
      </w:r>
      <w:r>
        <w:rPr>
          <w:rFonts w:hint="eastAsia" w:ascii="仿宋_GB2312" w:hAnsi="仿宋_GB2312" w:cs="仿宋_GB2312"/>
          <w:bCs/>
          <w:color w:val="auto"/>
          <w:kern w:val="0"/>
          <w:sz w:val="30"/>
          <w:szCs w:val="30"/>
          <w:lang w:val="en-US" w:bidi="zh-CN"/>
        </w:rPr>
        <w:t>组别</w:t>
      </w:r>
      <w:r>
        <w:rPr>
          <w:rFonts w:hint="eastAsia" w:ascii="仿宋_GB2312" w:hAnsi="仿宋_GB2312" w:eastAsia="仿宋_GB2312" w:cs="仿宋_GB2312"/>
          <w:bCs/>
          <w:color w:val="auto"/>
          <w:kern w:val="0"/>
          <w:sz w:val="30"/>
          <w:szCs w:val="30"/>
          <w:lang w:val="en-US" w:bidi="zh-CN"/>
        </w:rPr>
        <w:t>：赛道小组赛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bCs/>
          <w:kern w:val="0"/>
          <w:sz w:val="30"/>
          <w:szCs w:val="30"/>
          <w:lang w:val="en-US" w:bidi="zh-CN"/>
        </w:rPr>
      </w:pPr>
      <w:r>
        <w:rPr>
          <w:rFonts w:hint="eastAsia" w:ascii="仿宋_GB2312" w:hAnsi="仿宋_GB2312" w:eastAsia="仿宋_GB2312" w:cs="仿宋_GB2312"/>
          <w:bCs/>
          <w:kern w:val="0"/>
          <w:sz w:val="30"/>
          <w:szCs w:val="30"/>
          <w:lang w:val="en-US" w:bidi="zh-CN"/>
        </w:rPr>
        <w:t>专业大类：</w:t>
      </w:r>
      <w:r>
        <w:rPr>
          <w:rFonts w:hint="eastAsia" w:ascii="仿宋_GB2312" w:hAnsi="仿宋" w:eastAsia="仿宋_GB2312" w:cstheme="minorBidi"/>
          <w:bCs/>
          <w:sz w:val="30"/>
          <w:szCs w:val="30"/>
        </w:rPr>
        <w:t>装备制造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bCs/>
          <w:kern w:val="0"/>
          <w:sz w:val="30"/>
          <w:szCs w:val="30"/>
          <w:lang w:val="en-US" w:bidi="zh-CN"/>
        </w:rPr>
      </w:pPr>
      <w:r>
        <w:rPr>
          <w:rFonts w:hint="eastAsia" w:ascii="仿宋_GB2312" w:hAnsi="仿宋_GB2312" w:eastAsia="仿宋_GB2312" w:cs="仿宋_GB2312"/>
          <w:bCs/>
          <w:kern w:val="0"/>
          <w:sz w:val="30"/>
          <w:szCs w:val="30"/>
          <w:lang w:bidi="zh-CN"/>
        </w:rPr>
        <w:t>竞赛形式：</w:t>
      </w:r>
      <w:r>
        <w:rPr>
          <w:rFonts w:hint="eastAsia" w:ascii="仿宋_GB2312" w:hAnsi="仿宋_GB2312" w:eastAsia="仿宋_GB2312" w:cs="仿宋_GB2312"/>
          <w:bCs/>
          <w:kern w:val="0"/>
          <w:sz w:val="30"/>
          <w:szCs w:val="30"/>
          <w:lang w:val="en-US" w:bidi="zh-CN"/>
        </w:rPr>
        <w:t>团体赛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bCs/>
          <w:kern w:val="0"/>
          <w:sz w:val="30"/>
          <w:szCs w:val="30"/>
          <w:lang w:bidi="zh-CN"/>
        </w:rPr>
      </w:pPr>
      <w:r>
        <w:rPr>
          <w:rFonts w:hint="eastAsia" w:ascii="仿宋_GB2312" w:hAnsi="仿宋_GB2312" w:eastAsia="仿宋_GB2312" w:cs="仿宋_GB2312"/>
          <w:bCs/>
          <w:kern w:val="0"/>
          <w:sz w:val="30"/>
          <w:szCs w:val="30"/>
          <w:lang w:bidi="zh-CN"/>
        </w:rPr>
        <w:t>主办单位：河南省教育厅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bCs/>
          <w:kern w:val="0"/>
          <w:sz w:val="30"/>
          <w:szCs w:val="30"/>
          <w:lang w:val="en-US" w:eastAsia="zh-CN" w:bidi="zh-CN"/>
        </w:rPr>
      </w:pPr>
      <w:r>
        <w:rPr>
          <w:rFonts w:hint="eastAsia" w:ascii="仿宋_GB2312" w:hAnsi="仿宋_GB2312" w:eastAsia="仿宋_GB2312" w:cs="仿宋_GB2312"/>
          <w:bCs/>
          <w:kern w:val="0"/>
          <w:sz w:val="30"/>
          <w:szCs w:val="30"/>
          <w:lang w:bidi="zh-CN"/>
        </w:rPr>
        <w:t>承办单位：</w:t>
      </w:r>
      <w:r>
        <w:rPr>
          <w:rFonts w:hint="eastAsia" w:ascii="仿宋_GB2312" w:hAnsi="仿宋" w:eastAsia="仿宋_GB2312" w:cstheme="minorBidi"/>
          <w:bCs/>
          <w:sz w:val="30"/>
          <w:szCs w:val="30"/>
        </w:rPr>
        <w:t>黄河水利职业技术学院</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报到及推荐住宿</w:t>
      </w:r>
      <w:r>
        <w:rPr>
          <w:rFonts w:hint="eastAsia" w:ascii="仿宋_GB2312" w:hAnsi="仿宋_GB2312" w:eastAsia="仿宋_GB2312" w:cs="仿宋_GB2312"/>
          <w:bCs/>
          <w:kern w:val="0"/>
          <w:sz w:val="30"/>
          <w:szCs w:val="30"/>
          <w:lang w:val="en-US" w:eastAsia="zh-CN" w:bidi="zh-CN"/>
        </w:rPr>
        <w:t>地点</w:t>
      </w:r>
      <w:r>
        <w:rPr>
          <w:rFonts w:hint="eastAsia" w:ascii="仿宋_GB2312" w:hAnsi="仿宋_GB2312" w:eastAsia="仿宋_GB2312" w:cs="仿宋_GB2312"/>
          <w:sz w:val="30"/>
          <w:szCs w:val="30"/>
          <w:lang w:val="en-US" w:eastAsia="zh-CN"/>
        </w:rPr>
        <w:t>：另行通知</w:t>
      </w:r>
    </w:p>
    <w:p>
      <w:pPr>
        <w:pStyle w:val="6"/>
        <w:spacing w:before="0" w:after="0" w:line="240" w:lineRule="auto"/>
        <w:ind w:firstLine="640"/>
        <w:rPr>
          <w:rFonts w:hint="eastAsia" w:ascii="黑体" w:hAnsi="黑体" w:eastAsia="黑体"/>
          <w:b w:val="0"/>
          <w:szCs w:val="30"/>
        </w:rPr>
      </w:pPr>
      <w:r>
        <w:rPr>
          <w:rFonts w:hint="eastAsia" w:ascii="黑体" w:hAnsi="黑体" w:eastAsia="黑体"/>
          <w:b w:val="0"/>
          <w:szCs w:val="30"/>
        </w:rPr>
        <w:t>二、竞赛目的</w:t>
      </w:r>
    </w:p>
    <w:p>
      <w:pPr>
        <w:spacing w:line="560" w:lineRule="exact"/>
        <w:ind w:firstLine="606" w:firstLineChars="202"/>
        <w:rPr>
          <w:rFonts w:hint="eastAsia" w:ascii="仿宋_GB2312" w:hAnsi="仿宋" w:eastAsia="仿宋_GB2312"/>
          <w:sz w:val="30"/>
          <w:szCs w:val="30"/>
        </w:rPr>
      </w:pPr>
      <w:r>
        <w:rPr>
          <w:rFonts w:hint="eastAsia" w:ascii="仿宋_GB2312" w:hAnsi="仿宋" w:eastAsia="仿宋_GB2312"/>
          <w:sz w:val="30"/>
          <w:szCs w:val="30"/>
        </w:rPr>
        <w:t>工业互联网作为全球工业体系智能化变革的重要推手，是中国战略性新兴产业的重要组成部分。为了加快建设制造强国和数字中国，我国提出了加快工业互联网的发展计划，以工业互联网IT、OT、CT融通的新技术，引领工业信息服务新产业变革，助力高端化、智能化、绿色化新业态新模式发展。实现工业互联网与实体经济的融合还需要大量的应用型人才。因此，通过竞赛等形式，展示职业院校相关专业成果，实现人才培养与产业需求的有效衔接，即提高学校的产业贡献率和社会吸引力，也能促进新一代信息技术与实体经济的融合发展。</w:t>
      </w:r>
    </w:p>
    <w:p>
      <w:pPr>
        <w:spacing w:line="560" w:lineRule="exact"/>
        <w:ind w:firstLine="606" w:firstLineChars="202"/>
        <w:rPr>
          <w:rFonts w:hint="eastAsia" w:ascii="仿宋_GB2312" w:hAnsi="仿宋" w:eastAsia="仿宋_GB2312"/>
          <w:sz w:val="30"/>
          <w:szCs w:val="30"/>
        </w:rPr>
      </w:pPr>
      <w:r>
        <w:rPr>
          <w:rFonts w:hint="eastAsia" w:ascii="仿宋_GB2312" w:hAnsi="仿宋" w:eastAsia="仿宋_GB2312"/>
          <w:sz w:val="30"/>
          <w:szCs w:val="30"/>
        </w:rPr>
        <w:t>建设工业互联网需要复合型人才，这些人才不仅需要掌握新一代信息通信技术，还需要具备工业领域专业知识或专门技能。通过竞赛等形式，可促进工业互联网人才的高质量培养、提高学校相关专业人才培养水平。随着平台服务提供商、工业应用提供商等产业生态的不断壮大，工业互联网的人才建设也将会带动新一代信息技术的发展壮大。</w:t>
      </w:r>
    </w:p>
    <w:p>
      <w:pPr>
        <w:spacing w:line="560" w:lineRule="exact"/>
        <w:ind w:firstLine="606" w:firstLineChars="202"/>
        <w:rPr>
          <w:rFonts w:hint="eastAsia" w:ascii="仿宋_GB2312" w:hAnsi="仿宋" w:eastAsia="仿宋_GB2312"/>
          <w:sz w:val="30"/>
          <w:szCs w:val="30"/>
        </w:rPr>
      </w:pPr>
      <w:r>
        <w:rPr>
          <w:rFonts w:hint="eastAsia" w:ascii="仿宋_GB2312" w:hAnsi="仿宋" w:eastAsia="仿宋_GB2312"/>
          <w:sz w:val="30"/>
          <w:szCs w:val="30"/>
        </w:rPr>
        <w:t>结合赛项面向的工业互联网技术（计算机类专业）、工业软件开发技术（计算机类专业）要求，围绕生产、管理、服务一线岗位实际需要和实践要求，选取数据采集、设备安装调试及运行维护、工业互联网边缘数据预处理、系统集成及服务应用、编写数据可视化展示脚本等核心基本技能，增加本赛项面向的装备制造和电子信息类专业大类的程序设计、互联网网络设备组网、数据采集与处理、标识解析应用、工业APP开发与应用、安全防护运维等基础技能，有机融入职业素养教育。</w:t>
      </w:r>
    </w:p>
    <w:p>
      <w:pPr>
        <w:spacing w:line="560" w:lineRule="exact"/>
        <w:ind w:firstLine="606" w:firstLineChars="202"/>
        <w:rPr>
          <w:rFonts w:hint="eastAsia" w:ascii="仿宋_GB2312" w:hAnsi="仿宋" w:eastAsia="仿宋_GB2312"/>
          <w:sz w:val="30"/>
          <w:szCs w:val="30"/>
        </w:rPr>
      </w:pPr>
      <w:r>
        <w:rPr>
          <w:rFonts w:hint="eastAsia" w:ascii="仿宋_GB2312" w:hAnsi="仿宋" w:eastAsia="仿宋_GB2312"/>
          <w:sz w:val="30"/>
          <w:szCs w:val="30"/>
        </w:rPr>
        <w:t>竞赛活动是推动工业互联网应用型人才培养的重要手段。通过赛课融通、以赛促教的各项成果转化，能够促进职业院校的教师队伍建设、教学模式创新、教学资源升级，更有效衔接产业岗位需求，同时提高学校的产业贡献率和社会吸引力。</w:t>
      </w:r>
    </w:p>
    <w:p>
      <w:pPr>
        <w:pStyle w:val="6"/>
        <w:spacing w:before="0" w:after="0" w:line="240" w:lineRule="auto"/>
        <w:ind w:firstLine="641"/>
        <w:rPr>
          <w:rFonts w:hint="eastAsia" w:ascii="黑体" w:hAnsi="黑体" w:eastAsia="黑体"/>
          <w:b w:val="0"/>
          <w:szCs w:val="30"/>
        </w:rPr>
      </w:pPr>
      <w:bookmarkStart w:id="0" w:name="_Hlk69776530"/>
      <w:r>
        <w:rPr>
          <w:rFonts w:hint="eastAsia" w:ascii="黑体" w:hAnsi="黑体" w:eastAsia="黑体"/>
          <w:b w:val="0"/>
          <w:szCs w:val="30"/>
        </w:rPr>
        <w:t>三、参赛资格</w:t>
      </w:r>
    </w:p>
    <w:bookmarkEnd w:id="0"/>
    <w:p>
      <w:pPr>
        <w:spacing w:line="560" w:lineRule="exact"/>
        <w:ind w:firstLine="606" w:firstLineChars="202"/>
        <w:rPr>
          <w:rFonts w:hint="eastAsia" w:ascii="仿宋_GB2312" w:hAnsi="仿宋" w:eastAsia="仿宋_GB2312"/>
          <w:sz w:val="30"/>
          <w:szCs w:val="30"/>
        </w:rPr>
      </w:pPr>
      <w:r>
        <w:rPr>
          <w:rFonts w:hint="eastAsia" w:ascii="仿宋_GB2312" w:hAnsi="仿宋" w:eastAsia="仿宋_GB2312"/>
          <w:sz w:val="30"/>
          <w:szCs w:val="30"/>
        </w:rPr>
        <w:t>（一）竞赛组队方式：3人/队，学生3人。性别不限，不得跨校组队，3名选手须为同校学生，配置1-2名指导教师。</w:t>
      </w:r>
    </w:p>
    <w:p>
      <w:pPr>
        <w:spacing w:line="560" w:lineRule="exact"/>
        <w:ind w:firstLine="606" w:firstLineChars="202"/>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sz w:val="30"/>
          <w:szCs w:val="30"/>
        </w:rPr>
        <w:t>（二）</w:t>
      </w:r>
      <w:r>
        <w:rPr>
          <w:rFonts w:hint="eastAsia" w:ascii="仿宋_GB2312" w:hAnsi="仿宋" w:eastAsia="仿宋_GB2312"/>
          <w:color w:val="000000" w:themeColor="text1"/>
          <w:sz w:val="30"/>
          <w:szCs w:val="30"/>
          <w14:textFill>
            <w14:solidFill>
              <w14:schemeClr w14:val="tx1"/>
            </w14:solidFill>
          </w14:textFill>
        </w:rPr>
        <w:t>选手须为高等职业学校专科、高等职业学校本科全日制在籍学生（以报名时的学籍信息为准）。</w:t>
      </w:r>
    </w:p>
    <w:p>
      <w:pPr>
        <w:spacing w:line="560" w:lineRule="exact"/>
        <w:ind w:firstLine="606" w:firstLineChars="202"/>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sz w:val="30"/>
          <w:szCs w:val="30"/>
        </w:rPr>
        <w:t>（三）</w:t>
      </w:r>
      <w:r>
        <w:rPr>
          <w:rFonts w:hint="eastAsia" w:ascii="仿宋_GB2312" w:hAnsi="仿宋" w:eastAsia="仿宋_GB2312"/>
          <w:color w:val="000000" w:themeColor="text1"/>
          <w:sz w:val="30"/>
          <w:szCs w:val="30"/>
          <w14:textFill>
            <w14:solidFill>
              <w14:schemeClr w14:val="tx1"/>
            </w14:solidFill>
          </w14:textFill>
        </w:rPr>
        <w:t>竞赛采用团体赛方式，不计选手个人成绩，统计参赛队的总成绩进行排序，3名选手在大赛现场按照大赛任务要求，自行分工，相互配合完成大赛任务。</w:t>
      </w:r>
    </w:p>
    <w:p>
      <w:pPr>
        <w:spacing w:line="560" w:lineRule="exact"/>
        <w:ind w:firstLine="606" w:firstLineChars="202"/>
      </w:pPr>
      <w:r>
        <w:rPr>
          <w:rFonts w:hint="eastAsia" w:ascii="仿宋_GB2312" w:hAnsi="仿宋" w:eastAsia="仿宋_GB2312"/>
          <w:sz w:val="30"/>
          <w:szCs w:val="30"/>
        </w:rPr>
        <w:t>（四）</w:t>
      </w:r>
      <w:r>
        <w:rPr>
          <w:rFonts w:hint="eastAsia" w:ascii="仿宋_GB2312" w:hAnsi="仿宋" w:eastAsia="仿宋_GB2312"/>
          <w:color w:val="000000"/>
          <w:sz w:val="30"/>
          <w:szCs w:val="30"/>
        </w:rPr>
        <w:t>凡在往届全国职业院校技能大赛、世界职业院校技能大赛中获一等奖的选手，不能再参加今年同一专业类赛项的比赛。</w:t>
      </w:r>
      <w:r>
        <w:rPr>
          <w:rFonts w:hint="eastAsia" w:ascii="仿宋_GB2312" w:hAnsi="仿宋" w:eastAsia="仿宋_GB2312"/>
          <w:color w:val="000000" w:themeColor="text1"/>
          <w:sz w:val="30"/>
          <w:szCs w:val="30"/>
          <w14:textFill>
            <w14:solidFill>
              <w14:schemeClr w14:val="tx1"/>
            </w14:solidFill>
          </w14:textFill>
        </w:rPr>
        <w:t>参赛选手的资格审查工作按照《全国职业院校技能大赛制度汇编》《2024年世界职业院校技能大赛制度汇编》要求执行。</w:t>
      </w:r>
    </w:p>
    <w:p>
      <w:pPr>
        <w:pStyle w:val="6"/>
        <w:spacing w:before="0" w:after="0" w:line="240" w:lineRule="auto"/>
        <w:ind w:firstLine="640" w:firstLineChars="200"/>
        <w:rPr>
          <w:rFonts w:hint="eastAsia" w:ascii="黑体" w:hAnsi="黑体" w:eastAsia="黑体"/>
          <w:b w:val="0"/>
          <w:szCs w:val="30"/>
        </w:rPr>
      </w:pPr>
      <w:r>
        <w:rPr>
          <w:rFonts w:hint="eastAsia" w:ascii="黑体" w:hAnsi="黑体" w:eastAsia="黑体"/>
          <w:b w:val="0"/>
          <w:szCs w:val="30"/>
        </w:rPr>
        <w:t>四、参赛报名</w:t>
      </w:r>
    </w:p>
    <w:p>
      <w:pPr>
        <w:spacing w:line="560" w:lineRule="exact"/>
        <w:ind w:firstLine="600" w:firstLineChars="200"/>
        <w:rPr>
          <w:rFonts w:ascii="仿宋_GB2312" w:hAnsi="Times New Roman" w:eastAsia="仿宋_GB2312"/>
          <w:color w:val="000000" w:themeColor="text1"/>
          <w:sz w:val="30"/>
          <w:szCs w:val="30"/>
          <w:lang w:eastAsia="zh-TW"/>
          <w14:textFill>
            <w14:solidFill>
              <w14:schemeClr w14:val="tx1"/>
            </w14:solidFill>
          </w14:textFill>
        </w:rPr>
      </w:pPr>
      <w:r>
        <w:rPr>
          <w:rFonts w:hint="eastAsia" w:ascii="仿宋_GB2312" w:hAnsi="Times New Roman" w:eastAsia="仿宋_GB2312"/>
          <w:color w:val="000000" w:themeColor="text1"/>
          <w:sz w:val="30"/>
          <w:szCs w:val="30"/>
          <w:lang w:eastAsia="zh-TW"/>
          <w14:textFill>
            <w14:solidFill>
              <w14:schemeClr w14:val="tx1"/>
            </w14:solidFill>
          </w14:textFill>
        </w:rPr>
        <w:t>1.参赛院校须于</w:t>
      </w:r>
      <w:r>
        <w:rPr>
          <w:rFonts w:hint="eastAsia" w:ascii="仿宋_GB2312" w:hAnsi="Times New Roman" w:eastAsia="仿宋_GB2312"/>
          <w:color w:val="000000" w:themeColor="text1"/>
          <w:sz w:val="30"/>
          <w:szCs w:val="30"/>
          <w14:textFill>
            <w14:solidFill>
              <w14:schemeClr w14:val="tx1"/>
            </w14:solidFill>
          </w14:textFill>
        </w:rPr>
        <w:t>2</w:t>
      </w:r>
      <w:r>
        <w:rPr>
          <w:rFonts w:ascii="仿宋_GB2312" w:hAnsi="Times New Roman" w:eastAsia="仿宋_GB2312"/>
          <w:color w:val="000000" w:themeColor="text1"/>
          <w:sz w:val="30"/>
          <w:szCs w:val="30"/>
          <w14:textFill>
            <w14:solidFill>
              <w14:schemeClr w14:val="tx1"/>
            </w14:solidFill>
          </w14:textFill>
        </w:rPr>
        <w:t>024</w:t>
      </w:r>
      <w:r>
        <w:rPr>
          <w:rFonts w:hint="eastAsia" w:ascii="仿宋_GB2312" w:hAnsi="Times New Roman" w:eastAsia="仿宋_GB2312"/>
          <w:color w:val="000000" w:themeColor="text1"/>
          <w:sz w:val="30"/>
          <w:szCs w:val="30"/>
          <w14:textFill>
            <w14:solidFill>
              <w14:schemeClr w14:val="tx1"/>
            </w14:solidFill>
          </w14:textFill>
        </w:rPr>
        <w:t>年12</w:t>
      </w:r>
      <w:r>
        <w:rPr>
          <w:rFonts w:hint="eastAsia" w:ascii="仿宋_GB2312" w:hAnsi="Times New Roman" w:eastAsia="仿宋_GB2312"/>
          <w:color w:val="000000" w:themeColor="text1"/>
          <w:sz w:val="30"/>
          <w:szCs w:val="30"/>
          <w:lang w:eastAsia="zh-TW"/>
          <w14:textFill>
            <w14:solidFill>
              <w14:schemeClr w14:val="tx1"/>
            </w14:solidFill>
          </w14:textFill>
        </w:rPr>
        <w:t>月</w:t>
      </w:r>
      <w:r>
        <w:rPr>
          <w:rFonts w:hint="eastAsia" w:ascii="仿宋_GB2312" w:hAnsi="Times New Roman" w:eastAsia="仿宋_GB2312"/>
          <w:color w:val="000000" w:themeColor="text1"/>
          <w:sz w:val="30"/>
          <w:szCs w:val="30"/>
          <w:lang w:val="en-US" w:eastAsia="zh-CN"/>
          <w14:textFill>
            <w14:solidFill>
              <w14:schemeClr w14:val="tx1"/>
            </w14:solidFill>
          </w14:textFill>
        </w:rPr>
        <w:t>12</w:t>
      </w:r>
      <w:r>
        <w:rPr>
          <w:rFonts w:hint="eastAsia" w:ascii="仿宋_GB2312" w:hAnsi="Times New Roman" w:eastAsia="仿宋_GB2312"/>
          <w:color w:val="000000" w:themeColor="text1"/>
          <w:sz w:val="30"/>
          <w:szCs w:val="30"/>
          <w:lang w:eastAsia="zh-TW"/>
          <w14:textFill>
            <w14:solidFill>
              <w14:schemeClr w14:val="tx1"/>
            </w14:solidFill>
          </w14:textFill>
        </w:rPr>
        <w:t>日前登录河南省高职院校技能大赛报名系统（http://39.105.49.188/），按要求填报并提交参赛信息。</w:t>
      </w:r>
    </w:p>
    <w:p>
      <w:pPr>
        <w:spacing w:line="560" w:lineRule="exact"/>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2.各参赛校以学校为单位注册报名平台，专人负责报名工作。（</w:t>
      </w:r>
      <w:r>
        <w:rPr>
          <w:rFonts w:hint="eastAsia" w:ascii="仿宋_GB2312" w:hAnsi="仿宋_GB2312" w:eastAsia="仿宋_GB2312" w:cs="仿宋_GB2312"/>
          <w:color w:val="000000" w:themeColor="text1"/>
          <w:sz w:val="30"/>
          <w:szCs w:val="30"/>
          <w14:textFill>
            <w14:solidFill>
              <w14:schemeClr w14:val="tx1"/>
            </w14:solidFill>
          </w14:textFill>
        </w:rPr>
        <w:t>技术支持：</w:t>
      </w:r>
      <w:r>
        <w:rPr>
          <w:rFonts w:hint="eastAsia" w:ascii="仿宋_GB2312" w:hAnsi="Times New Roman" w:eastAsia="仿宋_GB2312"/>
          <w:color w:val="000000" w:themeColor="text1"/>
          <w:sz w:val="30"/>
          <w:szCs w:val="30"/>
          <w:lang w:val="en-US" w:eastAsia="zh-CN"/>
          <w14:textFill>
            <w14:solidFill>
              <w14:schemeClr w14:val="tx1"/>
            </w14:solidFill>
          </w14:textFill>
        </w:rPr>
        <w:t>王晗</w:t>
      </w:r>
      <w:r>
        <w:rPr>
          <w:rFonts w:hint="eastAsia" w:ascii="仿宋_GB2312" w:hAnsi="Times New Roman" w:eastAsia="仿宋_GB2312"/>
          <w:color w:val="000000" w:themeColor="text1"/>
          <w:sz w:val="30"/>
          <w:szCs w:val="30"/>
          <w14:textFill>
            <w14:solidFill>
              <w14:schemeClr w14:val="tx1"/>
            </w14:solidFill>
          </w14:textFill>
        </w:rPr>
        <w:t>，电话：</w:t>
      </w:r>
      <w:r>
        <w:rPr>
          <w:rFonts w:hint="eastAsia" w:ascii="仿宋_GB2312" w:hAnsi="Times New Roman" w:eastAsia="仿宋_GB2312"/>
          <w:color w:val="000000" w:themeColor="text1"/>
          <w:sz w:val="30"/>
          <w:szCs w:val="30"/>
          <w:lang w:val="en-US" w:eastAsia="zh-CN"/>
          <w14:textFill>
            <w14:solidFill>
              <w14:schemeClr w14:val="tx1"/>
            </w14:solidFill>
          </w14:textFill>
        </w:rPr>
        <w:t>18338338901</w:t>
      </w:r>
      <w:r>
        <w:rPr>
          <w:rFonts w:hint="eastAsia" w:ascii="仿宋_GB2312" w:hAnsi="Times New Roman" w:eastAsia="仿宋_GB2312"/>
          <w:color w:val="000000" w:themeColor="text1"/>
          <w:sz w:val="30"/>
          <w:szCs w:val="30"/>
          <w14:textFill>
            <w14:solidFill>
              <w14:schemeClr w14:val="tx1"/>
            </w14:solidFill>
          </w14:textFill>
        </w:rPr>
        <w:t>）。</w:t>
      </w:r>
    </w:p>
    <w:p>
      <w:pPr>
        <w:spacing w:line="560" w:lineRule="exact"/>
        <w:ind w:firstLine="600" w:firstLineChars="200"/>
        <w:rPr>
          <w:rFonts w:hint="eastAsia" w:ascii="仿宋_GB2312" w:hAnsi="Times New Roman" w:eastAsia="仿宋_GB2312"/>
          <w:color w:val="000000" w:themeColor="text1"/>
          <w:sz w:val="30"/>
          <w:szCs w:val="30"/>
          <w14:textFill>
            <w14:solidFill>
              <w14:schemeClr w14:val="tx1"/>
            </w14:solidFill>
          </w14:textFill>
        </w:rPr>
      </w:pPr>
      <w:r>
        <w:rPr>
          <w:rFonts w:hint="eastAsia" w:ascii="仿宋_GB2312" w:hAnsi="Times New Roman" w:eastAsia="仿宋_GB2312"/>
          <w:color w:val="000000" w:themeColor="text1"/>
          <w:sz w:val="30"/>
          <w:szCs w:val="30"/>
          <w14:textFill>
            <w14:solidFill>
              <w14:schemeClr w14:val="tx1"/>
            </w14:solidFill>
          </w14:textFill>
        </w:rPr>
        <w:t>3</w:t>
      </w:r>
      <w:r>
        <w:rPr>
          <w:rFonts w:hint="eastAsia" w:ascii="仿宋_GB2312" w:hAnsi="Times New Roman" w:eastAsia="仿宋_GB2312"/>
          <w:color w:val="000000" w:themeColor="text1"/>
          <w:sz w:val="30"/>
          <w:szCs w:val="30"/>
          <w:lang w:eastAsia="zh-TW"/>
          <w14:textFill>
            <w14:solidFill>
              <w14:schemeClr w14:val="tx1"/>
            </w14:solidFill>
          </w14:textFill>
        </w:rPr>
        <w:t>.</w:t>
      </w:r>
      <w:r>
        <w:rPr>
          <w:rFonts w:hint="eastAsia" w:ascii="仿宋_GB2312" w:hAnsi="Times New Roman" w:eastAsia="仿宋_GB2312"/>
          <w:color w:val="000000" w:themeColor="text1"/>
          <w:sz w:val="30"/>
          <w:szCs w:val="30"/>
          <w14:textFill>
            <w14:solidFill>
              <w14:schemeClr w14:val="tx1"/>
            </w14:solidFill>
          </w14:textFill>
        </w:rPr>
        <w:t>提交报名信息后，参赛院校从系统导出参赛选手报名表、参赛信息汇总表后，连同参赛选手身份证复印件和学信网“教育部学籍在线验证报告”或省招办录取名册复印件各1份并加盖院校公章，报送或邮寄到赛项协办院校（黄河水利职业技术学院）。纸质报名材料接收截止时间为2024年12月</w:t>
      </w:r>
      <w:r>
        <w:rPr>
          <w:rFonts w:hint="eastAsia" w:ascii="仿宋_GB2312" w:hAnsi="Times New Roman" w:eastAsia="仿宋_GB2312"/>
          <w:color w:val="000000" w:themeColor="text1"/>
          <w:sz w:val="30"/>
          <w:szCs w:val="30"/>
          <w:lang w:val="en-US" w:eastAsia="zh-CN"/>
          <w14:textFill>
            <w14:solidFill>
              <w14:schemeClr w14:val="tx1"/>
            </w14:solidFill>
          </w14:textFill>
        </w:rPr>
        <w:t>13</w:t>
      </w:r>
      <w:r>
        <w:rPr>
          <w:rFonts w:hint="eastAsia" w:ascii="仿宋_GB2312" w:hAnsi="Times New Roman" w:eastAsia="仿宋_GB2312"/>
          <w:color w:val="000000" w:themeColor="text1"/>
          <w:sz w:val="30"/>
          <w:szCs w:val="30"/>
          <w14:textFill>
            <w14:solidFill>
              <w14:schemeClr w14:val="tx1"/>
            </w14:solidFill>
          </w14:textFill>
        </w:rPr>
        <w:t>日，以邮戳时间为准。</w:t>
      </w:r>
    </w:p>
    <w:p>
      <w:pPr>
        <w:spacing w:line="56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邮寄地址：河南省开封市东京大道1号黄河水利职业技术学院，联系人：郭明琦，联系电话：13353828530。</w:t>
      </w:r>
    </w:p>
    <w:p>
      <w:pPr>
        <w:spacing w:line="56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4</w:t>
      </w:r>
      <w:r>
        <w:rPr>
          <w:rFonts w:hint="eastAsia" w:ascii="仿宋_GB2312" w:hAnsi="Times New Roman" w:eastAsia="仿宋_GB2312"/>
          <w:sz w:val="30"/>
          <w:szCs w:val="30"/>
          <w:lang w:eastAsia="zh-TW"/>
        </w:rPr>
        <w:t>.</w:t>
      </w:r>
      <w:r>
        <w:rPr>
          <w:rFonts w:hint="eastAsia" w:ascii="仿宋_GB2312" w:hAnsi="Times New Roman" w:eastAsia="仿宋_GB2312"/>
          <w:sz w:val="30"/>
          <w:szCs w:val="30"/>
        </w:rPr>
        <w:t>承办学校收到纸质报名材料，按参赛条件的要求认真审核参赛选手资格，审核通过报名成功。</w:t>
      </w:r>
    </w:p>
    <w:p>
      <w:pPr>
        <w:pStyle w:val="6"/>
        <w:spacing w:before="0" w:after="0" w:line="240" w:lineRule="auto"/>
        <w:ind w:firstLine="600" w:firstLineChars="200"/>
        <w:rPr>
          <w:rFonts w:hint="eastAsia" w:ascii="黑体" w:hAnsi="黑体" w:eastAsia="黑体" w:cstheme="minorBidi"/>
          <w:b w:val="0"/>
          <w:sz w:val="30"/>
          <w:szCs w:val="30"/>
        </w:rPr>
      </w:pPr>
      <w:r>
        <w:rPr>
          <w:rFonts w:hint="eastAsia" w:ascii="黑体" w:hAnsi="黑体" w:eastAsia="黑体" w:cstheme="minorBidi"/>
          <w:b w:val="0"/>
          <w:sz w:val="30"/>
          <w:szCs w:val="30"/>
        </w:rPr>
        <w:t>五、竞赛日程安排</w:t>
      </w:r>
      <w:r>
        <w:rPr>
          <w:rFonts w:hint="eastAsia" w:ascii="黑体" w:hAnsi="黑体" w:eastAsia="黑体"/>
          <w:b w:val="0"/>
          <w:szCs w:val="30"/>
        </w:rPr>
        <w:t>（具体以《参赛指南》为准）</w:t>
      </w:r>
    </w:p>
    <w:p>
      <w:pPr>
        <w:snapToGrid w:val="0"/>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（一）竞赛时间安排</w:t>
      </w:r>
    </w:p>
    <w:p>
      <w:pPr>
        <w:snapToGrid w:val="0"/>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2024</w:t>
      </w:r>
      <w:r>
        <w:rPr>
          <w:rFonts w:hint="eastAsia" w:ascii="仿宋_GB2312" w:hAnsi="仿宋" w:eastAsia="仿宋_GB2312"/>
          <w:sz w:val="30"/>
          <w:szCs w:val="30"/>
        </w:rPr>
        <w:t>年12</w:t>
      </w:r>
      <w:r>
        <w:rPr>
          <w:rFonts w:ascii="仿宋_GB2312" w:hAnsi="仿宋" w:eastAsia="仿宋_GB2312"/>
          <w:sz w:val="30"/>
          <w:szCs w:val="30"/>
        </w:rPr>
        <w:t>月</w:t>
      </w:r>
      <w:r>
        <w:rPr>
          <w:rFonts w:hint="eastAsia" w:ascii="仿宋_GB2312" w:hAnsi="仿宋" w:eastAsia="仿宋_GB2312"/>
          <w:sz w:val="30"/>
          <w:szCs w:val="30"/>
          <w:lang w:val="en-US" w:eastAsia="zh-CN"/>
        </w:rPr>
        <w:t>27</w:t>
      </w:r>
      <w:r>
        <w:rPr>
          <w:rFonts w:ascii="仿宋_GB2312" w:hAnsi="仿宋" w:eastAsia="仿宋_GB2312"/>
          <w:sz w:val="30"/>
          <w:szCs w:val="30"/>
        </w:rPr>
        <w:t>日报到</w:t>
      </w:r>
      <w:r>
        <w:rPr>
          <w:rFonts w:hint="eastAsia" w:ascii="仿宋_GB2312" w:hAnsi="仿宋" w:eastAsia="仿宋_GB2312"/>
          <w:sz w:val="30"/>
          <w:szCs w:val="30"/>
        </w:rPr>
        <w:t>，12</w:t>
      </w:r>
      <w:r>
        <w:rPr>
          <w:rFonts w:ascii="仿宋_GB2312" w:hAnsi="仿宋" w:eastAsia="仿宋_GB2312"/>
          <w:sz w:val="30"/>
          <w:szCs w:val="30"/>
        </w:rPr>
        <w:t>月</w:t>
      </w:r>
      <w:r>
        <w:rPr>
          <w:rFonts w:hint="eastAsia" w:ascii="仿宋_GB2312" w:hAnsi="仿宋" w:eastAsia="仿宋_GB2312"/>
          <w:sz w:val="30"/>
          <w:szCs w:val="30"/>
          <w:lang w:val="en-US" w:eastAsia="zh-CN"/>
        </w:rPr>
        <w:t>28</w:t>
      </w:r>
      <w:r>
        <w:rPr>
          <w:rFonts w:ascii="仿宋_GB2312" w:hAnsi="仿宋" w:eastAsia="仿宋_GB2312"/>
          <w:sz w:val="30"/>
          <w:szCs w:val="30"/>
        </w:rPr>
        <w:t>日比赛</w:t>
      </w:r>
      <w:r>
        <w:rPr>
          <w:rFonts w:hint="eastAsia" w:ascii="仿宋_GB2312" w:hAnsi="仿宋" w:eastAsia="仿宋_GB2312"/>
          <w:sz w:val="30"/>
          <w:szCs w:val="30"/>
        </w:rPr>
        <w:t>。竞赛地点为：黄河水利职业技术学院。竞赛分为两场，第一场竞赛时间为12月</w:t>
      </w:r>
      <w:r>
        <w:rPr>
          <w:rFonts w:hint="eastAsia" w:ascii="仿宋_GB2312" w:hAnsi="仿宋" w:eastAsia="仿宋_GB2312"/>
          <w:sz w:val="30"/>
          <w:szCs w:val="30"/>
          <w:lang w:val="en-US" w:eastAsia="zh-CN"/>
        </w:rPr>
        <w:t>28</w:t>
      </w:r>
      <w:r>
        <w:rPr>
          <w:rFonts w:hint="eastAsia" w:ascii="仿宋_GB2312" w:hAnsi="仿宋" w:eastAsia="仿宋_GB2312"/>
          <w:sz w:val="30"/>
          <w:szCs w:val="30"/>
        </w:rPr>
        <w:t>日8:30-11:30。第二场竞赛时间为12月</w:t>
      </w:r>
      <w:r>
        <w:rPr>
          <w:rFonts w:hint="eastAsia" w:ascii="仿宋_GB2312" w:hAnsi="仿宋" w:eastAsia="仿宋_GB2312"/>
          <w:sz w:val="30"/>
          <w:szCs w:val="30"/>
          <w:lang w:val="en-US" w:eastAsia="zh-CN"/>
        </w:rPr>
        <w:t>28</w:t>
      </w:r>
      <w:r>
        <w:rPr>
          <w:rFonts w:hint="eastAsia" w:ascii="仿宋_GB2312" w:hAnsi="仿宋" w:eastAsia="仿宋_GB2312"/>
          <w:sz w:val="30"/>
          <w:szCs w:val="30"/>
        </w:rPr>
        <w:t>日15:00-18:00，比赛中止时刻各参赛队停止比赛，递交比赛作品和文档。</w:t>
      </w:r>
    </w:p>
    <w:p>
      <w:pPr>
        <w:snapToGrid w:val="0"/>
        <w:spacing w:line="560" w:lineRule="atLeas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（二）竞赛流程</w:t>
      </w:r>
    </w:p>
    <w:tbl>
      <w:tblPr>
        <w:tblStyle w:val="16"/>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02"/>
        <w:gridCol w:w="1578"/>
        <w:gridCol w:w="2985"/>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jc w:val="center"/>
        </w:trPr>
        <w:tc>
          <w:tcPr>
            <w:tcW w:w="1282" w:type="dxa"/>
            <w:tcMar>
              <w:top w:w="0" w:type="dxa"/>
              <w:left w:w="86" w:type="dxa"/>
              <w:bottom w:w="0" w:type="dxa"/>
              <w:right w:w="86" w:type="dxa"/>
            </w:tcMar>
            <w:vAlign w:val="center"/>
          </w:tcPr>
          <w:p>
            <w:pPr>
              <w:pStyle w:val="14"/>
              <w:rPr>
                <w:rFonts w:hint="eastAsia" w:ascii="黑体" w:hAnsi="黑体" w:eastAsia="黑体" w:cs="黑体"/>
              </w:rPr>
            </w:pPr>
            <w:r>
              <w:rPr>
                <w:rFonts w:hint="eastAsia" w:ascii="黑体" w:hAnsi="黑体" w:eastAsia="黑体" w:cs="黑体"/>
              </w:rPr>
              <w:t>日期</w:t>
            </w:r>
          </w:p>
        </w:tc>
        <w:tc>
          <w:tcPr>
            <w:tcW w:w="1554" w:type="dxa"/>
            <w:tcMar>
              <w:top w:w="0" w:type="dxa"/>
              <w:left w:w="86" w:type="dxa"/>
              <w:bottom w:w="0" w:type="dxa"/>
              <w:right w:w="86" w:type="dxa"/>
            </w:tcMar>
            <w:vAlign w:val="center"/>
          </w:tcPr>
          <w:p>
            <w:pPr>
              <w:pStyle w:val="14"/>
              <w:rPr>
                <w:rFonts w:hint="eastAsia" w:ascii="黑体" w:hAnsi="黑体" w:eastAsia="黑体" w:cs="黑体"/>
              </w:rPr>
            </w:pPr>
            <w:r>
              <w:rPr>
                <w:rFonts w:hint="eastAsia" w:ascii="黑体" w:hAnsi="黑体" w:eastAsia="黑体" w:cs="黑体"/>
              </w:rPr>
              <w:t>时间</w:t>
            </w:r>
          </w:p>
        </w:tc>
        <w:tc>
          <w:tcPr>
            <w:tcW w:w="2940" w:type="dxa"/>
            <w:tcMar>
              <w:top w:w="0" w:type="dxa"/>
              <w:left w:w="86" w:type="dxa"/>
              <w:bottom w:w="0" w:type="dxa"/>
              <w:right w:w="86" w:type="dxa"/>
            </w:tcMar>
            <w:vAlign w:val="center"/>
          </w:tcPr>
          <w:p>
            <w:pPr>
              <w:pStyle w:val="14"/>
              <w:rPr>
                <w:rFonts w:hint="eastAsia" w:ascii="黑体" w:hAnsi="黑体" w:eastAsia="黑体" w:cs="黑体"/>
              </w:rPr>
            </w:pPr>
            <w:r>
              <w:rPr>
                <w:rFonts w:hint="eastAsia" w:ascii="黑体" w:hAnsi="黑体" w:eastAsia="黑体" w:cs="黑体"/>
              </w:rPr>
              <w:t>事项</w:t>
            </w:r>
          </w:p>
        </w:tc>
        <w:tc>
          <w:tcPr>
            <w:tcW w:w="3341" w:type="dxa"/>
            <w:tcMar>
              <w:top w:w="0" w:type="dxa"/>
              <w:left w:w="46" w:type="dxa"/>
              <w:bottom w:w="0" w:type="dxa"/>
              <w:right w:w="46" w:type="dxa"/>
            </w:tcMar>
            <w:vAlign w:val="center"/>
          </w:tcPr>
          <w:p>
            <w:pPr>
              <w:pStyle w:val="14"/>
              <w:rPr>
                <w:rFonts w:hint="eastAsia" w:ascii="黑体" w:hAnsi="黑体" w:eastAsia="黑体" w:cs="黑体"/>
              </w:rPr>
            </w:pPr>
            <w:r>
              <w:rPr>
                <w:rFonts w:hint="eastAsia" w:ascii="黑体" w:hAnsi="黑体" w:eastAsia="黑体" w:cs="黑体"/>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6" w:hRule="atLeast"/>
          <w:jc w:val="center"/>
        </w:trPr>
        <w:tc>
          <w:tcPr>
            <w:tcW w:w="1282" w:type="dxa"/>
            <w:vMerge w:val="restart"/>
            <w:tcMar>
              <w:top w:w="0" w:type="dxa"/>
              <w:left w:w="86" w:type="dxa"/>
              <w:bottom w:w="0" w:type="dxa"/>
              <w:right w:w="86" w:type="dxa"/>
            </w:tcMar>
            <w:vAlign w:val="center"/>
          </w:tcPr>
          <w:p>
            <w:pPr>
              <w:pStyle w:val="14"/>
              <w:rPr>
                <w:rFonts w:hint="eastAsia"/>
              </w:rPr>
            </w:pPr>
            <w:r>
              <w:rPr>
                <w:rFonts w:hint="eastAsia"/>
              </w:rPr>
              <w:t>12月</w:t>
            </w:r>
            <w:r>
              <w:rPr>
                <w:rFonts w:hint="eastAsia"/>
                <w:lang w:val="en-US" w:eastAsia="zh-CN"/>
              </w:rPr>
              <w:t>26</w:t>
            </w:r>
            <w:r>
              <w:rPr>
                <w:rFonts w:hint="eastAsia"/>
              </w:rPr>
              <w:t>日</w:t>
            </w:r>
          </w:p>
        </w:tc>
        <w:tc>
          <w:tcPr>
            <w:tcW w:w="1554" w:type="dxa"/>
            <w:tcMar>
              <w:top w:w="0" w:type="dxa"/>
              <w:left w:w="86" w:type="dxa"/>
              <w:bottom w:w="0" w:type="dxa"/>
              <w:right w:w="86" w:type="dxa"/>
            </w:tcMar>
            <w:vAlign w:val="center"/>
          </w:tcPr>
          <w:p>
            <w:pPr>
              <w:pStyle w:val="14"/>
              <w:rPr>
                <w:rFonts w:hint="eastAsia"/>
              </w:rPr>
            </w:pPr>
            <w:r>
              <w:rPr>
                <w:rFonts w:hint="eastAsia"/>
              </w:rPr>
              <w:t>09:00-1</w:t>
            </w:r>
            <w:r>
              <w:t>2</w:t>
            </w:r>
            <w:r>
              <w:rPr>
                <w:rFonts w:hint="eastAsia"/>
              </w:rPr>
              <w:t>:00</w:t>
            </w:r>
          </w:p>
        </w:tc>
        <w:tc>
          <w:tcPr>
            <w:tcW w:w="2940" w:type="dxa"/>
            <w:tcMar>
              <w:top w:w="0" w:type="dxa"/>
              <w:left w:w="86" w:type="dxa"/>
              <w:bottom w:w="0" w:type="dxa"/>
              <w:right w:w="86" w:type="dxa"/>
            </w:tcMar>
            <w:vAlign w:val="center"/>
          </w:tcPr>
          <w:p>
            <w:pPr>
              <w:pStyle w:val="14"/>
              <w:rPr>
                <w:rFonts w:hint="eastAsia"/>
              </w:rPr>
            </w:pPr>
            <w:r>
              <w:rPr>
                <w:rFonts w:hint="eastAsia"/>
              </w:rPr>
              <w:t>专家组、监督组报到并封闭</w:t>
            </w:r>
          </w:p>
        </w:tc>
        <w:tc>
          <w:tcPr>
            <w:tcW w:w="3341" w:type="dxa"/>
            <w:tcMar>
              <w:top w:w="0" w:type="dxa"/>
              <w:left w:w="46" w:type="dxa"/>
              <w:bottom w:w="0" w:type="dxa"/>
              <w:right w:w="46" w:type="dxa"/>
            </w:tcMar>
            <w:vAlign w:val="center"/>
          </w:tcPr>
          <w:p>
            <w:pPr>
              <w:pStyle w:val="14"/>
              <w:rPr>
                <w:rFonts w:hint="eastAsia"/>
              </w:rPr>
            </w:pPr>
            <w:r>
              <w:rPr>
                <w:rFonts w:hint="eastAsia"/>
              </w:rPr>
              <w:t>专家组、监督组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4" w:hRule="atLeast"/>
          <w:jc w:val="center"/>
        </w:trPr>
        <w:tc>
          <w:tcPr>
            <w:tcW w:w="1282" w:type="dxa"/>
            <w:vMerge w:val="continue"/>
            <w:tcMar>
              <w:top w:w="0" w:type="dxa"/>
              <w:left w:w="86" w:type="dxa"/>
              <w:bottom w:w="0" w:type="dxa"/>
              <w:right w:w="86" w:type="dxa"/>
            </w:tcMar>
            <w:vAlign w:val="center"/>
          </w:tcPr>
          <w:p>
            <w:pPr>
              <w:pStyle w:val="14"/>
              <w:rPr>
                <w:rFonts w:hint="eastAsia"/>
              </w:rPr>
            </w:pPr>
          </w:p>
        </w:tc>
        <w:tc>
          <w:tcPr>
            <w:tcW w:w="1554" w:type="dxa"/>
            <w:tcMar>
              <w:top w:w="0" w:type="dxa"/>
              <w:left w:w="86" w:type="dxa"/>
              <w:bottom w:w="0" w:type="dxa"/>
              <w:right w:w="86" w:type="dxa"/>
            </w:tcMar>
            <w:vAlign w:val="center"/>
          </w:tcPr>
          <w:p>
            <w:pPr>
              <w:pStyle w:val="14"/>
              <w:rPr>
                <w:rFonts w:hint="eastAsia"/>
              </w:rPr>
            </w:pPr>
            <w:r>
              <w:rPr>
                <w:rFonts w:hint="eastAsia"/>
              </w:rPr>
              <w:t>15:00-20:00</w:t>
            </w:r>
          </w:p>
        </w:tc>
        <w:tc>
          <w:tcPr>
            <w:tcW w:w="2940" w:type="dxa"/>
            <w:tcMar>
              <w:top w:w="0" w:type="dxa"/>
              <w:left w:w="86" w:type="dxa"/>
              <w:bottom w:w="0" w:type="dxa"/>
              <w:right w:w="86" w:type="dxa"/>
            </w:tcMar>
            <w:vAlign w:val="center"/>
          </w:tcPr>
          <w:p>
            <w:pPr>
              <w:pStyle w:val="14"/>
              <w:rPr>
                <w:rFonts w:hint="eastAsia"/>
              </w:rPr>
            </w:pPr>
            <w:r>
              <w:rPr>
                <w:rFonts w:hint="eastAsia"/>
              </w:rPr>
              <w:t>专家组抽题或组题、赛题测试</w:t>
            </w:r>
          </w:p>
        </w:tc>
        <w:tc>
          <w:tcPr>
            <w:tcW w:w="3341" w:type="dxa"/>
            <w:tcMar>
              <w:top w:w="0" w:type="dxa"/>
              <w:left w:w="46" w:type="dxa"/>
              <w:bottom w:w="0" w:type="dxa"/>
              <w:right w:w="46" w:type="dxa"/>
            </w:tcMar>
            <w:vAlign w:val="center"/>
          </w:tcPr>
          <w:p>
            <w:pPr>
              <w:pStyle w:val="14"/>
              <w:rPr>
                <w:rFonts w:hint="eastAsia"/>
              </w:rPr>
            </w:pPr>
            <w:r>
              <w:rPr>
                <w:rFonts w:hint="eastAsia"/>
              </w:rPr>
              <w:t>专家组、监督组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82" w:type="dxa"/>
            <w:vMerge w:val="restart"/>
            <w:tcMar>
              <w:top w:w="0" w:type="dxa"/>
              <w:left w:w="86" w:type="dxa"/>
              <w:bottom w:w="0" w:type="dxa"/>
              <w:right w:w="86" w:type="dxa"/>
            </w:tcMar>
            <w:vAlign w:val="center"/>
          </w:tcPr>
          <w:p>
            <w:pPr>
              <w:pStyle w:val="14"/>
              <w:rPr>
                <w:rFonts w:hint="eastAsia"/>
              </w:rPr>
            </w:pPr>
            <w:r>
              <w:rPr>
                <w:rFonts w:hint="eastAsia"/>
              </w:rPr>
              <w:t>12月</w:t>
            </w:r>
            <w:r>
              <w:rPr>
                <w:rFonts w:hint="eastAsia"/>
                <w:lang w:val="en-US" w:eastAsia="zh-CN"/>
              </w:rPr>
              <w:t>27</w:t>
            </w:r>
            <w:r>
              <w:rPr>
                <w:rFonts w:hint="eastAsia"/>
              </w:rPr>
              <w:t>日</w:t>
            </w:r>
          </w:p>
        </w:tc>
        <w:tc>
          <w:tcPr>
            <w:tcW w:w="1554" w:type="dxa"/>
            <w:tcMar>
              <w:top w:w="0" w:type="dxa"/>
              <w:left w:w="86" w:type="dxa"/>
              <w:bottom w:w="0" w:type="dxa"/>
              <w:right w:w="86" w:type="dxa"/>
            </w:tcMar>
            <w:vAlign w:val="center"/>
          </w:tcPr>
          <w:p>
            <w:pPr>
              <w:pStyle w:val="14"/>
              <w:rPr>
                <w:rFonts w:hint="eastAsia"/>
              </w:rPr>
            </w:pPr>
            <w:r>
              <w:rPr>
                <w:rFonts w:hint="eastAsia"/>
              </w:rPr>
              <w:t>09:00-1</w:t>
            </w:r>
            <w:r>
              <w:t>2</w:t>
            </w:r>
            <w:r>
              <w:rPr>
                <w:rFonts w:hint="eastAsia"/>
              </w:rPr>
              <w:t>:00</w:t>
            </w:r>
          </w:p>
        </w:tc>
        <w:tc>
          <w:tcPr>
            <w:tcW w:w="2940" w:type="dxa"/>
            <w:tcMar>
              <w:top w:w="0" w:type="dxa"/>
              <w:left w:w="86" w:type="dxa"/>
              <w:bottom w:w="0" w:type="dxa"/>
              <w:right w:w="86" w:type="dxa"/>
            </w:tcMar>
            <w:vAlign w:val="center"/>
          </w:tcPr>
          <w:p>
            <w:pPr>
              <w:pStyle w:val="14"/>
              <w:rPr>
                <w:rFonts w:hint="eastAsia"/>
              </w:rPr>
            </w:pPr>
            <w:r>
              <w:rPr>
                <w:rFonts w:hint="eastAsia"/>
              </w:rPr>
              <w:t>裁判、仲裁报到</w:t>
            </w:r>
          </w:p>
        </w:tc>
        <w:tc>
          <w:tcPr>
            <w:tcW w:w="3341" w:type="dxa"/>
            <w:tcMar>
              <w:top w:w="0" w:type="dxa"/>
              <w:left w:w="46" w:type="dxa"/>
              <w:bottom w:w="0" w:type="dxa"/>
              <w:right w:w="46" w:type="dxa"/>
            </w:tcMar>
            <w:vAlign w:val="center"/>
          </w:tcPr>
          <w:p>
            <w:pPr>
              <w:pStyle w:val="14"/>
              <w:rPr>
                <w:rFonts w:hint="eastAsia"/>
              </w:rPr>
            </w:pPr>
            <w:r>
              <w:rPr>
                <w:rFonts w:hint="eastAsia"/>
              </w:rPr>
              <w:t>裁判组、仲裁组成员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09:00-1</w:t>
            </w:r>
            <w:r>
              <w:t>2</w:t>
            </w:r>
            <w:r>
              <w:rPr>
                <w:rFonts w:hint="eastAsia"/>
              </w:rPr>
              <w:t>:</w:t>
            </w:r>
            <w:r>
              <w:t>0</w:t>
            </w:r>
            <w:r>
              <w:rPr>
                <w:rFonts w:hint="eastAsia"/>
              </w:rPr>
              <w:t>0</w:t>
            </w:r>
          </w:p>
        </w:tc>
        <w:tc>
          <w:tcPr>
            <w:tcW w:w="2940" w:type="dxa"/>
            <w:tcMar>
              <w:top w:w="0" w:type="dxa"/>
              <w:left w:w="86" w:type="dxa"/>
              <w:bottom w:w="0" w:type="dxa"/>
              <w:right w:w="86" w:type="dxa"/>
            </w:tcMar>
            <w:vAlign w:val="center"/>
          </w:tcPr>
          <w:p>
            <w:pPr>
              <w:pStyle w:val="14"/>
              <w:rPr>
                <w:rFonts w:hint="eastAsia"/>
              </w:rPr>
            </w:pPr>
            <w:r>
              <w:rPr>
                <w:rFonts w:hint="eastAsia"/>
              </w:rPr>
              <w:t>参赛队报到</w:t>
            </w:r>
          </w:p>
        </w:tc>
        <w:tc>
          <w:tcPr>
            <w:tcW w:w="3341" w:type="dxa"/>
            <w:tcMar>
              <w:top w:w="0" w:type="dxa"/>
              <w:left w:w="46" w:type="dxa"/>
              <w:bottom w:w="0" w:type="dxa"/>
              <w:right w:w="46" w:type="dxa"/>
            </w:tcMar>
            <w:vAlign w:val="center"/>
          </w:tcPr>
          <w:p>
            <w:pPr>
              <w:pStyle w:val="14"/>
              <w:rPr>
                <w:rFonts w:hint="eastAsia"/>
              </w:rPr>
            </w:pPr>
            <w:r>
              <w:rPr>
                <w:rFonts w:hint="eastAsia"/>
              </w:rPr>
              <w:t>各参赛队领队、选手、指导老师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13:00-14:00</w:t>
            </w:r>
          </w:p>
        </w:tc>
        <w:tc>
          <w:tcPr>
            <w:tcW w:w="2940" w:type="dxa"/>
            <w:tcMar>
              <w:top w:w="0" w:type="dxa"/>
              <w:left w:w="86" w:type="dxa"/>
              <w:bottom w:w="0" w:type="dxa"/>
              <w:right w:w="86" w:type="dxa"/>
            </w:tcMar>
            <w:vAlign w:val="center"/>
          </w:tcPr>
          <w:p>
            <w:pPr>
              <w:pStyle w:val="14"/>
              <w:rPr>
                <w:rFonts w:hint="eastAsia"/>
              </w:rPr>
            </w:pPr>
            <w:r>
              <w:rPr>
                <w:rFonts w:hint="eastAsia"/>
              </w:rPr>
              <w:t>赛前工作会议</w:t>
            </w:r>
          </w:p>
        </w:tc>
        <w:tc>
          <w:tcPr>
            <w:tcW w:w="3341" w:type="dxa"/>
            <w:tcMar>
              <w:top w:w="0" w:type="dxa"/>
              <w:left w:w="46" w:type="dxa"/>
              <w:bottom w:w="0" w:type="dxa"/>
              <w:right w:w="46" w:type="dxa"/>
            </w:tcMar>
            <w:vAlign w:val="center"/>
          </w:tcPr>
          <w:p>
            <w:pPr>
              <w:pStyle w:val="14"/>
              <w:rPr>
                <w:rFonts w:hint="eastAsia"/>
              </w:rPr>
            </w:pPr>
            <w:r>
              <w:rPr>
                <w:rFonts w:hint="eastAsia"/>
              </w:rPr>
              <w:t>赛项执委会成员、裁判组、监督仲裁组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14:00-15:00</w:t>
            </w:r>
          </w:p>
        </w:tc>
        <w:tc>
          <w:tcPr>
            <w:tcW w:w="2940" w:type="dxa"/>
            <w:tcMar>
              <w:top w:w="0" w:type="dxa"/>
              <w:left w:w="86" w:type="dxa"/>
              <w:bottom w:w="0" w:type="dxa"/>
              <w:right w:w="86" w:type="dxa"/>
            </w:tcMar>
            <w:vAlign w:val="center"/>
          </w:tcPr>
          <w:p>
            <w:pPr>
              <w:pStyle w:val="14"/>
              <w:rPr>
                <w:rFonts w:hint="eastAsia"/>
              </w:rPr>
            </w:pPr>
            <w:r>
              <w:rPr>
                <w:rFonts w:hint="eastAsia"/>
              </w:rPr>
              <w:t>裁判培训会议</w:t>
            </w:r>
          </w:p>
        </w:tc>
        <w:tc>
          <w:tcPr>
            <w:tcW w:w="3341" w:type="dxa"/>
            <w:tcMar>
              <w:top w:w="0" w:type="dxa"/>
              <w:left w:w="46" w:type="dxa"/>
              <w:bottom w:w="0" w:type="dxa"/>
              <w:right w:w="46" w:type="dxa"/>
            </w:tcMar>
            <w:vAlign w:val="center"/>
          </w:tcPr>
          <w:p>
            <w:pPr>
              <w:pStyle w:val="14"/>
              <w:rPr>
                <w:rFonts w:hint="eastAsia"/>
              </w:rPr>
            </w:pPr>
            <w:r>
              <w:rPr>
                <w:rFonts w:hint="eastAsia"/>
              </w:rPr>
              <w:t>裁判组、监督组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15:00-16:00</w:t>
            </w:r>
          </w:p>
        </w:tc>
        <w:tc>
          <w:tcPr>
            <w:tcW w:w="2940" w:type="dxa"/>
            <w:tcMar>
              <w:top w:w="0" w:type="dxa"/>
              <w:left w:w="86" w:type="dxa"/>
              <w:bottom w:w="0" w:type="dxa"/>
              <w:right w:w="86" w:type="dxa"/>
            </w:tcMar>
            <w:vAlign w:val="center"/>
          </w:tcPr>
          <w:p>
            <w:pPr>
              <w:pStyle w:val="14"/>
              <w:rPr>
                <w:rFonts w:hint="eastAsia"/>
              </w:rPr>
            </w:pPr>
            <w:r>
              <w:rPr>
                <w:rFonts w:hint="eastAsia"/>
              </w:rPr>
              <w:t>开赛式及领队会议</w:t>
            </w:r>
          </w:p>
        </w:tc>
        <w:tc>
          <w:tcPr>
            <w:tcW w:w="3341" w:type="dxa"/>
            <w:tcMar>
              <w:top w:w="0" w:type="dxa"/>
              <w:left w:w="46" w:type="dxa"/>
              <w:bottom w:w="0" w:type="dxa"/>
              <w:right w:w="46" w:type="dxa"/>
            </w:tcMar>
            <w:vAlign w:val="center"/>
          </w:tcPr>
          <w:p>
            <w:pPr>
              <w:pStyle w:val="14"/>
              <w:rPr>
                <w:rFonts w:hint="eastAsia"/>
              </w:rPr>
            </w:pPr>
            <w:r>
              <w:rPr>
                <w:rFonts w:hint="eastAsia"/>
              </w:rPr>
              <w:t>赛项执委会成员、专家组长、裁判长、参赛队领队、选手、指导老师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16:00-17:00</w:t>
            </w:r>
          </w:p>
        </w:tc>
        <w:tc>
          <w:tcPr>
            <w:tcW w:w="2940" w:type="dxa"/>
            <w:tcMar>
              <w:top w:w="0" w:type="dxa"/>
              <w:left w:w="86" w:type="dxa"/>
              <w:bottom w:w="0" w:type="dxa"/>
              <w:right w:w="86" w:type="dxa"/>
            </w:tcMar>
            <w:vAlign w:val="center"/>
          </w:tcPr>
          <w:p>
            <w:pPr>
              <w:pStyle w:val="14"/>
              <w:rPr>
                <w:rFonts w:hint="eastAsia"/>
              </w:rPr>
            </w:pPr>
            <w:r>
              <w:rPr>
                <w:rFonts w:hint="eastAsia"/>
              </w:rPr>
              <w:t>参赛队熟悉赛场</w:t>
            </w:r>
          </w:p>
          <w:p>
            <w:pPr>
              <w:pStyle w:val="14"/>
              <w:rPr>
                <w:rFonts w:hint="eastAsia"/>
              </w:rPr>
            </w:pPr>
            <w:r>
              <w:rPr>
                <w:rFonts w:hint="eastAsia"/>
              </w:rPr>
              <w:t>自带设备参赛队安装调试设备</w:t>
            </w:r>
          </w:p>
          <w:p>
            <w:pPr>
              <w:pStyle w:val="14"/>
              <w:rPr>
                <w:rFonts w:hint="eastAsia"/>
              </w:rPr>
            </w:pPr>
            <w:r>
              <w:rPr>
                <w:rFonts w:hint="eastAsia"/>
              </w:rPr>
              <w:t>自带设备清单及赛场环境要求确认信息</w:t>
            </w:r>
          </w:p>
        </w:tc>
        <w:tc>
          <w:tcPr>
            <w:tcW w:w="3341" w:type="dxa"/>
            <w:tcMar>
              <w:top w:w="0" w:type="dxa"/>
              <w:left w:w="46" w:type="dxa"/>
              <w:bottom w:w="0" w:type="dxa"/>
              <w:right w:w="46" w:type="dxa"/>
            </w:tcMar>
            <w:vAlign w:val="center"/>
          </w:tcPr>
          <w:p>
            <w:pPr>
              <w:pStyle w:val="14"/>
              <w:rPr>
                <w:rFonts w:hint="eastAsia"/>
              </w:rPr>
            </w:pPr>
            <w:r>
              <w:rPr>
                <w:rFonts w:hint="eastAsia"/>
              </w:rPr>
              <w:t>监督组、裁判长、各参赛队选手、指导老师、技术人员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17:00-21:00</w:t>
            </w:r>
          </w:p>
        </w:tc>
        <w:tc>
          <w:tcPr>
            <w:tcW w:w="2940" w:type="dxa"/>
            <w:tcMar>
              <w:top w:w="0" w:type="dxa"/>
              <w:left w:w="86" w:type="dxa"/>
              <w:bottom w:w="0" w:type="dxa"/>
              <w:right w:w="86" w:type="dxa"/>
            </w:tcMar>
            <w:vAlign w:val="center"/>
          </w:tcPr>
          <w:p>
            <w:pPr>
              <w:pStyle w:val="14"/>
              <w:rPr>
                <w:rFonts w:hint="eastAsia"/>
              </w:rPr>
            </w:pPr>
            <w:r>
              <w:rPr>
                <w:rFonts w:hint="eastAsia"/>
              </w:rPr>
              <w:t>专家组测试赛题、修改赛题</w:t>
            </w:r>
          </w:p>
        </w:tc>
        <w:tc>
          <w:tcPr>
            <w:tcW w:w="3341" w:type="dxa"/>
            <w:tcMar>
              <w:top w:w="0" w:type="dxa"/>
              <w:left w:w="46" w:type="dxa"/>
              <w:bottom w:w="0" w:type="dxa"/>
              <w:right w:w="46" w:type="dxa"/>
            </w:tcMar>
            <w:vAlign w:val="center"/>
          </w:tcPr>
          <w:p>
            <w:pPr>
              <w:pStyle w:val="14"/>
              <w:rPr>
                <w:rFonts w:hint="eastAsia"/>
              </w:rPr>
            </w:pPr>
            <w:r>
              <w:rPr>
                <w:rFonts w:hint="eastAsia"/>
              </w:rPr>
              <w:t>专家组、监督组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21:00-22:00</w:t>
            </w:r>
          </w:p>
        </w:tc>
        <w:tc>
          <w:tcPr>
            <w:tcW w:w="2940" w:type="dxa"/>
            <w:tcMar>
              <w:top w:w="0" w:type="dxa"/>
              <w:left w:w="86" w:type="dxa"/>
              <w:bottom w:w="0" w:type="dxa"/>
              <w:right w:w="86" w:type="dxa"/>
            </w:tcMar>
            <w:vAlign w:val="center"/>
          </w:tcPr>
          <w:p>
            <w:pPr>
              <w:pStyle w:val="14"/>
              <w:rPr>
                <w:rFonts w:hint="eastAsia"/>
              </w:rPr>
            </w:pPr>
            <w:r>
              <w:rPr>
                <w:rFonts w:hint="eastAsia"/>
              </w:rPr>
              <w:t>检查封闭赛场</w:t>
            </w:r>
          </w:p>
        </w:tc>
        <w:tc>
          <w:tcPr>
            <w:tcW w:w="3341" w:type="dxa"/>
            <w:tcMar>
              <w:top w:w="0" w:type="dxa"/>
              <w:left w:w="46" w:type="dxa"/>
              <w:bottom w:w="0" w:type="dxa"/>
              <w:right w:w="46" w:type="dxa"/>
            </w:tcMar>
            <w:vAlign w:val="center"/>
          </w:tcPr>
          <w:p>
            <w:pPr>
              <w:pStyle w:val="14"/>
              <w:rPr>
                <w:rFonts w:hint="eastAsia"/>
              </w:rPr>
            </w:pPr>
            <w:r>
              <w:rPr>
                <w:rFonts w:hint="eastAsia"/>
              </w:rPr>
              <w:t>裁判长、监督组、工作人员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82" w:type="dxa"/>
            <w:vMerge w:val="restart"/>
            <w:tcMar>
              <w:top w:w="0" w:type="dxa"/>
              <w:left w:w="86" w:type="dxa"/>
              <w:bottom w:w="0" w:type="dxa"/>
              <w:right w:w="86" w:type="dxa"/>
            </w:tcMar>
            <w:vAlign w:val="center"/>
          </w:tcPr>
          <w:p>
            <w:pPr>
              <w:pStyle w:val="14"/>
              <w:rPr>
                <w:rFonts w:hint="eastAsia"/>
              </w:rPr>
            </w:pPr>
            <w:r>
              <w:rPr>
                <w:rFonts w:hint="eastAsia"/>
              </w:rPr>
              <w:t>12月</w:t>
            </w:r>
            <w:r>
              <w:rPr>
                <w:rFonts w:hint="eastAsia"/>
                <w:lang w:val="en-US" w:eastAsia="zh-CN"/>
              </w:rPr>
              <w:t>28</w:t>
            </w:r>
            <w:r>
              <w:rPr>
                <w:rFonts w:hint="eastAsia"/>
              </w:rPr>
              <w:t>日</w:t>
            </w:r>
          </w:p>
        </w:tc>
        <w:tc>
          <w:tcPr>
            <w:tcW w:w="1554" w:type="dxa"/>
            <w:tcMar>
              <w:top w:w="0" w:type="dxa"/>
              <w:left w:w="86" w:type="dxa"/>
              <w:bottom w:w="0" w:type="dxa"/>
              <w:right w:w="86" w:type="dxa"/>
            </w:tcMar>
            <w:vAlign w:val="center"/>
          </w:tcPr>
          <w:p>
            <w:pPr>
              <w:pStyle w:val="14"/>
              <w:rPr>
                <w:rFonts w:hint="eastAsia"/>
              </w:rPr>
            </w:pPr>
            <w:r>
              <w:rPr>
                <w:rFonts w:hint="eastAsia"/>
              </w:rPr>
              <w:t>07:40-</w:t>
            </w:r>
            <w:r>
              <w:t>0</w:t>
            </w:r>
            <w:r>
              <w:rPr>
                <w:rFonts w:hint="eastAsia"/>
              </w:rPr>
              <w:t>8:00</w:t>
            </w:r>
          </w:p>
        </w:tc>
        <w:tc>
          <w:tcPr>
            <w:tcW w:w="2940" w:type="dxa"/>
            <w:tcMar>
              <w:top w:w="0" w:type="dxa"/>
              <w:left w:w="86" w:type="dxa"/>
              <w:bottom w:w="0" w:type="dxa"/>
              <w:right w:w="86" w:type="dxa"/>
            </w:tcMar>
            <w:vAlign w:val="center"/>
          </w:tcPr>
          <w:p>
            <w:pPr>
              <w:pStyle w:val="14"/>
              <w:rPr>
                <w:rFonts w:hint="eastAsia"/>
              </w:rPr>
            </w:pPr>
            <w:r>
              <w:rPr>
                <w:rFonts w:hint="eastAsia"/>
              </w:rPr>
              <w:t>第一场选手检录</w:t>
            </w:r>
          </w:p>
          <w:p>
            <w:pPr>
              <w:pStyle w:val="14"/>
              <w:rPr>
                <w:rFonts w:hint="eastAsia"/>
              </w:rPr>
            </w:pPr>
            <w:r>
              <w:rPr>
                <w:rFonts w:hint="eastAsia"/>
              </w:rPr>
              <w:t>第二场选手封闭</w:t>
            </w:r>
          </w:p>
        </w:tc>
        <w:tc>
          <w:tcPr>
            <w:tcW w:w="3341" w:type="dxa"/>
            <w:tcMar>
              <w:top w:w="0" w:type="dxa"/>
              <w:left w:w="46" w:type="dxa"/>
              <w:bottom w:w="0" w:type="dxa"/>
              <w:right w:w="46" w:type="dxa"/>
            </w:tcMar>
            <w:vAlign w:val="center"/>
          </w:tcPr>
          <w:p>
            <w:pPr>
              <w:pStyle w:val="14"/>
              <w:rPr>
                <w:rFonts w:hint="eastAsia"/>
              </w:rPr>
            </w:pPr>
            <w:r>
              <w:rPr>
                <w:rFonts w:hint="eastAsia"/>
              </w:rPr>
              <w:t>各参赛队选手、工作人员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t>0</w:t>
            </w:r>
            <w:r>
              <w:rPr>
                <w:rFonts w:hint="eastAsia"/>
              </w:rPr>
              <w:t>8:00-</w:t>
            </w:r>
            <w:r>
              <w:t>0</w:t>
            </w:r>
            <w:r>
              <w:rPr>
                <w:rFonts w:hint="eastAsia"/>
              </w:rPr>
              <w:t>8:10</w:t>
            </w:r>
          </w:p>
        </w:tc>
        <w:tc>
          <w:tcPr>
            <w:tcW w:w="2940" w:type="dxa"/>
            <w:tcMar>
              <w:top w:w="0" w:type="dxa"/>
              <w:left w:w="86" w:type="dxa"/>
              <w:bottom w:w="0" w:type="dxa"/>
              <w:right w:w="86" w:type="dxa"/>
            </w:tcMar>
            <w:vAlign w:val="center"/>
          </w:tcPr>
          <w:p>
            <w:pPr>
              <w:pStyle w:val="14"/>
              <w:rPr>
                <w:rFonts w:hint="eastAsia"/>
              </w:rPr>
            </w:pPr>
            <w:r>
              <w:rPr>
                <w:rFonts w:hint="eastAsia"/>
              </w:rPr>
              <w:t>第一场参赛队两次加密</w:t>
            </w:r>
          </w:p>
        </w:tc>
        <w:tc>
          <w:tcPr>
            <w:tcW w:w="3341" w:type="dxa"/>
            <w:tcMar>
              <w:top w:w="0" w:type="dxa"/>
              <w:left w:w="46" w:type="dxa"/>
              <w:bottom w:w="0" w:type="dxa"/>
              <w:right w:w="46" w:type="dxa"/>
            </w:tcMar>
            <w:vAlign w:val="center"/>
          </w:tcPr>
          <w:p>
            <w:pPr>
              <w:pStyle w:val="14"/>
              <w:rPr>
                <w:rFonts w:hint="eastAsia"/>
              </w:rPr>
            </w:pPr>
            <w:r>
              <w:rPr>
                <w:rFonts w:hint="eastAsia"/>
              </w:rPr>
              <w:t>第一场参赛队选手、加密裁判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08:10-08:30</w:t>
            </w:r>
          </w:p>
        </w:tc>
        <w:tc>
          <w:tcPr>
            <w:tcW w:w="2940" w:type="dxa"/>
            <w:tcMar>
              <w:top w:w="0" w:type="dxa"/>
              <w:left w:w="86" w:type="dxa"/>
              <w:bottom w:w="0" w:type="dxa"/>
              <w:right w:w="86" w:type="dxa"/>
            </w:tcMar>
            <w:vAlign w:val="center"/>
          </w:tcPr>
          <w:p>
            <w:pPr>
              <w:pStyle w:val="14"/>
              <w:rPr>
                <w:rFonts w:hint="eastAsia"/>
              </w:rPr>
            </w:pPr>
            <w:r>
              <w:rPr>
                <w:rFonts w:hint="eastAsia"/>
              </w:rPr>
              <w:t>第一场参赛队进入赛场</w:t>
            </w:r>
          </w:p>
          <w:p>
            <w:pPr>
              <w:pStyle w:val="14"/>
              <w:rPr>
                <w:rFonts w:hint="eastAsia"/>
              </w:rPr>
            </w:pPr>
            <w:r>
              <w:rPr>
                <w:rFonts w:hint="eastAsia"/>
              </w:rPr>
              <w:t>赛前设备检查</w:t>
            </w:r>
          </w:p>
        </w:tc>
        <w:tc>
          <w:tcPr>
            <w:tcW w:w="3341" w:type="dxa"/>
            <w:tcMar>
              <w:top w:w="0" w:type="dxa"/>
              <w:left w:w="46" w:type="dxa"/>
              <w:bottom w:w="0" w:type="dxa"/>
              <w:right w:w="46" w:type="dxa"/>
            </w:tcMar>
            <w:vAlign w:val="center"/>
          </w:tcPr>
          <w:p>
            <w:pPr>
              <w:pStyle w:val="14"/>
              <w:rPr>
                <w:rFonts w:hint="eastAsia"/>
              </w:rPr>
            </w:pPr>
            <w:r>
              <w:rPr>
                <w:rFonts w:hint="eastAsia"/>
              </w:rPr>
              <w:t>第一场参赛队选手、现场裁判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08:30-11:30</w:t>
            </w:r>
          </w:p>
        </w:tc>
        <w:tc>
          <w:tcPr>
            <w:tcW w:w="2940" w:type="dxa"/>
            <w:tcMar>
              <w:top w:w="0" w:type="dxa"/>
              <w:left w:w="86" w:type="dxa"/>
              <w:bottom w:w="0" w:type="dxa"/>
              <w:right w:w="86" w:type="dxa"/>
            </w:tcMar>
            <w:vAlign w:val="center"/>
          </w:tcPr>
          <w:p>
            <w:pPr>
              <w:pStyle w:val="14"/>
              <w:rPr>
                <w:rFonts w:hint="eastAsia"/>
              </w:rPr>
            </w:pPr>
            <w:r>
              <w:rPr>
                <w:rFonts w:hint="eastAsia"/>
              </w:rPr>
              <w:t>第一场竞赛选手完成竞赛任务</w:t>
            </w:r>
          </w:p>
        </w:tc>
        <w:tc>
          <w:tcPr>
            <w:tcW w:w="3341" w:type="dxa"/>
            <w:tcMar>
              <w:top w:w="0" w:type="dxa"/>
              <w:left w:w="46" w:type="dxa"/>
              <w:bottom w:w="0" w:type="dxa"/>
              <w:right w:w="46" w:type="dxa"/>
            </w:tcMar>
            <w:vAlign w:val="center"/>
          </w:tcPr>
          <w:p>
            <w:pPr>
              <w:pStyle w:val="14"/>
              <w:rPr>
                <w:rFonts w:hint="eastAsia"/>
              </w:rPr>
            </w:pPr>
            <w:r>
              <w:rPr>
                <w:rFonts w:hint="eastAsia"/>
              </w:rPr>
              <w:t>第一场参赛队选手、现场裁判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11:30-</w:t>
            </w:r>
            <w:r>
              <w:t>1</w:t>
            </w:r>
            <w:r>
              <w:rPr>
                <w:rFonts w:hint="eastAsia"/>
              </w:rPr>
              <w:t>3:30</w:t>
            </w:r>
          </w:p>
        </w:tc>
        <w:tc>
          <w:tcPr>
            <w:tcW w:w="2940" w:type="dxa"/>
            <w:tcMar>
              <w:top w:w="0" w:type="dxa"/>
              <w:left w:w="86" w:type="dxa"/>
              <w:bottom w:w="0" w:type="dxa"/>
              <w:right w:w="86" w:type="dxa"/>
            </w:tcMar>
            <w:vAlign w:val="center"/>
          </w:tcPr>
          <w:p>
            <w:pPr>
              <w:pStyle w:val="14"/>
              <w:rPr>
                <w:rFonts w:hint="eastAsia"/>
              </w:rPr>
            </w:pPr>
            <w:r>
              <w:rPr>
                <w:rFonts w:hint="eastAsia"/>
              </w:rPr>
              <w:t>第一场竞赛申诉受理</w:t>
            </w:r>
          </w:p>
        </w:tc>
        <w:tc>
          <w:tcPr>
            <w:tcW w:w="3341" w:type="dxa"/>
            <w:tcMar>
              <w:top w:w="0" w:type="dxa"/>
              <w:left w:w="46" w:type="dxa"/>
              <w:bottom w:w="0" w:type="dxa"/>
              <w:right w:w="46" w:type="dxa"/>
            </w:tcMar>
            <w:vAlign w:val="center"/>
          </w:tcPr>
          <w:p>
            <w:pPr>
              <w:pStyle w:val="14"/>
              <w:rPr>
                <w:rFonts w:hint="eastAsia"/>
              </w:rPr>
            </w:pPr>
            <w:r>
              <w:rPr>
                <w:rFonts w:hint="eastAsia"/>
              </w:rPr>
              <w:t>监督仲裁、裁判长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12:00-14:00</w:t>
            </w:r>
          </w:p>
        </w:tc>
        <w:tc>
          <w:tcPr>
            <w:tcW w:w="2940" w:type="dxa"/>
            <w:tcMar>
              <w:top w:w="0" w:type="dxa"/>
              <w:left w:w="86" w:type="dxa"/>
              <w:bottom w:w="0" w:type="dxa"/>
              <w:right w:w="86" w:type="dxa"/>
            </w:tcMar>
            <w:vAlign w:val="center"/>
          </w:tcPr>
          <w:p>
            <w:pPr>
              <w:pStyle w:val="14"/>
              <w:rPr>
                <w:rFonts w:hint="eastAsia"/>
              </w:rPr>
            </w:pPr>
            <w:r>
              <w:rPr>
                <w:rFonts w:hint="eastAsia"/>
              </w:rPr>
              <w:t>第一场竞赛评分</w:t>
            </w:r>
          </w:p>
        </w:tc>
        <w:tc>
          <w:tcPr>
            <w:tcW w:w="3341" w:type="dxa"/>
            <w:tcMar>
              <w:top w:w="0" w:type="dxa"/>
              <w:left w:w="46" w:type="dxa"/>
              <w:bottom w:w="0" w:type="dxa"/>
              <w:right w:w="46" w:type="dxa"/>
            </w:tcMar>
            <w:vAlign w:val="center"/>
          </w:tcPr>
          <w:p>
            <w:pPr>
              <w:pStyle w:val="14"/>
              <w:rPr>
                <w:rFonts w:hint="eastAsia"/>
              </w:rPr>
            </w:pPr>
            <w:r>
              <w:rPr>
                <w:rFonts w:hint="eastAsia"/>
              </w:rPr>
              <w:t>专家组、评分裁判、监督仲裁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w:t>
            </w:r>
            <w:r>
              <w:t>2</w:t>
            </w:r>
            <w:r>
              <w:rPr>
                <w:rFonts w:hint="eastAsia"/>
              </w:rPr>
              <w:t>:00-14:40</w:t>
            </w:r>
          </w:p>
        </w:tc>
        <w:tc>
          <w:tcPr>
            <w:tcW w:w="2940" w:type="dxa"/>
            <w:tcMar>
              <w:top w:w="0" w:type="dxa"/>
              <w:left w:w="86" w:type="dxa"/>
              <w:bottom w:w="0" w:type="dxa"/>
              <w:right w:w="86" w:type="dxa"/>
            </w:tcMar>
            <w:vAlign w:val="center"/>
          </w:tcPr>
          <w:p>
            <w:pPr>
              <w:pStyle w:val="14"/>
              <w:rPr>
                <w:rFonts w:hint="eastAsia"/>
              </w:rPr>
            </w:pPr>
            <w:r>
              <w:rPr>
                <w:rFonts w:hint="eastAsia"/>
              </w:rPr>
              <w:t>恢复赛场</w:t>
            </w:r>
          </w:p>
        </w:tc>
        <w:tc>
          <w:tcPr>
            <w:tcW w:w="3341" w:type="dxa"/>
            <w:tcMar>
              <w:top w:w="0" w:type="dxa"/>
              <w:left w:w="46" w:type="dxa"/>
              <w:bottom w:w="0" w:type="dxa"/>
              <w:right w:w="46" w:type="dxa"/>
            </w:tcMar>
            <w:vAlign w:val="center"/>
          </w:tcPr>
          <w:p>
            <w:pPr>
              <w:pStyle w:val="14"/>
              <w:rPr>
                <w:rFonts w:hint="eastAsia"/>
              </w:rPr>
            </w:pPr>
            <w:r>
              <w:rPr>
                <w:rFonts w:hint="eastAsia"/>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14:10-14:30</w:t>
            </w:r>
          </w:p>
        </w:tc>
        <w:tc>
          <w:tcPr>
            <w:tcW w:w="2940" w:type="dxa"/>
            <w:tcMar>
              <w:top w:w="0" w:type="dxa"/>
              <w:left w:w="86" w:type="dxa"/>
              <w:bottom w:w="0" w:type="dxa"/>
              <w:right w:w="86" w:type="dxa"/>
            </w:tcMar>
            <w:vAlign w:val="center"/>
          </w:tcPr>
          <w:p>
            <w:pPr>
              <w:pStyle w:val="14"/>
              <w:rPr>
                <w:rFonts w:hint="eastAsia"/>
              </w:rPr>
            </w:pPr>
            <w:r>
              <w:rPr>
                <w:rFonts w:hint="eastAsia"/>
              </w:rPr>
              <w:t>第二场选手检录</w:t>
            </w:r>
          </w:p>
        </w:tc>
        <w:tc>
          <w:tcPr>
            <w:tcW w:w="3341" w:type="dxa"/>
            <w:tcMar>
              <w:top w:w="0" w:type="dxa"/>
              <w:left w:w="46" w:type="dxa"/>
              <w:bottom w:w="0" w:type="dxa"/>
              <w:right w:w="46" w:type="dxa"/>
            </w:tcMar>
            <w:vAlign w:val="center"/>
          </w:tcPr>
          <w:p>
            <w:pPr>
              <w:pStyle w:val="14"/>
              <w:rPr>
                <w:rFonts w:hint="eastAsia"/>
              </w:rPr>
            </w:pPr>
            <w:r>
              <w:rPr>
                <w:rFonts w:hint="eastAsia"/>
              </w:rPr>
              <w:t>第二场参赛队选手、工作人员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14:30-14:40</w:t>
            </w:r>
          </w:p>
        </w:tc>
        <w:tc>
          <w:tcPr>
            <w:tcW w:w="2940" w:type="dxa"/>
            <w:tcMar>
              <w:top w:w="0" w:type="dxa"/>
              <w:left w:w="86" w:type="dxa"/>
              <w:bottom w:w="0" w:type="dxa"/>
              <w:right w:w="86" w:type="dxa"/>
            </w:tcMar>
            <w:vAlign w:val="center"/>
          </w:tcPr>
          <w:p>
            <w:pPr>
              <w:pStyle w:val="14"/>
              <w:rPr>
                <w:rFonts w:hint="eastAsia"/>
              </w:rPr>
            </w:pPr>
            <w:r>
              <w:rPr>
                <w:rFonts w:hint="eastAsia"/>
              </w:rPr>
              <w:t>第二场参赛队两次加密</w:t>
            </w:r>
          </w:p>
        </w:tc>
        <w:tc>
          <w:tcPr>
            <w:tcW w:w="3341" w:type="dxa"/>
            <w:tcMar>
              <w:top w:w="0" w:type="dxa"/>
              <w:left w:w="46" w:type="dxa"/>
              <w:bottom w:w="0" w:type="dxa"/>
              <w:right w:w="46" w:type="dxa"/>
            </w:tcMar>
            <w:vAlign w:val="center"/>
          </w:tcPr>
          <w:p>
            <w:pPr>
              <w:pStyle w:val="14"/>
              <w:rPr>
                <w:rFonts w:hint="eastAsia"/>
              </w:rPr>
            </w:pPr>
            <w:r>
              <w:rPr>
                <w:rFonts w:hint="eastAsia"/>
              </w:rPr>
              <w:t>第二场参赛队选手、加密裁判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14:40-15:00</w:t>
            </w:r>
          </w:p>
        </w:tc>
        <w:tc>
          <w:tcPr>
            <w:tcW w:w="2940" w:type="dxa"/>
            <w:tcMar>
              <w:top w:w="0" w:type="dxa"/>
              <w:left w:w="86" w:type="dxa"/>
              <w:bottom w:w="0" w:type="dxa"/>
              <w:right w:w="86" w:type="dxa"/>
            </w:tcMar>
            <w:vAlign w:val="center"/>
          </w:tcPr>
          <w:p>
            <w:pPr>
              <w:pStyle w:val="14"/>
              <w:rPr>
                <w:rFonts w:hint="eastAsia"/>
              </w:rPr>
            </w:pPr>
            <w:r>
              <w:rPr>
                <w:rFonts w:hint="eastAsia"/>
              </w:rPr>
              <w:t>第二场参赛队进入赛场</w:t>
            </w:r>
          </w:p>
          <w:p>
            <w:pPr>
              <w:pStyle w:val="14"/>
              <w:rPr>
                <w:rFonts w:hint="eastAsia"/>
              </w:rPr>
            </w:pPr>
            <w:r>
              <w:rPr>
                <w:rFonts w:hint="eastAsia"/>
              </w:rPr>
              <w:t>赛前设备检查</w:t>
            </w:r>
          </w:p>
        </w:tc>
        <w:tc>
          <w:tcPr>
            <w:tcW w:w="3341" w:type="dxa"/>
            <w:tcMar>
              <w:top w:w="0" w:type="dxa"/>
              <w:left w:w="46" w:type="dxa"/>
              <w:bottom w:w="0" w:type="dxa"/>
              <w:right w:w="46" w:type="dxa"/>
            </w:tcMar>
            <w:vAlign w:val="center"/>
          </w:tcPr>
          <w:p>
            <w:pPr>
              <w:pStyle w:val="14"/>
              <w:rPr>
                <w:rFonts w:hint="eastAsia"/>
              </w:rPr>
            </w:pPr>
            <w:r>
              <w:rPr>
                <w:rFonts w:hint="eastAsia"/>
              </w:rPr>
              <w:t>第二场参赛队选手、现场裁判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15:00-18:00</w:t>
            </w:r>
          </w:p>
        </w:tc>
        <w:tc>
          <w:tcPr>
            <w:tcW w:w="2940" w:type="dxa"/>
            <w:tcMar>
              <w:top w:w="0" w:type="dxa"/>
              <w:left w:w="86" w:type="dxa"/>
              <w:bottom w:w="0" w:type="dxa"/>
              <w:right w:w="86" w:type="dxa"/>
            </w:tcMar>
            <w:vAlign w:val="center"/>
          </w:tcPr>
          <w:p>
            <w:pPr>
              <w:pStyle w:val="14"/>
              <w:rPr>
                <w:rFonts w:hint="eastAsia"/>
              </w:rPr>
            </w:pPr>
            <w:r>
              <w:rPr>
                <w:rFonts w:hint="eastAsia"/>
              </w:rPr>
              <w:t>第二场竞赛选手完成竞赛任务</w:t>
            </w:r>
          </w:p>
        </w:tc>
        <w:tc>
          <w:tcPr>
            <w:tcW w:w="3341" w:type="dxa"/>
            <w:tcMar>
              <w:top w:w="0" w:type="dxa"/>
              <w:left w:w="46" w:type="dxa"/>
              <w:bottom w:w="0" w:type="dxa"/>
              <w:right w:w="46" w:type="dxa"/>
            </w:tcMar>
            <w:vAlign w:val="center"/>
          </w:tcPr>
          <w:p>
            <w:pPr>
              <w:pStyle w:val="14"/>
              <w:rPr>
                <w:rFonts w:hint="eastAsia"/>
              </w:rPr>
            </w:pPr>
            <w:r>
              <w:rPr>
                <w:rFonts w:hint="eastAsia"/>
              </w:rPr>
              <w:t>第二场参赛队选手、现场裁判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18:00-20:00</w:t>
            </w:r>
          </w:p>
        </w:tc>
        <w:tc>
          <w:tcPr>
            <w:tcW w:w="2940" w:type="dxa"/>
            <w:tcMar>
              <w:top w:w="0" w:type="dxa"/>
              <w:left w:w="86" w:type="dxa"/>
              <w:bottom w:w="0" w:type="dxa"/>
              <w:right w:w="86" w:type="dxa"/>
            </w:tcMar>
            <w:vAlign w:val="center"/>
          </w:tcPr>
          <w:p>
            <w:pPr>
              <w:pStyle w:val="14"/>
              <w:rPr>
                <w:rFonts w:hint="eastAsia"/>
              </w:rPr>
            </w:pPr>
            <w:r>
              <w:rPr>
                <w:rFonts w:hint="eastAsia"/>
              </w:rPr>
              <w:t>第二场竞赛申诉受理</w:t>
            </w:r>
          </w:p>
        </w:tc>
        <w:tc>
          <w:tcPr>
            <w:tcW w:w="3341" w:type="dxa"/>
            <w:tcMar>
              <w:top w:w="0" w:type="dxa"/>
              <w:left w:w="46" w:type="dxa"/>
              <w:bottom w:w="0" w:type="dxa"/>
              <w:right w:w="46" w:type="dxa"/>
            </w:tcMar>
            <w:vAlign w:val="center"/>
          </w:tcPr>
          <w:p>
            <w:pPr>
              <w:pStyle w:val="14"/>
              <w:rPr>
                <w:rFonts w:hint="eastAsia"/>
              </w:rPr>
            </w:pPr>
            <w:r>
              <w:rPr>
                <w:rFonts w:hint="eastAsia"/>
              </w:rPr>
              <w:t>监督仲裁、裁判长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rPr>
            </w:pPr>
            <w:r>
              <w:rPr>
                <w:rFonts w:hint="eastAsia"/>
              </w:rPr>
              <w:t>19:</w:t>
            </w:r>
            <w:r>
              <w:t>0</w:t>
            </w:r>
            <w:r>
              <w:rPr>
                <w:rFonts w:hint="eastAsia"/>
              </w:rPr>
              <w:t>0-21:00</w:t>
            </w:r>
          </w:p>
        </w:tc>
        <w:tc>
          <w:tcPr>
            <w:tcW w:w="2940" w:type="dxa"/>
            <w:tcMar>
              <w:top w:w="0" w:type="dxa"/>
              <w:left w:w="86" w:type="dxa"/>
              <w:bottom w:w="0" w:type="dxa"/>
              <w:right w:w="86" w:type="dxa"/>
            </w:tcMar>
            <w:vAlign w:val="center"/>
          </w:tcPr>
          <w:p>
            <w:pPr>
              <w:pStyle w:val="14"/>
              <w:rPr>
                <w:rFonts w:hint="eastAsia"/>
              </w:rPr>
            </w:pPr>
            <w:r>
              <w:rPr>
                <w:rFonts w:hint="eastAsia"/>
              </w:rPr>
              <w:t>第二场竞赛评分</w:t>
            </w:r>
          </w:p>
        </w:tc>
        <w:tc>
          <w:tcPr>
            <w:tcW w:w="3341" w:type="dxa"/>
            <w:tcMar>
              <w:top w:w="0" w:type="dxa"/>
              <w:left w:w="46" w:type="dxa"/>
              <w:bottom w:w="0" w:type="dxa"/>
              <w:right w:w="46" w:type="dxa"/>
            </w:tcMar>
            <w:vAlign w:val="center"/>
          </w:tcPr>
          <w:p>
            <w:pPr>
              <w:pStyle w:val="14"/>
              <w:rPr>
                <w:rFonts w:hint="eastAsia"/>
              </w:rPr>
            </w:pPr>
            <w:r>
              <w:rPr>
                <w:rFonts w:hint="eastAsia"/>
              </w:rPr>
              <w:t>专家组、评分裁判、监督仲裁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82" w:type="dxa"/>
            <w:vMerge w:val="continue"/>
            <w:tcMar>
              <w:top w:w="0" w:type="dxa"/>
              <w:left w:w="86" w:type="dxa"/>
              <w:bottom w:w="0" w:type="dxa"/>
              <w:right w:w="86" w:type="dxa"/>
            </w:tcMar>
            <w:vAlign w:val="center"/>
          </w:tcPr>
          <w:p>
            <w:pPr>
              <w:jc w:val="center"/>
              <w:rPr>
                <w:rFonts w:hint="eastAsia" w:ascii="仿宋_GB2312" w:hAnsi="仿宋_GB2312" w:eastAsia="仿宋_GB2312" w:cs="仿宋_GB2312"/>
                <w:szCs w:val="21"/>
              </w:rPr>
            </w:pPr>
          </w:p>
        </w:tc>
        <w:tc>
          <w:tcPr>
            <w:tcW w:w="1554" w:type="dxa"/>
            <w:tcMar>
              <w:top w:w="0" w:type="dxa"/>
              <w:left w:w="86" w:type="dxa"/>
              <w:bottom w:w="0" w:type="dxa"/>
              <w:right w:w="86" w:type="dxa"/>
            </w:tcMar>
            <w:vAlign w:val="center"/>
          </w:tcPr>
          <w:p>
            <w:pPr>
              <w:pStyle w:val="14"/>
              <w:rPr>
                <w:rFonts w:hint="eastAsia"/>
                <w:kern w:val="2"/>
              </w:rPr>
            </w:pPr>
            <w:r>
              <w:rPr>
                <w:rFonts w:hint="eastAsia"/>
              </w:rPr>
              <w:t>21:</w:t>
            </w:r>
            <w:r>
              <w:t>0</w:t>
            </w:r>
            <w:r>
              <w:rPr>
                <w:rFonts w:hint="eastAsia"/>
              </w:rPr>
              <w:t>0-22:00</w:t>
            </w:r>
          </w:p>
        </w:tc>
        <w:tc>
          <w:tcPr>
            <w:tcW w:w="2940" w:type="dxa"/>
            <w:tcMar>
              <w:top w:w="0" w:type="dxa"/>
              <w:left w:w="86" w:type="dxa"/>
              <w:bottom w:w="0" w:type="dxa"/>
              <w:right w:w="86" w:type="dxa"/>
            </w:tcMar>
            <w:vAlign w:val="center"/>
          </w:tcPr>
          <w:p>
            <w:pPr>
              <w:pStyle w:val="14"/>
              <w:rPr>
                <w:rFonts w:hint="eastAsia"/>
                <w:kern w:val="2"/>
              </w:rPr>
            </w:pPr>
            <w:r>
              <w:rPr>
                <w:rFonts w:hint="eastAsia"/>
              </w:rPr>
              <w:t>成绩核定、解密、成绩公示</w:t>
            </w:r>
          </w:p>
        </w:tc>
        <w:tc>
          <w:tcPr>
            <w:tcW w:w="3341" w:type="dxa"/>
            <w:tcMar>
              <w:top w:w="0" w:type="dxa"/>
              <w:left w:w="46" w:type="dxa"/>
              <w:bottom w:w="0" w:type="dxa"/>
              <w:right w:w="46" w:type="dxa"/>
            </w:tcMar>
            <w:vAlign w:val="center"/>
          </w:tcPr>
          <w:p>
            <w:pPr>
              <w:pStyle w:val="14"/>
              <w:rPr>
                <w:rFonts w:hint="eastAsia"/>
                <w:kern w:val="2"/>
              </w:rPr>
            </w:pPr>
            <w:r>
              <w:rPr>
                <w:rFonts w:hint="eastAsia"/>
              </w:rPr>
              <w:t>裁判长、评分裁判、监督仲裁</w:t>
            </w:r>
          </w:p>
        </w:tc>
      </w:tr>
    </w:tbl>
    <w:p>
      <w:pPr>
        <w:pStyle w:val="6"/>
        <w:spacing w:before="0" w:after="0" w:line="240" w:lineRule="auto"/>
        <w:ind w:firstLine="640" w:firstLineChars="200"/>
        <w:rPr>
          <w:rFonts w:hint="eastAsia" w:ascii="黑体" w:hAnsi="黑体" w:eastAsia="黑体"/>
          <w:b w:val="0"/>
          <w:szCs w:val="30"/>
        </w:rPr>
      </w:pPr>
      <w:r>
        <w:rPr>
          <w:rFonts w:hint="eastAsia" w:ascii="黑体" w:hAnsi="黑体" w:eastAsia="黑体"/>
          <w:b w:val="0"/>
          <w:szCs w:val="30"/>
        </w:rPr>
        <w:t>六、竞赛内容</w:t>
      </w:r>
    </w:p>
    <w:p>
      <w:pPr>
        <w:snapToGrid w:val="0"/>
        <w:spacing w:line="560" w:lineRule="exact"/>
        <w:ind w:firstLine="600" w:firstLineChars="200"/>
        <w:rPr>
          <w:rFonts w:hint="eastAsia" w:ascii="仿宋_GB2312" w:hAnsi="仿宋" w:eastAsia="仿宋_GB2312"/>
          <w:sz w:val="30"/>
          <w:szCs w:val="30"/>
        </w:rPr>
      </w:pPr>
      <w:r>
        <w:rPr>
          <w:rFonts w:hint="eastAsia" w:ascii="楷体_GB2312" w:hAnsi="楷体_GB2312" w:eastAsia="楷体_GB2312" w:cs="楷体_GB2312"/>
          <w:sz w:val="30"/>
          <w:szCs w:val="30"/>
        </w:rPr>
        <w:t>（一）竞赛时间</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1.总时长为3小时。参赛队需要在规定时间内，独立完成数据采集系统及应用、标识解析系统集成应用、工业</w:t>
      </w:r>
      <w:r>
        <w:rPr>
          <w:rFonts w:hint="eastAsia" w:ascii="仿宋_GB2312" w:hAnsi="微软雅黑" w:eastAsia="仿宋_GB2312" w:cs="微软雅黑"/>
          <w:sz w:val="30"/>
          <w:szCs w:val="30"/>
        </w:rPr>
        <w:t>孪生</w:t>
      </w:r>
      <w:r>
        <w:rPr>
          <w:rFonts w:hint="eastAsia" w:ascii="仿宋_GB2312" w:hAnsi="仿宋" w:eastAsia="仿宋_GB2312"/>
          <w:sz w:val="30"/>
          <w:szCs w:val="30"/>
        </w:rPr>
        <w:t>场景的</w:t>
      </w:r>
      <w:r>
        <w:rPr>
          <w:rFonts w:hint="eastAsia" w:ascii="仿宋_GB2312" w:hAnsi="微软雅黑" w:eastAsia="仿宋_GB2312" w:cs="微软雅黑"/>
          <w:sz w:val="30"/>
          <w:szCs w:val="30"/>
        </w:rPr>
        <w:t>搭建、</w:t>
      </w:r>
      <w:r>
        <w:rPr>
          <w:rFonts w:hint="eastAsia" w:ascii="仿宋_GB2312" w:hAnsi="仿宋" w:eastAsia="仿宋_GB2312"/>
          <w:sz w:val="30"/>
          <w:szCs w:val="30"/>
        </w:rPr>
        <w:t>边缘计算及数据可视化应用和工业互联网应用平台服务等竞赛任务。</w:t>
      </w:r>
    </w:p>
    <w:p>
      <w:pPr>
        <w:snapToGrid w:val="0"/>
        <w:spacing w:line="560" w:lineRule="exact"/>
        <w:ind w:firstLine="600" w:firstLineChars="200"/>
        <w:rPr>
          <w:rFonts w:hint="eastAsia" w:ascii="仿宋_GB2312" w:hAnsi="仿宋" w:eastAsia="仿宋_GB2312" w:cs="宋体"/>
          <w:b/>
          <w:bCs/>
          <w:kern w:val="0"/>
          <w:sz w:val="30"/>
          <w:szCs w:val="30"/>
        </w:rPr>
      </w:pPr>
      <w:r>
        <w:rPr>
          <w:rFonts w:hint="eastAsia" w:ascii="仿宋_GB2312" w:hAnsi="仿宋" w:eastAsia="仿宋_GB2312"/>
          <w:sz w:val="30"/>
          <w:szCs w:val="30"/>
        </w:rPr>
        <w:t>2.竞赛起止时间：第一场竞赛时间为12月2</w:t>
      </w:r>
      <w:r>
        <w:rPr>
          <w:rFonts w:hint="eastAsia" w:ascii="仿宋_GB2312" w:hAnsi="仿宋" w:eastAsia="仿宋_GB2312"/>
          <w:sz w:val="30"/>
          <w:szCs w:val="30"/>
          <w:lang w:val="en-US" w:eastAsia="zh-CN"/>
        </w:rPr>
        <w:t>8</w:t>
      </w:r>
      <w:r>
        <w:rPr>
          <w:rFonts w:hint="eastAsia" w:ascii="仿宋_GB2312" w:hAnsi="仿宋" w:eastAsia="仿宋_GB2312"/>
          <w:sz w:val="30"/>
          <w:szCs w:val="30"/>
        </w:rPr>
        <w:t>日8:30-11:30。第二场竞赛时间为12月2</w:t>
      </w:r>
      <w:r>
        <w:rPr>
          <w:rFonts w:hint="eastAsia" w:ascii="仿宋_GB2312" w:hAnsi="仿宋" w:eastAsia="仿宋_GB2312"/>
          <w:sz w:val="30"/>
          <w:szCs w:val="30"/>
          <w:lang w:val="en-US" w:eastAsia="zh-CN"/>
        </w:rPr>
        <w:t>8</w:t>
      </w:r>
      <w:r>
        <w:rPr>
          <w:rFonts w:hint="eastAsia" w:ascii="仿宋_GB2312" w:hAnsi="仿宋" w:eastAsia="仿宋_GB2312"/>
          <w:sz w:val="30"/>
          <w:szCs w:val="30"/>
        </w:rPr>
        <w:t>日15:00-18:00，不含检录、加密、选手配合测试及申诉受理等时间。</w:t>
      </w:r>
    </w:p>
    <w:p>
      <w:pPr>
        <w:snapToGrid w:val="0"/>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（二）竞赛内容</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工业互联网以应用为导向，以数据驱动发展，持续升级，服务于柔性、高效、优质、绿色的生产制造。在实际业务中，自订单下发、仓储备货、工单排程、生产制造、质量检测、物流运输、产品溯源等方向，构建起覆盖全产业链、全价值链的全新制造和服务体系。</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本赛项重点考查选手设计规划、网络互联、安全配置及应用、数据采集、标识解析、数据处理、集成服务、平台应用等技术技能，以及职业道德、团队合作、工匠精神等素养。赛题设计涵盖工业互联网设备调试、数据采集系统及应用、标识解析系统集成应用、工业</w:t>
      </w:r>
      <w:r>
        <w:rPr>
          <w:rFonts w:hint="eastAsia" w:ascii="仿宋_GB2312" w:hAnsi="微软雅黑" w:eastAsia="仿宋_GB2312" w:cs="微软雅黑"/>
          <w:sz w:val="30"/>
          <w:szCs w:val="30"/>
        </w:rPr>
        <w:t>孪生</w:t>
      </w:r>
      <w:r>
        <w:rPr>
          <w:rFonts w:hint="eastAsia" w:ascii="仿宋_GB2312" w:hAnsi="仿宋" w:eastAsia="仿宋_GB2312"/>
          <w:sz w:val="30"/>
          <w:szCs w:val="30"/>
        </w:rPr>
        <w:t>场景</w:t>
      </w:r>
      <w:r>
        <w:rPr>
          <w:rFonts w:hint="eastAsia" w:ascii="仿宋_GB2312" w:hAnsi="微软雅黑" w:eastAsia="仿宋_GB2312" w:cs="微软雅黑"/>
          <w:sz w:val="30"/>
          <w:szCs w:val="30"/>
        </w:rPr>
        <w:t>搭建、</w:t>
      </w:r>
      <w:r>
        <w:rPr>
          <w:rFonts w:hint="eastAsia" w:ascii="仿宋_GB2312" w:hAnsi="仿宋" w:eastAsia="仿宋_GB2312"/>
          <w:sz w:val="30"/>
          <w:szCs w:val="30"/>
        </w:rPr>
        <w:t>边缘计算及数据可视化应用、工业互联网应用平台服务开发等职业典型工作任务。</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检验选手工业网络互联调试，工业数据采集、边缘网关及安全配置应用，工业互联网标识解析系统部署，工业</w:t>
      </w:r>
      <w:r>
        <w:rPr>
          <w:rFonts w:hint="eastAsia" w:ascii="仿宋_GB2312" w:hAnsi="微软雅黑" w:eastAsia="仿宋_GB2312" w:cs="微软雅黑"/>
          <w:sz w:val="30"/>
          <w:szCs w:val="30"/>
        </w:rPr>
        <w:t>孪生场景搭建，</w:t>
      </w:r>
      <w:r>
        <w:rPr>
          <w:rFonts w:hint="eastAsia" w:ascii="仿宋_GB2312" w:hAnsi="仿宋" w:eastAsia="仿宋_GB2312"/>
          <w:sz w:val="30"/>
          <w:szCs w:val="30"/>
        </w:rPr>
        <w:t>工业大数据采集处理、进行可视化展示，工业应用软件需求分析、功能设计、开发调试等专业核心能力，符合工业互联网发展对专业技术人才和劳动者的技能素质的新要求。强调人、物品、机器、车间、企业等生产制造全要素，以及设计、研发、生产、管理、服务等各环节的泛在深度互联，展示工业互联网集成应用在业务、功能、实施各板块的职业综合能力。</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本赛项在竞赛内容设置上充分考虑选手的知识和能力水平，竞赛过程中三人分工合作、协同配合的真实状况，发挥团队成员个人优势长处，优质高效的完成工作任务。</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赛题分为三个模块：</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模块一：工业互联网设备调试</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包含有：工业互联网设备调试一个子任务，分值占比30%。</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模块二：工业互联网平台应用</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包含有：数据采集系统及应用、标识解析系统集成应用、工业</w:t>
      </w:r>
      <w:r>
        <w:rPr>
          <w:rFonts w:hint="eastAsia" w:ascii="仿宋_GB2312" w:hAnsi="微软雅黑" w:eastAsia="仿宋_GB2312" w:cs="微软雅黑"/>
          <w:sz w:val="30"/>
          <w:szCs w:val="30"/>
        </w:rPr>
        <w:t>孪生场景的搭建、</w:t>
      </w:r>
      <w:r>
        <w:rPr>
          <w:rFonts w:hint="eastAsia" w:ascii="仿宋_GB2312" w:hAnsi="仿宋" w:eastAsia="仿宋_GB2312"/>
          <w:sz w:val="30"/>
          <w:szCs w:val="30"/>
        </w:rPr>
        <w:t>边缘计算及数据可视化应用和工业互联网应用平台服务开发四个子任务，分值占比65%。</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模块三：职业素养</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包含有：操作安全与规范、工作纪律与文明礼貌、整理整洁与绿色环保三个内容，分值占比5%。</w:t>
      </w:r>
    </w:p>
    <w:p>
      <w:pPr>
        <w:snapToGrid w:val="0"/>
        <w:spacing w:line="560" w:lineRule="exact"/>
        <w:ind w:firstLine="600" w:firstLineChars="200"/>
        <w:rPr>
          <w:rFonts w:hint="eastAsia" w:ascii="黑体" w:hAnsi="黑体" w:eastAsia="黑体" w:cs="宋体"/>
          <w:bCs/>
          <w:kern w:val="0"/>
          <w:sz w:val="24"/>
          <w:szCs w:val="24"/>
        </w:rPr>
      </w:pPr>
      <w:r>
        <w:rPr>
          <w:rFonts w:hint="eastAsia" w:ascii="仿宋_GB2312" w:hAnsi="仿宋" w:eastAsia="仿宋_GB2312"/>
          <w:sz w:val="30"/>
          <w:szCs w:val="30"/>
        </w:rPr>
        <w:t>竞赛时间</w:t>
      </w:r>
      <w:r>
        <w:rPr>
          <w:rFonts w:ascii="仿宋_GB2312" w:hAnsi="仿宋" w:eastAsia="仿宋_GB2312"/>
          <w:sz w:val="30"/>
          <w:szCs w:val="30"/>
        </w:rPr>
        <w:t>3</w:t>
      </w:r>
      <w:r>
        <w:rPr>
          <w:rFonts w:hint="eastAsia" w:ascii="仿宋_GB2312" w:hAnsi="仿宋" w:eastAsia="仿宋_GB2312"/>
          <w:sz w:val="30"/>
          <w:szCs w:val="30"/>
        </w:rPr>
        <w:t>小时，竞赛连续进行。竞赛内容构成见下表。</w:t>
      </w:r>
    </w:p>
    <w:tbl>
      <w:tblPr>
        <w:tblStyle w:val="16"/>
        <w:tblW w:w="45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56"/>
        <w:gridCol w:w="1548"/>
        <w:gridCol w:w="3346"/>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jc w:val="center"/>
        </w:trPr>
        <w:tc>
          <w:tcPr>
            <w:tcW w:w="1578" w:type="pct"/>
            <w:gridSpan w:val="2"/>
            <w:tcMar>
              <w:top w:w="0" w:type="dxa"/>
              <w:left w:w="86" w:type="dxa"/>
              <w:bottom w:w="0" w:type="dxa"/>
              <w:right w:w="86" w:type="dxa"/>
            </w:tcMar>
            <w:vAlign w:val="center"/>
          </w:tcPr>
          <w:p>
            <w:pPr>
              <w:widowControl/>
              <w:jc w:val="center"/>
              <w:rPr>
                <w:rFonts w:hint="eastAsia" w:ascii="黑体" w:hAnsi="黑体" w:eastAsia="黑体"/>
                <w:kern w:val="0"/>
                <w:szCs w:val="21"/>
              </w:rPr>
            </w:pPr>
            <w:r>
              <w:rPr>
                <w:rFonts w:hint="eastAsia" w:ascii="黑体" w:hAnsi="黑体" w:eastAsia="黑体"/>
                <w:kern w:val="0"/>
                <w:szCs w:val="21"/>
              </w:rPr>
              <w:t>模块</w:t>
            </w:r>
          </w:p>
        </w:tc>
        <w:tc>
          <w:tcPr>
            <w:tcW w:w="1952" w:type="pct"/>
            <w:tcMar>
              <w:top w:w="0" w:type="dxa"/>
              <w:left w:w="86" w:type="dxa"/>
              <w:bottom w:w="0" w:type="dxa"/>
              <w:right w:w="86" w:type="dxa"/>
            </w:tcMar>
            <w:vAlign w:val="center"/>
          </w:tcPr>
          <w:p>
            <w:pPr>
              <w:widowControl/>
              <w:jc w:val="center"/>
              <w:rPr>
                <w:rFonts w:hint="eastAsia" w:ascii="黑体" w:hAnsi="黑体" w:eastAsia="黑体"/>
                <w:kern w:val="0"/>
                <w:szCs w:val="21"/>
              </w:rPr>
            </w:pPr>
            <w:r>
              <w:rPr>
                <w:rFonts w:hint="eastAsia" w:ascii="黑体" w:hAnsi="黑体" w:eastAsia="黑体"/>
                <w:kern w:val="0"/>
                <w:szCs w:val="21"/>
              </w:rPr>
              <w:t>主要内容</w:t>
            </w:r>
          </w:p>
        </w:tc>
        <w:tc>
          <w:tcPr>
            <w:tcW w:w="735" w:type="pct"/>
            <w:vAlign w:val="center"/>
          </w:tcPr>
          <w:p>
            <w:pPr>
              <w:widowControl/>
              <w:jc w:val="center"/>
              <w:rPr>
                <w:rFonts w:hint="eastAsia" w:ascii="黑体" w:hAnsi="黑体" w:eastAsia="黑体"/>
                <w:kern w:val="0"/>
                <w:szCs w:val="21"/>
              </w:rPr>
            </w:pPr>
            <w:r>
              <w:rPr>
                <w:rFonts w:hint="eastAsia" w:ascii="黑体" w:hAnsi="黑体" w:eastAsia="黑体"/>
                <w:kern w:val="0"/>
                <w:szCs w:val="21"/>
              </w:rPr>
              <w:t>比赛时长</w:t>
            </w:r>
          </w:p>
        </w:tc>
        <w:tc>
          <w:tcPr>
            <w:tcW w:w="735" w:type="pct"/>
            <w:vAlign w:val="center"/>
          </w:tcPr>
          <w:p>
            <w:pPr>
              <w:widowControl/>
              <w:jc w:val="center"/>
              <w:rPr>
                <w:rFonts w:hint="eastAsia" w:ascii="黑体" w:hAnsi="黑体" w:eastAsia="黑体"/>
                <w:kern w:val="0"/>
                <w:szCs w:val="21"/>
              </w:rPr>
            </w:pPr>
            <w:r>
              <w:rPr>
                <w:rFonts w:hint="eastAsia" w:ascii="黑体" w:hAnsi="黑体" w:eastAsia="黑体"/>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75" w:type="pct"/>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模块一</w:t>
            </w:r>
          </w:p>
        </w:tc>
        <w:tc>
          <w:tcPr>
            <w:tcW w:w="902" w:type="pct"/>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工业互联网设备调试</w:t>
            </w:r>
          </w:p>
        </w:tc>
        <w:tc>
          <w:tcPr>
            <w:tcW w:w="1952" w:type="pct"/>
            <w:tcMar>
              <w:top w:w="0" w:type="dxa"/>
              <w:left w:w="86" w:type="dxa"/>
              <w:bottom w:w="0" w:type="dxa"/>
              <w:right w:w="86" w:type="dxa"/>
            </w:tcMar>
          </w:tcPr>
          <w:p>
            <w:pPr>
              <w:keepNext/>
              <w:wordWrap w:val="0"/>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考核参赛选手工业互联网调试的能力。合理使用相关的硬件、软件工具，完成工业互联网设备的调试，实现工业设备间的网络互联。</w:t>
            </w:r>
          </w:p>
        </w:tc>
        <w:tc>
          <w:tcPr>
            <w:tcW w:w="735"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60分钟</w:t>
            </w:r>
          </w:p>
        </w:tc>
        <w:tc>
          <w:tcPr>
            <w:tcW w:w="735"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r>
              <w:rPr>
                <w:rFonts w:ascii="仿宋_GB2312" w:hAnsi="仿宋_GB2312" w:eastAsia="仿宋_GB2312" w:cs="仿宋_GB2312"/>
                <w:color w:val="000000" w:themeColor="text1"/>
                <w:szCs w:val="21"/>
                <w14:textFill>
                  <w14:solidFill>
                    <w14:schemeClr w14:val="tx1"/>
                  </w14:solidFill>
                </w14:textFill>
              </w:rPr>
              <w:t>0</w:t>
            </w:r>
            <w:r>
              <w:rPr>
                <w:rFonts w:hint="eastAsia" w:ascii="仿宋_GB2312" w:hAnsi="仿宋_GB2312" w:eastAsia="仿宋_GB2312" w:cs="仿宋_GB2312"/>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75" w:type="pct"/>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模块二</w:t>
            </w:r>
          </w:p>
        </w:tc>
        <w:tc>
          <w:tcPr>
            <w:tcW w:w="902" w:type="pct"/>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工业互联网平台应用</w:t>
            </w:r>
          </w:p>
        </w:tc>
        <w:tc>
          <w:tcPr>
            <w:tcW w:w="1952" w:type="pct"/>
            <w:tcMar>
              <w:top w:w="0" w:type="dxa"/>
              <w:left w:w="86" w:type="dxa"/>
              <w:bottom w:w="0" w:type="dxa"/>
              <w:right w:w="86" w:type="dxa"/>
            </w:tcMar>
          </w:tcPr>
          <w:p>
            <w:pPr>
              <w:keepNext/>
              <w:wordWrap w:val="0"/>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考核参赛选手对工业互联网平台开发应用能力。对工业现场数据采集，将采集完成后的数据标识解析，经边缘处理后将数据进行可视化操作。能够对工业</w:t>
            </w:r>
            <w:r>
              <w:rPr>
                <w:rFonts w:hint="eastAsia" w:ascii="仿宋_GB2312" w:hAnsi="微软雅黑" w:eastAsia="仿宋_GB2312" w:cs="微软雅黑"/>
                <w:color w:val="000000" w:themeColor="text1"/>
                <w:szCs w:val="21"/>
                <w14:textFill>
                  <w14:solidFill>
                    <w14:schemeClr w14:val="tx1"/>
                  </w14:solidFill>
                </w14:textFill>
              </w:rPr>
              <w:t>孪生场景进行搭建与数字化工艺还原，</w:t>
            </w:r>
            <w:r>
              <w:rPr>
                <w:rFonts w:hint="eastAsia" w:ascii="仿宋_GB2312" w:hAnsi="仿宋_GB2312" w:eastAsia="仿宋_GB2312" w:cs="仿宋_GB2312"/>
                <w:color w:val="000000" w:themeColor="text1"/>
                <w:szCs w:val="21"/>
                <w14:textFill>
                  <w14:solidFill>
                    <w14:schemeClr w14:val="tx1"/>
                  </w14:solidFill>
                </w14:textFill>
              </w:rPr>
              <w:t>能够对工业互联网平台设备、数据进行管理，实现平台的开发、应用与部署。</w:t>
            </w:r>
          </w:p>
        </w:tc>
        <w:tc>
          <w:tcPr>
            <w:tcW w:w="735"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120分钟</w:t>
            </w:r>
          </w:p>
        </w:tc>
        <w:tc>
          <w:tcPr>
            <w:tcW w:w="735"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75" w:type="pct"/>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模块三</w:t>
            </w:r>
          </w:p>
        </w:tc>
        <w:tc>
          <w:tcPr>
            <w:tcW w:w="902" w:type="pct"/>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职业素养</w:t>
            </w:r>
          </w:p>
        </w:tc>
        <w:tc>
          <w:tcPr>
            <w:tcW w:w="1952" w:type="pct"/>
            <w:tcMar>
              <w:top w:w="0" w:type="dxa"/>
              <w:left w:w="86" w:type="dxa"/>
              <w:bottom w:w="0" w:type="dxa"/>
              <w:right w:w="86" w:type="dxa"/>
            </w:tcMar>
          </w:tcPr>
          <w:p>
            <w:pPr>
              <w:keepNext/>
              <w:wordWrap w:val="0"/>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考核参赛选手的操作安全与规范、工作纪律与文明礼貌、整理整洁与绿色环保的职业素养。</w:t>
            </w:r>
          </w:p>
        </w:tc>
        <w:tc>
          <w:tcPr>
            <w:tcW w:w="735"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全过程</w:t>
            </w:r>
          </w:p>
        </w:tc>
        <w:tc>
          <w:tcPr>
            <w:tcW w:w="735"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5分</w:t>
            </w:r>
          </w:p>
        </w:tc>
      </w:tr>
    </w:tbl>
    <w:p>
      <w:pPr>
        <w:pStyle w:val="6"/>
        <w:spacing w:before="0" w:after="0" w:line="240" w:lineRule="auto"/>
        <w:ind w:firstLine="640" w:firstLineChars="200"/>
        <w:rPr>
          <w:rFonts w:hint="eastAsia" w:ascii="黑体" w:hAnsi="黑体" w:eastAsia="黑体"/>
          <w:b w:val="0"/>
          <w:szCs w:val="30"/>
        </w:rPr>
      </w:pPr>
      <w:r>
        <w:rPr>
          <w:rFonts w:hint="eastAsia" w:ascii="黑体" w:hAnsi="黑体" w:eastAsia="黑体"/>
          <w:b w:val="0"/>
          <w:szCs w:val="30"/>
        </w:rPr>
        <w:t>七、竞赛方式</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1.竞赛模式：封闭式线下竞赛。</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2.竞赛队伍组成：本赛项为团体赛。每个学校参赛不超过</w:t>
      </w:r>
      <w:r>
        <w:rPr>
          <w:rFonts w:ascii="仿宋_GB2312" w:hAnsi="仿宋" w:eastAsia="仿宋_GB2312"/>
          <w:sz w:val="30"/>
          <w:szCs w:val="30"/>
        </w:rPr>
        <w:t>2</w:t>
      </w:r>
      <w:r>
        <w:rPr>
          <w:rFonts w:hint="eastAsia" w:ascii="仿宋_GB2312" w:hAnsi="仿宋" w:eastAsia="仿宋_GB2312"/>
          <w:sz w:val="30"/>
          <w:szCs w:val="30"/>
        </w:rPr>
        <w:t>个队，3人/队，学生3人。性别不限，不得跨校组队，3名选手须为同校学生，其中指定一名选手为队长，配置1-2名指导教师。</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选手须为高等职业学校专科、高等职业学校本科全日制在籍学生（以报名时的学籍信息为准）。</w:t>
      </w:r>
    </w:p>
    <w:p>
      <w:pPr>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w:t>
      </w:r>
      <w:r>
        <w:rPr>
          <w:rFonts w:hint="eastAsia" w:ascii="仿宋_GB2312" w:hAnsi="仿宋" w:eastAsia="仿宋_GB2312"/>
          <w:sz w:val="30"/>
          <w:szCs w:val="30"/>
        </w:rPr>
        <w:t>竞赛采用团体赛方式，不计选手个人成绩，统计参赛队的总成绩进行排序，3名选手在大赛现场按照大赛任务要求，自行分工，相互配合完成大赛任务。</w:t>
      </w:r>
    </w:p>
    <w:p>
      <w:pPr>
        <w:snapToGrid w:val="0"/>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凡在往届全国职业院校技能大赛和世界职业院校技能大赛总决赛争夺赛中获一等奖的选手，不能再参加今年同一专业类赛项的比赛。参赛选手的资格审查工作按照《全国职业院校技能大赛制度汇编》《2024年世界职业院校技能大赛制度汇编》要求执行。</w:t>
      </w:r>
    </w:p>
    <w:p>
      <w:pPr>
        <w:snapToGrid w:val="0"/>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.统一编制赛位号，参赛队须比赛前6</w:t>
      </w:r>
      <w:r>
        <w:rPr>
          <w:rFonts w:ascii="仿宋_GB2312" w:hAnsi="仿宋" w:eastAsia="仿宋_GB2312"/>
          <w:sz w:val="30"/>
          <w:szCs w:val="30"/>
        </w:rPr>
        <w:t>0</w:t>
      </w:r>
      <w:r>
        <w:rPr>
          <w:rFonts w:hint="eastAsia" w:ascii="仿宋_GB2312" w:hAnsi="仿宋" w:eastAsia="仿宋_GB2312"/>
          <w:sz w:val="30"/>
          <w:szCs w:val="30"/>
        </w:rPr>
        <w:t>分钟到赛项指定地点接受检录，抽取顺序号，进场抽签决定赛位号，抽签结束后，随即按照抽取的赛位号进场，然后在对应的赛位上完成竞赛规定的竞赛任务。</w:t>
      </w:r>
    </w:p>
    <w:p>
      <w:pPr>
        <w:snapToGrid w:val="0"/>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7</w:t>
      </w:r>
      <w:r>
        <w:rPr>
          <w:rFonts w:hint="eastAsia" w:ascii="仿宋_GB2312" w:hAnsi="仿宋" w:eastAsia="仿宋_GB2312"/>
          <w:sz w:val="30"/>
          <w:szCs w:val="30"/>
        </w:rPr>
        <w:t>.本赛项采取团体比赛形式，竞赛时间为3个小时，竞赛连续进行</w:t>
      </w:r>
      <w:r>
        <w:rPr>
          <w:rFonts w:hint="eastAsia" w:ascii="仿宋_GB2312" w:hAnsi="仿宋" w:eastAsia="仿宋_GB2312" w:cs="宋体"/>
          <w:bCs/>
          <w:kern w:val="0"/>
          <w:sz w:val="28"/>
          <w:szCs w:val="28"/>
        </w:rPr>
        <w:t>。</w:t>
      </w:r>
      <w:r>
        <w:rPr>
          <w:rFonts w:hint="eastAsia" w:ascii="仿宋_GB2312" w:hAnsi="仿宋" w:eastAsia="仿宋_GB2312"/>
          <w:sz w:val="30"/>
          <w:szCs w:val="30"/>
        </w:rPr>
        <w:t>选手比赛开始前5分钟进场完毕，选手检查所在比赛台位上的仪器设备是否完好、领取比赛任务书等材料。比赛结束后各参赛队停止操作。比赛总成绩满分100分。</w:t>
      </w:r>
    </w:p>
    <w:p>
      <w:pPr>
        <w:pStyle w:val="6"/>
        <w:spacing w:before="0" w:after="0" w:line="240" w:lineRule="auto"/>
        <w:ind w:firstLine="640" w:firstLineChars="200"/>
        <w:rPr>
          <w:rFonts w:hint="eastAsia" w:ascii="黑体" w:hAnsi="黑体" w:eastAsia="黑体"/>
          <w:b w:val="0"/>
          <w:szCs w:val="30"/>
        </w:rPr>
      </w:pPr>
      <w:r>
        <w:rPr>
          <w:rFonts w:hint="eastAsia" w:ascii="黑体" w:hAnsi="黑体" w:eastAsia="黑体"/>
          <w:b w:val="0"/>
          <w:szCs w:val="30"/>
        </w:rPr>
        <w:t>八、竞赛规则</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（一）报名资格及参赛队伍要求</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.参赛队及参赛选手资格：见参赛资格。</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.组队要求：本赛项为团体赛，每个学校限</w:t>
      </w:r>
      <w:r>
        <w:rPr>
          <w:rFonts w:ascii="仿宋_GB2312" w:hAnsi="仿宋" w:eastAsia="仿宋_GB2312"/>
          <w:sz w:val="30"/>
          <w:szCs w:val="30"/>
        </w:rPr>
        <w:t>2</w:t>
      </w:r>
      <w:r>
        <w:rPr>
          <w:rFonts w:hint="eastAsia" w:ascii="仿宋_GB2312" w:hAnsi="仿宋" w:eastAsia="仿宋_GB2312"/>
          <w:sz w:val="30"/>
          <w:szCs w:val="30"/>
        </w:rPr>
        <w:t>个队，3人/队，学生3人。且不允许跨校组队。</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人员变更：参赛选手和指导教师报名获得确认后不得随意更换。选手因特殊原因不能参加比赛时，则视为自动放弃竞赛；竞赛开始后，参赛队不得更换参赛选手，若有参赛队员缺席，不得补充参赛选手。</w:t>
      </w:r>
    </w:p>
    <w:p>
      <w:pPr>
        <w:spacing w:line="560" w:lineRule="exact"/>
        <w:ind w:firstLine="600" w:firstLineChars="200"/>
        <w:rPr>
          <w:rFonts w:hint="eastAsia" w:ascii="仿宋_GB2312" w:hAnsi="仿宋" w:eastAsia="仿宋_GB2312"/>
          <w:sz w:val="30"/>
          <w:szCs w:val="30"/>
        </w:rPr>
      </w:pPr>
      <w:r>
        <w:rPr>
          <w:rFonts w:hint="eastAsia" w:ascii="楷体_GB2312" w:hAnsi="仿宋" w:eastAsia="楷体_GB2312" w:cstheme="minorBidi"/>
          <w:sz w:val="30"/>
          <w:szCs w:val="30"/>
        </w:rPr>
        <w:t>（二）赛题</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本赛项的赛题，由竞赛专家组研究确定竞赛用题的形式与难度，比赛相关技术资料在赛前植入竞赛组委会统一发放的</w:t>
      </w:r>
      <w:r>
        <w:rPr>
          <w:rFonts w:ascii="仿宋_GB2312" w:hAnsi="仿宋" w:eastAsia="仿宋_GB2312"/>
          <w:sz w:val="30"/>
          <w:szCs w:val="30"/>
        </w:rPr>
        <w:t>U</w:t>
      </w:r>
      <w:r>
        <w:rPr>
          <w:rFonts w:hint="eastAsia" w:ascii="仿宋_GB2312" w:hAnsi="仿宋" w:eastAsia="仿宋_GB2312"/>
          <w:sz w:val="30"/>
          <w:szCs w:val="30"/>
        </w:rPr>
        <w:t>盘中。</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（三）熟悉场地</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参赛队领队、指导教师、参赛选手在规定时间规定观察区内可以熟悉赛场环境情况。</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熟悉场地时严禁与现场工作人员进行交流，不发表没有根据以及有损大赛整体形象的言论。</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熟悉场地，严格遵守大赛各种制度，严禁拥挤，喧哗，避免意外事故。</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（四）赛场要求</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参赛选手在比赛开始前到达指定地点报到，接受工作人员对选手身份、资格和有关证件的检查。竞赛计时开始</w:t>
      </w:r>
      <w:r>
        <w:rPr>
          <w:rFonts w:ascii="仿宋_GB2312" w:hAnsi="仿宋" w:eastAsia="仿宋_GB2312"/>
          <w:sz w:val="30"/>
          <w:szCs w:val="30"/>
        </w:rPr>
        <w:t>15</w:t>
      </w:r>
      <w:r>
        <w:rPr>
          <w:rFonts w:hint="eastAsia" w:ascii="仿宋_GB2312" w:hAnsi="仿宋" w:eastAsia="仿宋_GB2312"/>
          <w:sz w:val="30"/>
          <w:szCs w:val="30"/>
        </w:rPr>
        <w:t>分钟后，选手未到，视为自动放弃。</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赛位由抽签确定，不得擅自变更、调整。</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选手在竞赛过程中不得擅自离开赛场，如有特殊情况，须经裁判人员同意。选手休息、饮水、上洗手间等统一计在竞赛时间内，不安排专门用时。竞赛计时工具，以赛场设置的时钟为准。</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竞赛期间，选手不得将手机等通信工具带入赛场，非同组选手之间不得以任何方式传递信息，如传递纸条，用手势表达信息，用暗语交换信息等。</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所有赛场内人员不得喧哗，不得有影响其他选手完成工作任务的行为。</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爱护赛场提供的器材，不得移动赛场内台桌、设备和其它物品的定置，不得故意损坏设备和仪器；比赛过程中，参赛选手须严格遵守相关操作规程，确保设备及人身安全，并接受裁判员的监督和警示。</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7.</w:t>
      </w:r>
      <w:r>
        <w:rPr>
          <w:rFonts w:hint="eastAsia" w:ascii="仿宋_GB2312" w:hAnsi="仿宋" w:eastAsia="仿宋_GB2312"/>
          <w:sz w:val="30"/>
          <w:szCs w:val="30"/>
        </w:rPr>
        <w:t>完成竞赛任务期间，不得与其他选手讨论，不得旁窥其他选手的操作。</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8.</w:t>
      </w:r>
      <w:r>
        <w:rPr>
          <w:rFonts w:hint="eastAsia" w:ascii="仿宋_GB2312" w:hAnsi="仿宋" w:eastAsia="仿宋_GB2312"/>
          <w:sz w:val="30"/>
          <w:szCs w:val="30"/>
        </w:rPr>
        <w:t>遇事应先举手示意，并与裁判人员协商，按裁判人员的意见办理。</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9.</w:t>
      </w:r>
      <w:r>
        <w:rPr>
          <w:rFonts w:hint="eastAsia" w:ascii="仿宋_GB2312" w:hAnsi="仿宋" w:eastAsia="仿宋_GB2312"/>
          <w:sz w:val="30"/>
          <w:szCs w:val="30"/>
        </w:rPr>
        <w:t>比赛过程中，选手须严格遵守安全操作规程，并接受裁判员的监督和警示，以确保人身及设备安全。</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10.</w:t>
      </w:r>
      <w:r>
        <w:rPr>
          <w:rFonts w:hint="eastAsia" w:ascii="仿宋_GB2312" w:hAnsi="仿宋" w:eastAsia="仿宋_GB2312"/>
          <w:sz w:val="30"/>
          <w:szCs w:val="30"/>
        </w:rPr>
        <w:t>选手须按照程序提交比赛作品，配合裁判做好赛场情况记录，与裁判一起签字确认，裁判要求签名时不得拒绝。</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11.</w:t>
      </w:r>
      <w:r>
        <w:rPr>
          <w:rFonts w:hint="eastAsia" w:ascii="仿宋_GB2312" w:hAnsi="仿宋" w:eastAsia="仿宋_GB2312"/>
          <w:sz w:val="30"/>
          <w:szCs w:val="30"/>
        </w:rPr>
        <w:t>不乱摆放工具，不乱丢杂物，完成工作任务后清洁赛位，清点工具。线头、废弃物品及工具，不得遗留在赛位上。</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12.</w:t>
      </w:r>
      <w:r>
        <w:rPr>
          <w:rFonts w:hint="eastAsia" w:ascii="仿宋_GB2312" w:hAnsi="仿宋" w:eastAsia="仿宋_GB2312"/>
          <w:sz w:val="30"/>
          <w:szCs w:val="30"/>
        </w:rPr>
        <w:t>使用文明用语，尊重裁判和其他选手，不得辱骂裁判和赛场工作人员，不得打架斗殴。</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13.</w:t>
      </w:r>
      <w:r>
        <w:rPr>
          <w:rFonts w:hint="eastAsia" w:ascii="仿宋_GB2312" w:hAnsi="仿宋" w:eastAsia="仿宋_GB2312"/>
          <w:sz w:val="30"/>
          <w:szCs w:val="30"/>
        </w:rPr>
        <w:t>任何人不得以任何方式暗示、指导、帮助参赛选手，对造成后果的，视情节轻重酌情扣除参赛选手成绩。</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14.</w:t>
      </w:r>
      <w:r>
        <w:rPr>
          <w:rFonts w:hint="eastAsia" w:ascii="仿宋_GB2312" w:hAnsi="仿宋" w:eastAsia="仿宋_GB2312"/>
          <w:sz w:val="30"/>
          <w:szCs w:val="30"/>
        </w:rPr>
        <w:t>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15.</w:t>
      </w:r>
      <w:r>
        <w:rPr>
          <w:rFonts w:hint="eastAsia" w:ascii="仿宋_GB2312" w:hAnsi="仿宋" w:eastAsia="仿宋_GB2312"/>
          <w:sz w:val="30"/>
          <w:szCs w:val="30"/>
        </w:rPr>
        <w:t>裁判长在比赛结束前有</w:t>
      </w:r>
      <w:r>
        <w:rPr>
          <w:rFonts w:ascii="仿宋_GB2312" w:hAnsi="仿宋" w:eastAsia="仿宋_GB2312"/>
          <w:sz w:val="30"/>
          <w:szCs w:val="30"/>
        </w:rPr>
        <w:t>2</w:t>
      </w:r>
      <w:r>
        <w:rPr>
          <w:rFonts w:hint="eastAsia" w:ascii="仿宋_GB2312" w:hAnsi="仿宋" w:eastAsia="仿宋_GB2312"/>
          <w:sz w:val="30"/>
          <w:szCs w:val="30"/>
        </w:rPr>
        <w:t>次时间提醒，裁判长发布比赛结束指令后所有未完成任务参赛队立即停止操作，按要求清理赛位，不得以任何理由拖延竞赛时间。</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16.</w:t>
      </w:r>
      <w:r>
        <w:rPr>
          <w:rFonts w:hint="eastAsia" w:ascii="仿宋_GB2312" w:hAnsi="仿宋" w:eastAsia="仿宋_GB2312"/>
          <w:sz w:val="30"/>
          <w:szCs w:val="30"/>
        </w:rPr>
        <w:t>参赛选手不得将竞赛任务书、图纸、草稿纸和举办方提供的工具等与比赛有关的物品带离赛场，选手必须经现场裁判员检查许可后方能离开赛场。</w:t>
      </w:r>
    </w:p>
    <w:p>
      <w:pPr>
        <w:pStyle w:val="6"/>
        <w:spacing w:before="0" w:after="0" w:line="240" w:lineRule="auto"/>
        <w:ind w:firstLine="641"/>
        <w:rPr>
          <w:rFonts w:hint="eastAsia" w:ascii="黑体" w:hAnsi="黑体" w:eastAsia="黑体"/>
          <w:b w:val="0"/>
          <w:szCs w:val="30"/>
        </w:rPr>
      </w:pPr>
      <w:r>
        <w:rPr>
          <w:rFonts w:hint="eastAsia" w:ascii="黑体" w:hAnsi="黑体" w:eastAsia="黑体"/>
          <w:b w:val="0"/>
          <w:szCs w:val="30"/>
        </w:rPr>
        <w:t>九、竞赛环境</w:t>
      </w:r>
    </w:p>
    <w:p>
      <w:pPr>
        <w:spacing w:line="560" w:lineRule="exact"/>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1.竞赛场地，竞赛现场设置竞赛区、裁判区、服务区、技术支持区。现场保证良好的采光、照明和通风，提供稳定的水、电和供电应急设备，同时提供指导教师休息场所。</w:t>
      </w:r>
    </w:p>
    <w:p>
      <w:pPr>
        <w:spacing w:line="560" w:lineRule="exact"/>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2.竞赛设备，竞赛设备由承办院校负责提供或参赛校自带设备</w:t>
      </w:r>
      <w:bookmarkStart w:id="1" w:name="_Hlk182044313"/>
      <w:r>
        <w:rPr>
          <w:rFonts w:hint="eastAsia" w:ascii="仿宋_GB2312" w:hAnsi="仿宋" w:eastAsia="仿宋_GB2312"/>
          <w:bCs/>
          <w:sz w:val="30"/>
          <w:szCs w:val="30"/>
        </w:rPr>
        <w:t>（不包括电脑终端、私有云服务器）</w:t>
      </w:r>
      <w:bookmarkEnd w:id="1"/>
      <w:r>
        <w:rPr>
          <w:rFonts w:hint="eastAsia" w:ascii="仿宋_GB2312" w:hAnsi="仿宋" w:eastAsia="仿宋_GB2312"/>
          <w:bCs/>
          <w:sz w:val="30"/>
          <w:szCs w:val="30"/>
        </w:rPr>
        <w:t>，竞赛区按照参赛队数量准备比赛所需的桌椅和电力条件。</w:t>
      </w:r>
    </w:p>
    <w:p>
      <w:pPr>
        <w:spacing w:line="560" w:lineRule="exact"/>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3.竞赛工位，每个参赛队工作区间面积大约10</w:t>
      </w:r>
      <w:r>
        <w:rPr>
          <w:rFonts w:hint="eastAsia" w:ascii="仿宋_GB2312" w:hAnsi="仿宋" w:eastAsia="仿宋_GB2312"/>
          <w:sz w:val="30"/>
          <w:szCs w:val="30"/>
        </w:rPr>
        <w:t>㎡</w:t>
      </w:r>
      <w:r>
        <w:rPr>
          <w:rFonts w:hint="eastAsia" w:ascii="仿宋_GB2312" w:hAnsi="仿宋" w:eastAsia="仿宋_GB2312"/>
          <w:bCs/>
          <w:sz w:val="30"/>
          <w:szCs w:val="30"/>
        </w:rPr>
        <w:t>，确保参赛队之间互不干扰。每个工作区间包括工业互联网集成应用工作站、工业互联网平台，工作台3张，计算机3台，</w:t>
      </w:r>
      <w:bookmarkStart w:id="2" w:name="_Hlk182028226"/>
      <w:r>
        <w:rPr>
          <w:rFonts w:hint="eastAsia" w:ascii="仿宋_GB2312" w:hAnsi="仿宋" w:eastAsia="仿宋_GB2312"/>
          <w:bCs/>
          <w:sz w:val="30"/>
          <w:szCs w:val="30"/>
        </w:rPr>
        <w:t>服务器1台</w:t>
      </w:r>
      <w:bookmarkEnd w:id="2"/>
      <w:r>
        <w:rPr>
          <w:rFonts w:hint="eastAsia" w:ascii="仿宋_GB2312" w:hAnsi="仿宋" w:eastAsia="仿宋_GB2312"/>
          <w:bCs/>
          <w:sz w:val="30"/>
          <w:szCs w:val="30"/>
        </w:rPr>
        <w:t>，每个工位上标明编号，配置3把工作椅（凳）。</w:t>
      </w:r>
    </w:p>
    <w:p>
      <w:pPr>
        <w:spacing w:line="560" w:lineRule="exact"/>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4.技术支持区，为参赛选手提供竞赛相关设备备件。</w:t>
      </w:r>
    </w:p>
    <w:p>
      <w:pPr>
        <w:spacing w:line="560" w:lineRule="exact"/>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5.服务区，提供医疗等服务保障。</w:t>
      </w:r>
    </w:p>
    <w:p>
      <w:pPr>
        <w:pStyle w:val="6"/>
        <w:spacing w:before="0" w:after="0" w:line="240" w:lineRule="auto"/>
        <w:ind w:firstLine="640" w:firstLineChars="200"/>
        <w:rPr>
          <w:rFonts w:hint="eastAsia" w:ascii="黑体" w:hAnsi="黑体" w:eastAsia="黑体"/>
          <w:b w:val="0"/>
          <w:szCs w:val="30"/>
        </w:rPr>
      </w:pPr>
      <w:r>
        <w:rPr>
          <w:rFonts w:hint="eastAsia" w:ascii="黑体" w:hAnsi="黑体" w:eastAsia="黑体"/>
          <w:b w:val="0"/>
          <w:szCs w:val="30"/>
        </w:rPr>
        <w:t>十、技术规范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本赛项参照已经颁布实施、处在有效期内的标准与规范如下所示：</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1．国际相关标准与规范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IEC 62443-2-1IACA《安全管理系统的要求》</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2．国家、行业技术标准与规范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GB/T 26336-2010《工业通信网络工业环境中的通信网络安装》</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GB/T 42021-2022 工业互联网总体网络架</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GB/T 23031.1-2022《工业互联网平台应用实施指南 第1部分：总则》</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GB/T 41870-2022《工业互联网平台企业应用水平与绩效评价》</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GB/T 15969.1-2007/IEC 61131-1 可编程序控制器第1部分：通用信息</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GB 50311-2016 综合布线系统工程设计规范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GB/T 14048 3《低压开关设备和控制设备》</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GB/T 34068-2017 物联网总体技术智能传感器接口规范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GB/T30976.1∽30976.2《工业控制信息系统安全》</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GB/T30976.1∽30976.2《信息技术数据质量评价指标》</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GB/T 35115-2017《工厂自动化能效》</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AII/001-2021《工业互联网标识解析二级节点技术要求》</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AII/004-2018《工业互联网平台安全防护要求》</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AII/004-2017 《工业互联网导则设备智能化》</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3．职业资格标准与规范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2-02-10-13《工业互联网工程技术人员国家职业技术技能标准》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2-02-07-13《智能制造工程技术人员国家职业技术技能标准》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T/MIITEC 003-2020《工业互联网产业人才岗位能力要求</w:t>
      </w:r>
    </w:p>
    <w:p>
      <w:pPr>
        <w:pStyle w:val="6"/>
        <w:spacing w:before="0" w:after="0" w:line="240" w:lineRule="auto"/>
        <w:ind w:firstLine="640" w:firstLineChars="200"/>
        <w:rPr>
          <w:rFonts w:hint="eastAsia" w:ascii="黑体" w:hAnsi="黑体" w:eastAsia="黑体"/>
          <w:b w:val="0"/>
          <w:szCs w:val="30"/>
        </w:rPr>
      </w:pPr>
      <w:r>
        <w:rPr>
          <w:rFonts w:hint="eastAsia" w:ascii="黑体" w:hAnsi="黑体" w:eastAsia="黑体"/>
          <w:b w:val="0"/>
          <w:szCs w:val="30"/>
        </w:rPr>
        <w:t>十一、技术环境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（一）提供竞赛环境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1.竞赛场地：设竞赛区、裁判区、服务区、技术支持区。提供稳定的电、气和应急供电设备。</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 xml:space="preserve">2.竞赛设备：由大赛合作企业与承办单位提供或参赛校自带设备（不包括电脑终端、私有云服务器）。 </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3.竞赛赛位：每个赛位标明编号，赛位面积约10㎡，配备：工作台3张，计算机3台，服务器1台，竞赛平台1套，工具耗材1套，提供局域网环境，不间断电源。配AC220V/10A电源。</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4.技术支持区为参赛选手提供公用备件等竞赛相关设备。</w:t>
      </w:r>
    </w:p>
    <w:p>
      <w:pPr>
        <w:spacing w:line="560" w:lineRule="exact"/>
        <w:ind w:firstLine="600" w:firstLineChars="200"/>
      </w:pPr>
      <w:r>
        <w:rPr>
          <w:rFonts w:hint="eastAsia" w:ascii="仿宋_GB2312" w:hAnsi="仿宋" w:eastAsia="仿宋_GB2312"/>
          <w:sz w:val="30"/>
          <w:szCs w:val="30"/>
        </w:rPr>
        <w:t>5.服务区提供医疗等服务保障。</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（二）技术平台基本要求</w:t>
      </w:r>
    </w:p>
    <w:tbl>
      <w:tblPr>
        <w:tblStyle w:val="16"/>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48"/>
        <w:gridCol w:w="2990"/>
        <w:gridCol w:w="853"/>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jc w:val="center"/>
        </w:trPr>
        <w:tc>
          <w:tcPr>
            <w:tcW w:w="470" w:type="pct"/>
            <w:tcMar>
              <w:top w:w="0" w:type="dxa"/>
              <w:left w:w="86" w:type="dxa"/>
              <w:bottom w:w="0" w:type="dxa"/>
              <w:right w:w="86" w:type="dxa"/>
            </w:tcMar>
            <w:vAlign w:val="center"/>
          </w:tcPr>
          <w:p>
            <w:pPr>
              <w:widowControl/>
              <w:jc w:val="center"/>
              <w:rPr>
                <w:rFonts w:hint="eastAsia" w:ascii="黑体" w:hAnsi="黑体" w:eastAsia="黑体"/>
                <w:kern w:val="0"/>
                <w:szCs w:val="21"/>
              </w:rPr>
            </w:pPr>
            <w:r>
              <w:rPr>
                <w:rFonts w:hint="eastAsia" w:ascii="黑体" w:hAnsi="黑体" w:eastAsia="黑体"/>
                <w:kern w:val="0"/>
                <w:szCs w:val="21"/>
              </w:rPr>
              <w:t>序号</w:t>
            </w:r>
          </w:p>
        </w:tc>
        <w:tc>
          <w:tcPr>
            <w:tcW w:w="1657" w:type="pct"/>
            <w:tcMar>
              <w:top w:w="0" w:type="dxa"/>
              <w:left w:w="86" w:type="dxa"/>
              <w:bottom w:w="0" w:type="dxa"/>
              <w:right w:w="86" w:type="dxa"/>
            </w:tcMar>
            <w:vAlign w:val="center"/>
          </w:tcPr>
          <w:p>
            <w:pPr>
              <w:widowControl/>
              <w:jc w:val="center"/>
              <w:rPr>
                <w:rFonts w:hint="eastAsia" w:ascii="黑体" w:hAnsi="黑体" w:eastAsia="黑体"/>
                <w:kern w:val="0"/>
                <w:szCs w:val="21"/>
              </w:rPr>
            </w:pPr>
            <w:r>
              <w:rPr>
                <w:rFonts w:hint="eastAsia" w:ascii="黑体" w:hAnsi="黑体" w:eastAsia="黑体"/>
                <w:kern w:val="0"/>
                <w:szCs w:val="21"/>
              </w:rPr>
              <w:t>产品名称</w:t>
            </w:r>
          </w:p>
        </w:tc>
        <w:tc>
          <w:tcPr>
            <w:tcW w:w="473" w:type="pct"/>
            <w:vAlign w:val="center"/>
          </w:tcPr>
          <w:p>
            <w:pPr>
              <w:widowControl/>
              <w:jc w:val="center"/>
              <w:rPr>
                <w:rFonts w:hint="eastAsia" w:ascii="黑体" w:hAnsi="黑体" w:eastAsia="黑体"/>
                <w:kern w:val="0"/>
                <w:szCs w:val="21"/>
              </w:rPr>
            </w:pPr>
            <w:r>
              <w:rPr>
                <w:rFonts w:hint="eastAsia" w:ascii="黑体" w:hAnsi="黑体" w:eastAsia="黑体"/>
                <w:kern w:val="0"/>
                <w:szCs w:val="21"/>
              </w:rPr>
              <w:t>数量</w:t>
            </w:r>
          </w:p>
        </w:tc>
        <w:tc>
          <w:tcPr>
            <w:tcW w:w="2397" w:type="pct"/>
            <w:vAlign w:val="center"/>
          </w:tcPr>
          <w:p>
            <w:pPr>
              <w:widowControl/>
              <w:jc w:val="center"/>
              <w:rPr>
                <w:rFonts w:hint="eastAsia" w:ascii="黑体" w:hAnsi="黑体" w:eastAsia="黑体"/>
                <w:kern w:val="0"/>
                <w:szCs w:val="21"/>
              </w:rPr>
            </w:pPr>
            <w:r>
              <w:rPr>
                <w:rFonts w:hint="eastAsia" w:ascii="黑体" w:hAnsi="黑体" w:eastAsia="黑体"/>
                <w:kern w:val="0"/>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70" w:type="pct"/>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657" w:type="pct"/>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工业互联网集成应用工作站</w:t>
            </w:r>
          </w:p>
        </w:tc>
        <w:tc>
          <w:tcPr>
            <w:tcW w:w="473"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套</w:t>
            </w:r>
          </w:p>
        </w:tc>
        <w:tc>
          <w:tcPr>
            <w:tcW w:w="2397" w:type="pct"/>
            <w:vAlign w:val="center"/>
          </w:tcPr>
          <w:p>
            <w:pPr>
              <w:keepNext/>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符合工业互联网行业标准，是一个完整的智能工厂模拟装置。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70" w:type="pct"/>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1657" w:type="pct"/>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工业数字孪生平台</w:t>
            </w:r>
          </w:p>
        </w:tc>
        <w:tc>
          <w:tcPr>
            <w:tcW w:w="473"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1套</w:t>
            </w:r>
          </w:p>
        </w:tc>
        <w:tc>
          <w:tcPr>
            <w:tcW w:w="2397" w:type="pct"/>
            <w:vAlign w:val="center"/>
          </w:tcPr>
          <w:p>
            <w:pPr>
              <w:keepNext/>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提供机理模型库，具备工业</w:t>
            </w:r>
            <w:r>
              <w:rPr>
                <w:rFonts w:hint="eastAsia" w:ascii="仿宋_GB2312" w:hAnsi="微软雅黑" w:eastAsia="仿宋_GB2312" w:cs="微软雅黑"/>
                <w:color w:val="000000" w:themeColor="text1"/>
                <w:szCs w:val="21"/>
                <w14:textFill>
                  <w14:solidFill>
                    <w14:schemeClr w14:val="tx1"/>
                  </w14:solidFill>
                </w14:textFill>
              </w:rPr>
              <w:t>孪生场景的搭建、工艺编辑、机器人/plc编程、过程优化与仿真调试的能力。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70" w:type="pct"/>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1657" w:type="pct"/>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工业互联网平台</w:t>
            </w:r>
          </w:p>
        </w:tc>
        <w:tc>
          <w:tcPr>
            <w:tcW w:w="473"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套</w:t>
            </w:r>
          </w:p>
        </w:tc>
        <w:tc>
          <w:tcPr>
            <w:tcW w:w="2397" w:type="pct"/>
            <w:vAlign w:val="center"/>
          </w:tcPr>
          <w:p>
            <w:pPr>
              <w:keepNext/>
              <w:wordWrap w:val="0"/>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具有对工业现场数据采集及管理功能，能够满足工业APP的设计及开发，满足本地云部署。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70" w:type="pct"/>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p>
        </w:tc>
        <w:tc>
          <w:tcPr>
            <w:tcW w:w="1657" w:type="pct"/>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工具、耗材</w:t>
            </w:r>
          </w:p>
        </w:tc>
        <w:tc>
          <w:tcPr>
            <w:tcW w:w="473"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1套</w:t>
            </w:r>
          </w:p>
        </w:tc>
        <w:tc>
          <w:tcPr>
            <w:tcW w:w="2397" w:type="pct"/>
            <w:vAlign w:val="center"/>
          </w:tcPr>
          <w:p>
            <w:pPr>
              <w:keepNext/>
              <w:wordWrap w:val="0"/>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满足安装和调试要求</w:t>
            </w:r>
          </w:p>
        </w:tc>
      </w:tr>
    </w:tbl>
    <w:p>
      <w:pPr>
        <w:pStyle w:val="6"/>
        <w:spacing w:before="0" w:after="0" w:line="240" w:lineRule="auto"/>
        <w:ind w:firstLine="640" w:firstLineChars="200"/>
        <w:rPr>
          <w:rFonts w:hint="eastAsia" w:ascii="黑体" w:hAnsi="黑体" w:eastAsia="黑体"/>
          <w:b w:val="0"/>
          <w:szCs w:val="30"/>
        </w:rPr>
      </w:pPr>
      <w:r>
        <w:rPr>
          <w:rFonts w:hint="eastAsia" w:ascii="黑体" w:hAnsi="黑体" w:eastAsia="黑体"/>
          <w:b w:val="0"/>
          <w:szCs w:val="30"/>
        </w:rPr>
        <w:t>十二、成绩评定</w:t>
      </w:r>
    </w:p>
    <w:p>
      <w:pPr>
        <w:spacing w:line="560" w:lineRule="exact"/>
        <w:ind w:firstLine="600" w:firstLineChars="200"/>
        <w:rPr>
          <w:rFonts w:hint="eastAsia" w:ascii="方正楷体_GBK" w:hAnsi="方正楷体_GBK" w:eastAsia="方正楷体_GBK" w:cs="方正楷体_GBK"/>
          <w:sz w:val="30"/>
          <w:szCs w:val="30"/>
        </w:rPr>
      </w:pPr>
      <w:bookmarkStart w:id="3" w:name="_Hlk160544917"/>
      <w:r>
        <w:rPr>
          <w:rFonts w:hint="eastAsia" w:ascii="方正楷体_GBK" w:hAnsi="方正楷体_GBK" w:eastAsia="方正楷体_GBK" w:cs="方正楷体_GBK"/>
          <w:sz w:val="30"/>
          <w:szCs w:val="30"/>
        </w:rPr>
        <w:t>（一）评分标准</w:t>
      </w:r>
    </w:p>
    <w:bookmarkEnd w:id="3"/>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比赛满分100分，分为模块一、模块二、模块三，共三个模块，计分时精确到小数点后两位，详细评分细则如下：</w:t>
      </w:r>
    </w:p>
    <w:tbl>
      <w:tblPr>
        <w:tblStyle w:val="16"/>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54"/>
        <w:gridCol w:w="1550"/>
        <w:gridCol w:w="2743"/>
        <w:gridCol w:w="1261"/>
        <w:gridCol w:w="125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jc w:val="center"/>
        </w:trPr>
        <w:tc>
          <w:tcPr>
            <w:tcW w:w="1466" w:type="pct"/>
            <w:gridSpan w:val="2"/>
            <w:tcMar>
              <w:top w:w="0" w:type="dxa"/>
              <w:left w:w="86" w:type="dxa"/>
              <w:bottom w:w="0" w:type="dxa"/>
              <w:right w:w="86" w:type="dxa"/>
            </w:tcMar>
            <w:vAlign w:val="center"/>
          </w:tcPr>
          <w:p>
            <w:pPr>
              <w:widowControl/>
              <w:jc w:val="center"/>
              <w:rPr>
                <w:rFonts w:hint="eastAsia" w:ascii="黑体" w:hAnsi="黑体" w:eastAsia="黑体"/>
                <w:kern w:val="0"/>
                <w:szCs w:val="21"/>
              </w:rPr>
            </w:pPr>
            <w:r>
              <w:rPr>
                <w:rFonts w:hint="eastAsia" w:ascii="黑体" w:hAnsi="黑体" w:eastAsia="黑体"/>
                <w:kern w:val="0"/>
                <w:szCs w:val="21"/>
              </w:rPr>
              <w:t>模块</w:t>
            </w:r>
          </w:p>
        </w:tc>
        <w:tc>
          <w:tcPr>
            <w:tcW w:w="1486" w:type="pct"/>
            <w:tcMar>
              <w:top w:w="0" w:type="dxa"/>
              <w:left w:w="86" w:type="dxa"/>
              <w:bottom w:w="0" w:type="dxa"/>
              <w:right w:w="86" w:type="dxa"/>
            </w:tcMar>
            <w:vAlign w:val="center"/>
          </w:tcPr>
          <w:p>
            <w:pPr>
              <w:widowControl/>
              <w:jc w:val="center"/>
              <w:rPr>
                <w:rFonts w:hint="eastAsia" w:ascii="黑体" w:hAnsi="黑体" w:eastAsia="黑体"/>
                <w:kern w:val="0"/>
                <w:szCs w:val="21"/>
              </w:rPr>
            </w:pPr>
            <w:r>
              <w:rPr>
                <w:rFonts w:hint="eastAsia" w:ascii="黑体" w:hAnsi="黑体" w:eastAsia="黑体"/>
                <w:kern w:val="0"/>
                <w:szCs w:val="21"/>
              </w:rPr>
              <w:t>主要内容</w:t>
            </w:r>
          </w:p>
        </w:tc>
        <w:tc>
          <w:tcPr>
            <w:tcW w:w="683" w:type="pct"/>
            <w:vAlign w:val="center"/>
          </w:tcPr>
          <w:p>
            <w:pPr>
              <w:widowControl/>
              <w:jc w:val="center"/>
              <w:rPr>
                <w:rFonts w:hint="eastAsia" w:ascii="黑体" w:hAnsi="黑体" w:eastAsia="黑体"/>
                <w:kern w:val="0"/>
                <w:szCs w:val="21"/>
              </w:rPr>
            </w:pPr>
            <w:r>
              <w:rPr>
                <w:rFonts w:hint="eastAsia" w:ascii="黑体" w:hAnsi="黑体" w:eastAsia="黑体"/>
                <w:kern w:val="0"/>
                <w:szCs w:val="21"/>
              </w:rPr>
              <w:t>子任务名称</w:t>
            </w:r>
          </w:p>
        </w:tc>
        <w:tc>
          <w:tcPr>
            <w:tcW w:w="682" w:type="pct"/>
            <w:vAlign w:val="center"/>
          </w:tcPr>
          <w:p>
            <w:pPr>
              <w:widowControl/>
              <w:jc w:val="center"/>
              <w:rPr>
                <w:rFonts w:hint="eastAsia" w:ascii="黑体" w:hAnsi="黑体" w:eastAsia="黑体"/>
                <w:kern w:val="0"/>
                <w:szCs w:val="21"/>
              </w:rPr>
            </w:pPr>
            <w:r>
              <w:rPr>
                <w:rFonts w:hint="eastAsia" w:ascii="黑体" w:hAnsi="黑体" w:eastAsia="黑体"/>
                <w:kern w:val="0"/>
                <w:szCs w:val="21"/>
              </w:rPr>
              <w:t>分值占比</w:t>
            </w:r>
          </w:p>
        </w:tc>
        <w:tc>
          <w:tcPr>
            <w:tcW w:w="682" w:type="pct"/>
            <w:vAlign w:val="center"/>
          </w:tcPr>
          <w:p>
            <w:pPr>
              <w:widowControl/>
              <w:jc w:val="center"/>
              <w:rPr>
                <w:rFonts w:hint="eastAsia" w:ascii="黑体" w:hAnsi="黑体" w:eastAsia="黑体"/>
                <w:kern w:val="0"/>
                <w:szCs w:val="21"/>
              </w:rPr>
            </w:pPr>
            <w:r>
              <w:rPr>
                <w:rFonts w:hint="eastAsia" w:ascii="黑体" w:hAnsi="黑体" w:eastAsia="黑体"/>
                <w:kern w:val="0"/>
                <w:szCs w:val="21"/>
              </w:rPr>
              <w:t>比赛时长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26" w:type="pct"/>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模块一</w:t>
            </w:r>
          </w:p>
        </w:tc>
        <w:tc>
          <w:tcPr>
            <w:tcW w:w="840" w:type="pct"/>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工业互联网设备调试</w:t>
            </w:r>
          </w:p>
        </w:tc>
        <w:tc>
          <w:tcPr>
            <w:tcW w:w="1486" w:type="pct"/>
            <w:tcMar>
              <w:top w:w="0" w:type="dxa"/>
              <w:left w:w="86" w:type="dxa"/>
              <w:bottom w:w="0" w:type="dxa"/>
              <w:right w:w="86" w:type="dxa"/>
            </w:tcMar>
          </w:tcPr>
          <w:p>
            <w:pPr>
              <w:keepNext/>
              <w:wordWrap w:val="0"/>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考核参赛选手工业互联网调试的能力。合理使用相关的硬件、软件工具，完成工业互联网设备的调试，实现工业设备间的网络互联。</w:t>
            </w:r>
          </w:p>
        </w:tc>
        <w:tc>
          <w:tcPr>
            <w:tcW w:w="683"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工业互联网设备调试</w:t>
            </w:r>
          </w:p>
        </w:tc>
        <w:tc>
          <w:tcPr>
            <w:tcW w:w="682"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30%</w:t>
            </w:r>
          </w:p>
        </w:tc>
        <w:tc>
          <w:tcPr>
            <w:tcW w:w="682"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6" w:hRule="atLeast"/>
          <w:jc w:val="center"/>
        </w:trPr>
        <w:tc>
          <w:tcPr>
            <w:tcW w:w="626" w:type="pct"/>
            <w:vMerge w:val="restart"/>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模块二</w:t>
            </w:r>
          </w:p>
        </w:tc>
        <w:tc>
          <w:tcPr>
            <w:tcW w:w="840" w:type="pct"/>
            <w:vMerge w:val="restart"/>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工业互联网平台应用</w:t>
            </w:r>
          </w:p>
        </w:tc>
        <w:tc>
          <w:tcPr>
            <w:tcW w:w="1486" w:type="pct"/>
            <w:vMerge w:val="restart"/>
            <w:tcMar>
              <w:top w:w="0" w:type="dxa"/>
              <w:left w:w="86" w:type="dxa"/>
              <w:bottom w:w="0" w:type="dxa"/>
              <w:right w:w="86" w:type="dxa"/>
            </w:tcMar>
            <w:vAlign w:val="center"/>
          </w:tcPr>
          <w:p>
            <w:pPr>
              <w:keepNext/>
              <w:wordWrap w:val="0"/>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考核参赛选手对工业互联网平台开发应用能力。对工业</w:t>
            </w:r>
            <w:r>
              <w:rPr>
                <w:rFonts w:hint="eastAsia" w:ascii="仿宋_GB2312" w:hAnsi="微软雅黑" w:eastAsia="仿宋_GB2312" w:cs="微软雅黑"/>
                <w:color w:val="000000" w:themeColor="text1"/>
                <w:szCs w:val="21"/>
                <w14:textFill>
                  <w14:solidFill>
                    <w14:schemeClr w14:val="tx1"/>
                  </w14:solidFill>
                </w14:textFill>
              </w:rPr>
              <w:t>孪生场景的搭建、</w:t>
            </w:r>
            <w:r>
              <w:rPr>
                <w:rFonts w:hint="eastAsia" w:ascii="仿宋_GB2312" w:hAnsi="仿宋_GB2312" w:eastAsia="仿宋_GB2312" w:cs="仿宋_GB2312"/>
                <w:color w:val="000000" w:themeColor="text1"/>
                <w:szCs w:val="21"/>
                <w14:textFill>
                  <w14:solidFill>
                    <w14:schemeClr w14:val="tx1"/>
                  </w14:solidFill>
                </w14:textFill>
              </w:rPr>
              <w:t>工业现场数据采集，将采集完成后的数据标识解析，经边缘处理后将数据进行可视化操作。能够对工业互联网平台设备、数据进行管理，实现平台的开发、应用与部署。</w:t>
            </w:r>
          </w:p>
        </w:tc>
        <w:tc>
          <w:tcPr>
            <w:tcW w:w="683"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工业</w:t>
            </w:r>
            <w:r>
              <w:rPr>
                <w:rFonts w:hint="eastAsia" w:ascii="仿宋_GB2312" w:hAnsi="微软雅黑" w:eastAsia="仿宋_GB2312" w:cs="微软雅黑"/>
                <w:color w:val="000000" w:themeColor="text1"/>
                <w:szCs w:val="21"/>
                <w14:textFill>
                  <w14:solidFill>
                    <w14:schemeClr w14:val="tx1"/>
                  </w14:solidFill>
                </w14:textFill>
              </w:rPr>
              <w:t>孪生场景搭建</w:t>
            </w:r>
          </w:p>
        </w:tc>
        <w:tc>
          <w:tcPr>
            <w:tcW w:w="682"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w:t>
            </w:r>
          </w:p>
        </w:tc>
        <w:tc>
          <w:tcPr>
            <w:tcW w:w="682" w:type="pct"/>
            <w:vMerge w:val="restar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6" w:hRule="atLeast"/>
          <w:jc w:val="center"/>
        </w:trPr>
        <w:tc>
          <w:tcPr>
            <w:tcW w:w="626" w:type="pct"/>
            <w:vMerge w:val="continue"/>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p>
        </w:tc>
        <w:tc>
          <w:tcPr>
            <w:tcW w:w="840" w:type="pct"/>
            <w:vMerge w:val="continue"/>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86" w:type="pct"/>
            <w:vMerge w:val="continue"/>
            <w:tcMar>
              <w:top w:w="0" w:type="dxa"/>
              <w:left w:w="86" w:type="dxa"/>
              <w:bottom w:w="0" w:type="dxa"/>
              <w:right w:w="86" w:type="dxa"/>
            </w:tcMar>
            <w:vAlign w:val="center"/>
          </w:tcPr>
          <w:p>
            <w:pPr>
              <w:keepNext/>
              <w:wordWrap w:val="0"/>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83"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数据采集系统及应用</w:t>
            </w:r>
          </w:p>
        </w:tc>
        <w:tc>
          <w:tcPr>
            <w:tcW w:w="682"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w:t>
            </w:r>
            <w:r>
              <w:rPr>
                <w:rFonts w:ascii="仿宋_GB2312" w:hAnsi="仿宋_GB2312" w:eastAsia="仿宋_GB2312" w:cs="仿宋_GB2312"/>
                <w:color w:val="000000" w:themeColor="text1"/>
                <w:szCs w:val="21"/>
                <w14:textFill>
                  <w14:solidFill>
                    <w14:schemeClr w14:val="tx1"/>
                  </w14:solidFill>
                </w14:textFill>
              </w:rPr>
              <w:t>%</w:t>
            </w:r>
          </w:p>
        </w:tc>
        <w:tc>
          <w:tcPr>
            <w:tcW w:w="682" w:type="pct"/>
            <w:vMerge w:val="continue"/>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8" w:hRule="atLeast"/>
          <w:jc w:val="center"/>
        </w:trPr>
        <w:tc>
          <w:tcPr>
            <w:tcW w:w="626" w:type="pct"/>
            <w:vMerge w:val="continue"/>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p>
        </w:tc>
        <w:tc>
          <w:tcPr>
            <w:tcW w:w="840" w:type="pct"/>
            <w:vMerge w:val="continue"/>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86" w:type="pct"/>
            <w:vMerge w:val="continue"/>
            <w:tcMar>
              <w:top w:w="0" w:type="dxa"/>
              <w:left w:w="86" w:type="dxa"/>
              <w:bottom w:w="0" w:type="dxa"/>
              <w:right w:w="86" w:type="dxa"/>
            </w:tcMar>
            <w:vAlign w:val="center"/>
          </w:tcPr>
          <w:p>
            <w:pPr>
              <w:keepNext/>
              <w:wordWrap w:val="0"/>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83"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标识解析系统集成应用</w:t>
            </w:r>
          </w:p>
        </w:tc>
        <w:tc>
          <w:tcPr>
            <w:tcW w:w="682"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w:t>
            </w:r>
            <w:r>
              <w:rPr>
                <w:rFonts w:ascii="仿宋_GB2312" w:hAnsi="仿宋_GB2312" w:eastAsia="仿宋_GB2312" w:cs="仿宋_GB2312"/>
                <w:color w:val="000000" w:themeColor="text1"/>
                <w:szCs w:val="21"/>
                <w14:textFill>
                  <w14:solidFill>
                    <w14:schemeClr w14:val="tx1"/>
                  </w14:solidFill>
                </w14:textFill>
              </w:rPr>
              <w:t>%</w:t>
            </w:r>
          </w:p>
        </w:tc>
        <w:tc>
          <w:tcPr>
            <w:tcW w:w="682" w:type="pct"/>
            <w:vMerge w:val="continue"/>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jc w:val="center"/>
        </w:trPr>
        <w:tc>
          <w:tcPr>
            <w:tcW w:w="626" w:type="pct"/>
            <w:vMerge w:val="continue"/>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p>
        </w:tc>
        <w:tc>
          <w:tcPr>
            <w:tcW w:w="840" w:type="pct"/>
            <w:vMerge w:val="continue"/>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86" w:type="pct"/>
            <w:vMerge w:val="continue"/>
            <w:tcMar>
              <w:top w:w="0" w:type="dxa"/>
              <w:left w:w="86" w:type="dxa"/>
              <w:bottom w:w="0" w:type="dxa"/>
              <w:right w:w="86" w:type="dxa"/>
            </w:tcMar>
            <w:vAlign w:val="center"/>
          </w:tcPr>
          <w:p>
            <w:pPr>
              <w:keepNext/>
              <w:wordWrap w:val="0"/>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83"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边缘计算及数据可视化应用</w:t>
            </w:r>
          </w:p>
        </w:tc>
        <w:tc>
          <w:tcPr>
            <w:tcW w:w="682"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r>
              <w:rPr>
                <w:rFonts w:ascii="仿宋_GB2312" w:hAnsi="仿宋_GB2312" w:eastAsia="仿宋_GB2312" w:cs="仿宋_GB2312"/>
                <w:color w:val="000000" w:themeColor="text1"/>
                <w:szCs w:val="21"/>
                <w14:textFill>
                  <w14:solidFill>
                    <w14:schemeClr w14:val="tx1"/>
                  </w14:solidFill>
                </w14:textFill>
              </w:rPr>
              <w:t>0%</w:t>
            </w:r>
          </w:p>
        </w:tc>
        <w:tc>
          <w:tcPr>
            <w:tcW w:w="682" w:type="pct"/>
            <w:vMerge w:val="continue"/>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4" w:hRule="atLeast"/>
          <w:jc w:val="center"/>
        </w:trPr>
        <w:tc>
          <w:tcPr>
            <w:tcW w:w="626" w:type="pct"/>
            <w:vMerge w:val="continue"/>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p>
        </w:tc>
        <w:tc>
          <w:tcPr>
            <w:tcW w:w="840" w:type="pct"/>
            <w:vMerge w:val="continue"/>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86" w:type="pct"/>
            <w:vMerge w:val="continue"/>
            <w:tcMar>
              <w:top w:w="0" w:type="dxa"/>
              <w:left w:w="86" w:type="dxa"/>
              <w:bottom w:w="0" w:type="dxa"/>
              <w:right w:w="86" w:type="dxa"/>
            </w:tcMar>
            <w:vAlign w:val="center"/>
          </w:tcPr>
          <w:p>
            <w:pPr>
              <w:keepNext/>
              <w:wordWrap w:val="0"/>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83"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工业互联网应用平台服务开发</w:t>
            </w:r>
          </w:p>
        </w:tc>
        <w:tc>
          <w:tcPr>
            <w:tcW w:w="682"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w:t>
            </w:r>
            <w:r>
              <w:rPr>
                <w:rFonts w:ascii="仿宋_GB2312" w:hAnsi="仿宋_GB2312" w:eastAsia="仿宋_GB2312" w:cs="仿宋_GB2312"/>
                <w:color w:val="000000" w:themeColor="text1"/>
                <w:szCs w:val="21"/>
                <w14:textFill>
                  <w14:solidFill>
                    <w14:schemeClr w14:val="tx1"/>
                  </w14:solidFill>
                </w14:textFill>
              </w:rPr>
              <w:t>%</w:t>
            </w:r>
          </w:p>
        </w:tc>
        <w:tc>
          <w:tcPr>
            <w:tcW w:w="682" w:type="pct"/>
            <w:vMerge w:val="continue"/>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jc w:val="center"/>
        </w:trPr>
        <w:tc>
          <w:tcPr>
            <w:tcW w:w="626" w:type="pct"/>
            <w:vMerge w:val="restart"/>
            <w:tcMar>
              <w:top w:w="0" w:type="dxa"/>
              <w:left w:w="86" w:type="dxa"/>
              <w:bottom w:w="0" w:type="dxa"/>
              <w:right w:w="86" w:type="dxa"/>
            </w:tcMar>
            <w:vAlign w:val="center"/>
          </w:tcPr>
          <w:p>
            <w:pPr>
              <w:spacing w:line="312" w:lineRule="auto"/>
              <w:ind w:left="1"/>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模块三</w:t>
            </w:r>
          </w:p>
        </w:tc>
        <w:tc>
          <w:tcPr>
            <w:tcW w:w="840" w:type="pct"/>
            <w:vMerge w:val="restart"/>
            <w:tcMar>
              <w:top w:w="0" w:type="dxa"/>
              <w:left w:w="86" w:type="dxa"/>
              <w:bottom w:w="0" w:type="dxa"/>
              <w:right w:w="86" w:type="dxa"/>
            </w:tcMar>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职业素养</w:t>
            </w:r>
          </w:p>
        </w:tc>
        <w:tc>
          <w:tcPr>
            <w:tcW w:w="1486" w:type="pct"/>
            <w:vMerge w:val="restart"/>
            <w:tcMar>
              <w:top w:w="0" w:type="dxa"/>
              <w:left w:w="86" w:type="dxa"/>
              <w:bottom w:w="0" w:type="dxa"/>
              <w:right w:w="86" w:type="dxa"/>
            </w:tcMar>
            <w:vAlign w:val="center"/>
          </w:tcPr>
          <w:p>
            <w:pPr>
              <w:keepNext/>
              <w:wordWrap w:val="0"/>
              <w:adjustRightInd w:val="0"/>
              <w:snapToGrid w:val="0"/>
              <w:spacing w:line="312" w:lineRule="auto"/>
              <w:ind w:left="1"/>
              <w:jc w:val="left"/>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考核参赛选手具有工匠精神和信息素养。</w:t>
            </w:r>
          </w:p>
        </w:tc>
        <w:tc>
          <w:tcPr>
            <w:tcW w:w="683"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操作安全与</w:t>
            </w:r>
          </w:p>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规范</w:t>
            </w:r>
          </w:p>
        </w:tc>
        <w:tc>
          <w:tcPr>
            <w:tcW w:w="682"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r>
              <w:rPr>
                <w:rFonts w:ascii="仿宋_GB2312" w:hAnsi="仿宋_GB2312" w:eastAsia="仿宋_GB2312" w:cs="仿宋_GB2312"/>
                <w:color w:val="000000" w:themeColor="text1"/>
                <w:szCs w:val="21"/>
                <w14:textFill>
                  <w14:solidFill>
                    <w14:schemeClr w14:val="tx1"/>
                  </w14:solidFill>
                </w14:textFill>
              </w:rPr>
              <w:t>%</w:t>
            </w:r>
          </w:p>
        </w:tc>
        <w:tc>
          <w:tcPr>
            <w:tcW w:w="682" w:type="pct"/>
            <w:vMerge w:val="restar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26" w:type="pct"/>
            <w:vMerge w:val="continue"/>
            <w:tcMar>
              <w:top w:w="0" w:type="dxa"/>
              <w:left w:w="86" w:type="dxa"/>
              <w:bottom w:w="0" w:type="dxa"/>
              <w:right w:w="86" w:type="dxa"/>
            </w:tcMar>
            <w:vAlign w:val="center"/>
          </w:tcPr>
          <w:p>
            <w:pPr>
              <w:spacing w:line="312" w:lineRule="auto"/>
              <w:ind w:left="1"/>
              <w:rPr>
                <w:rFonts w:hint="eastAsia" w:ascii="仿宋_GB2312" w:hAnsi="仿宋_GB2312" w:eastAsia="仿宋_GB2312" w:cs="仿宋_GB2312"/>
                <w:color w:val="000000" w:themeColor="text1"/>
                <w:szCs w:val="21"/>
                <w14:textFill>
                  <w14:solidFill>
                    <w14:schemeClr w14:val="tx1"/>
                  </w14:solidFill>
                </w14:textFill>
              </w:rPr>
            </w:pPr>
          </w:p>
        </w:tc>
        <w:tc>
          <w:tcPr>
            <w:tcW w:w="840" w:type="pct"/>
            <w:vMerge w:val="continue"/>
            <w:tcMar>
              <w:top w:w="0" w:type="dxa"/>
              <w:left w:w="86" w:type="dxa"/>
              <w:bottom w:w="0" w:type="dxa"/>
              <w:right w:w="86" w:type="dxa"/>
            </w:tcMar>
            <w:vAlign w:val="center"/>
          </w:tcPr>
          <w:p>
            <w:pPr>
              <w:keepNext/>
              <w:wordWrap w:val="0"/>
              <w:adjustRightInd w:val="0"/>
              <w:snapToGrid w:val="0"/>
              <w:spacing w:line="312" w:lineRule="auto"/>
              <w:ind w:left="1"/>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86" w:type="pct"/>
            <w:vMerge w:val="continue"/>
            <w:tcMar>
              <w:top w:w="0" w:type="dxa"/>
              <w:left w:w="86" w:type="dxa"/>
              <w:bottom w:w="0" w:type="dxa"/>
              <w:right w:w="86" w:type="dxa"/>
            </w:tcMar>
          </w:tcPr>
          <w:p>
            <w:pPr>
              <w:keepNext/>
              <w:wordWrap w:val="0"/>
              <w:adjustRightInd w:val="0"/>
              <w:snapToGrid w:val="0"/>
              <w:spacing w:line="312" w:lineRule="auto"/>
              <w:ind w:left="1"/>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83"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工作纪律与文明礼貌</w:t>
            </w:r>
          </w:p>
        </w:tc>
        <w:tc>
          <w:tcPr>
            <w:tcW w:w="682"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r>
              <w:rPr>
                <w:rFonts w:ascii="仿宋_GB2312" w:hAnsi="仿宋_GB2312" w:eastAsia="仿宋_GB2312" w:cs="仿宋_GB2312"/>
                <w:color w:val="000000" w:themeColor="text1"/>
                <w:szCs w:val="21"/>
                <w14:textFill>
                  <w14:solidFill>
                    <w14:schemeClr w14:val="tx1"/>
                  </w14:solidFill>
                </w14:textFill>
              </w:rPr>
              <w:t>%</w:t>
            </w:r>
          </w:p>
        </w:tc>
        <w:tc>
          <w:tcPr>
            <w:tcW w:w="682" w:type="pct"/>
            <w:vMerge w:val="continue"/>
            <w:vAlign w:val="center"/>
          </w:tcPr>
          <w:p>
            <w:pPr>
              <w:keepNext/>
              <w:wordWrap w:val="0"/>
              <w:adjustRightInd w:val="0"/>
              <w:snapToGrid w:val="0"/>
              <w:spacing w:line="312" w:lineRule="auto"/>
              <w:ind w:left="1"/>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 w:hRule="atLeast"/>
          <w:jc w:val="center"/>
        </w:trPr>
        <w:tc>
          <w:tcPr>
            <w:tcW w:w="626" w:type="pct"/>
            <w:vMerge w:val="continue"/>
            <w:tcMar>
              <w:top w:w="0" w:type="dxa"/>
              <w:left w:w="86" w:type="dxa"/>
              <w:bottom w:w="0" w:type="dxa"/>
              <w:right w:w="86" w:type="dxa"/>
            </w:tcMar>
            <w:vAlign w:val="center"/>
          </w:tcPr>
          <w:p>
            <w:pPr>
              <w:spacing w:line="312" w:lineRule="auto"/>
              <w:ind w:left="1"/>
              <w:rPr>
                <w:rFonts w:hint="eastAsia" w:ascii="仿宋_GB2312" w:hAnsi="仿宋_GB2312" w:eastAsia="仿宋_GB2312" w:cs="仿宋_GB2312"/>
                <w:color w:val="000000" w:themeColor="text1"/>
                <w:szCs w:val="21"/>
                <w14:textFill>
                  <w14:solidFill>
                    <w14:schemeClr w14:val="tx1"/>
                  </w14:solidFill>
                </w14:textFill>
              </w:rPr>
            </w:pPr>
          </w:p>
        </w:tc>
        <w:tc>
          <w:tcPr>
            <w:tcW w:w="840" w:type="pct"/>
            <w:vMerge w:val="continue"/>
            <w:tcMar>
              <w:top w:w="0" w:type="dxa"/>
              <w:left w:w="86" w:type="dxa"/>
              <w:bottom w:w="0" w:type="dxa"/>
              <w:right w:w="86" w:type="dxa"/>
            </w:tcMar>
            <w:vAlign w:val="center"/>
          </w:tcPr>
          <w:p>
            <w:pPr>
              <w:keepNext/>
              <w:wordWrap w:val="0"/>
              <w:adjustRightInd w:val="0"/>
              <w:snapToGrid w:val="0"/>
              <w:spacing w:line="312" w:lineRule="auto"/>
              <w:ind w:left="1"/>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86" w:type="pct"/>
            <w:vMerge w:val="continue"/>
            <w:tcMar>
              <w:top w:w="0" w:type="dxa"/>
              <w:left w:w="86" w:type="dxa"/>
              <w:bottom w:w="0" w:type="dxa"/>
              <w:right w:w="86" w:type="dxa"/>
            </w:tcMar>
          </w:tcPr>
          <w:p>
            <w:pPr>
              <w:keepNext/>
              <w:wordWrap w:val="0"/>
              <w:adjustRightInd w:val="0"/>
              <w:snapToGrid w:val="0"/>
              <w:spacing w:line="312" w:lineRule="auto"/>
              <w:ind w:left="1"/>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83"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整理整洁与绿色环保</w:t>
            </w:r>
          </w:p>
        </w:tc>
        <w:tc>
          <w:tcPr>
            <w:tcW w:w="682" w:type="pct"/>
            <w:vAlign w:val="center"/>
          </w:tcPr>
          <w:p>
            <w:pPr>
              <w:keepNext/>
              <w:wordWrap w:val="0"/>
              <w:adjustRightInd w:val="0"/>
              <w:snapToGrid w:val="0"/>
              <w:spacing w:line="312" w:lineRule="auto"/>
              <w:ind w:left="1"/>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r>
              <w:rPr>
                <w:rFonts w:ascii="仿宋_GB2312" w:hAnsi="仿宋_GB2312" w:eastAsia="仿宋_GB2312" w:cs="仿宋_GB2312"/>
                <w:color w:val="000000" w:themeColor="text1"/>
                <w:szCs w:val="21"/>
                <w14:textFill>
                  <w14:solidFill>
                    <w14:schemeClr w14:val="tx1"/>
                  </w14:solidFill>
                </w14:textFill>
              </w:rPr>
              <w:t>%</w:t>
            </w:r>
          </w:p>
        </w:tc>
        <w:tc>
          <w:tcPr>
            <w:tcW w:w="682" w:type="pct"/>
            <w:vMerge w:val="continue"/>
            <w:vAlign w:val="center"/>
          </w:tcPr>
          <w:p>
            <w:pPr>
              <w:keepNext/>
              <w:wordWrap w:val="0"/>
              <w:adjustRightInd w:val="0"/>
              <w:snapToGrid w:val="0"/>
              <w:spacing w:line="312" w:lineRule="auto"/>
              <w:ind w:left="1"/>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bl>
    <w:p>
      <w:pPr>
        <w:spacing w:line="56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（二）评分方式</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1.裁判员人数及组成条件</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裁判长1名，加密裁判2人，现场裁判</w:t>
      </w:r>
      <w:r>
        <w:rPr>
          <w:rFonts w:ascii="仿宋_GB2312" w:hAnsi="仿宋" w:eastAsia="仿宋_GB2312"/>
          <w:sz w:val="30"/>
          <w:szCs w:val="30"/>
        </w:rPr>
        <w:t>3</w:t>
      </w:r>
      <w:r>
        <w:rPr>
          <w:rFonts w:hint="eastAsia" w:ascii="仿宋_GB2312" w:hAnsi="仿宋" w:eastAsia="仿宋_GB2312"/>
          <w:sz w:val="30"/>
          <w:szCs w:val="30"/>
        </w:rPr>
        <w:t>名，评分裁判</w:t>
      </w:r>
      <w:r>
        <w:rPr>
          <w:rFonts w:ascii="仿宋_GB2312" w:hAnsi="仿宋" w:eastAsia="仿宋_GB2312"/>
          <w:sz w:val="30"/>
          <w:szCs w:val="30"/>
        </w:rPr>
        <w:t>6</w:t>
      </w:r>
      <w:r>
        <w:rPr>
          <w:rFonts w:hint="eastAsia" w:ascii="仿宋_GB2312" w:hAnsi="仿宋" w:eastAsia="仿宋_GB2312"/>
          <w:sz w:val="30"/>
          <w:szCs w:val="30"/>
        </w:rPr>
        <w:t>名，共计</w:t>
      </w:r>
      <w:r>
        <w:rPr>
          <w:rFonts w:ascii="仿宋_GB2312" w:hAnsi="仿宋" w:eastAsia="仿宋_GB2312"/>
          <w:sz w:val="30"/>
          <w:szCs w:val="30"/>
        </w:rPr>
        <w:t>1</w:t>
      </w:r>
      <w:r>
        <w:rPr>
          <w:rFonts w:hint="eastAsia" w:ascii="仿宋_GB2312" w:hAnsi="仿宋" w:eastAsia="仿宋_GB2312"/>
          <w:sz w:val="30"/>
          <w:szCs w:val="30"/>
        </w:rPr>
        <w:t>2人。裁判员由具有省市级相关赛项执裁经历，从事电子信息类专业教学工作或企业工作讲师及以上职称或技师及以上等级的人员组成。</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2.裁判评分方法</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（1）赛项裁判组负责赛项成绩评定工作，设裁判长一名，全面负责赛项的裁判和管理工作。参赛选手根据赛项任务书的要求进行操作，需要裁判确认的内容必须举手经过裁判员的确认，否则不得分。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（2）赛项裁判组本着“公平、公正、公开、科学、规范、透明、无异议”的原则，根据裁判的现场记录、参赛队选手的赛项任务书及评分标准，评定成绩。</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（3）裁判的分组由裁判长负责，无相应执裁任务的裁判不得进入选手工位，选手按照裁判的指令展示评分项描述的功能。</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注意：竞赛任务完成过程配有3台计算机，已预装竞赛过程中使用到的开发软件和环境。参考资料放置在竞赛指定文件夹中，未存储到指定位置的运行记录或程序文件不作为竞赛成果予以评分。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3.成绩产生方法</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成绩产生方法为结果评分，所有评分材料须由相应评分裁判、裁判长共同签字。</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4.成绩并列</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如出现参赛队总分相同情况，按照模块二、一、三顺序的得分高低排序，即总成绩相同的情况下比较模块二的成绩，模块二成绩高的排名优先，如果模块二成绩也相同，则按模块一的成绩进行排名，以此类推完成相同成绩的排序。如果模块一、二分值均相同，则查看模块三职业素养的分值进行排序。</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5.成绩审核与公布方法</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（1）抽检复核</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①为保障成绩评判的准确性，监督仲裁组对赛项总成绩排名前30%的所有参赛队伍（选手）的成绩进行复核；对其余成绩进行抽检复核，抽检覆盖率不得低于15%。</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②监督仲裁组需将复检中发现的错误以书面方式及时告知裁判长，由裁判长更正成绩并签字确认。</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③复核、抽检错误率超过5%的，则认定为非小概率事件，裁判组需对所有成绩进行复核。</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（2）解密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裁判长正式提交赛位（竞赛作品）评分结果并复核无误后，在监督人员监督下对加密结果进行逐层解密。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（3）公布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记分员将解密后的各参赛队成绩汇总成最终成绩单，经裁判长、监督仲裁组签字后进行公示。</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（三）违规扣分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竞赛过程中，如果发生以下问题或事故，则在竞赛队总分中作扣分处理。具体标准如下：</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.在完成工作任务的过程中，因操作不当导致人身或设备安全事故，扣10-20分，情况严重者取消比赛资格；</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.参赛选手有不服从裁判及监考、扰乱赛场秩序等行为扣10分，情节严重的，取消参赛队竞赛成绩。有作弊行为的，取消参赛队参赛资格；</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.违反赛场纪律，依据情节轻重，扣1-5分。情节特别严重，并产生不良后果的，则报赛项执委会批准，由裁判长宣布终止该选手的比赛；</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.现场裁判宣布竞赛时间结束，选手仍继续操作的，由现场裁判负责记录扣1-5分，情节严重，警告无效的，取消参赛资格。</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（四）成绩公布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赛项成绩解密后，经裁判长、监督组签字后，在赛项执委会指定的地点，以纸质形式向全体参赛队进行公布。成绩公布2小时无异议后，将赛项总成绩的最终结果录入赛务管理系统。</w:t>
      </w:r>
    </w:p>
    <w:p>
      <w:pPr>
        <w:pStyle w:val="6"/>
        <w:spacing w:before="0" w:after="0" w:line="240" w:lineRule="auto"/>
        <w:ind w:firstLine="640" w:firstLineChars="200"/>
        <w:rPr>
          <w:rFonts w:hint="eastAsia" w:ascii="黑体" w:hAnsi="黑体" w:eastAsia="黑体"/>
          <w:b w:val="0"/>
          <w:szCs w:val="30"/>
          <w:lang w:eastAsia="zh-CN"/>
        </w:rPr>
      </w:pPr>
      <w:r>
        <w:rPr>
          <w:rFonts w:hint="eastAsia" w:ascii="黑体" w:hAnsi="黑体" w:eastAsia="黑体"/>
          <w:b w:val="0"/>
          <w:szCs w:val="30"/>
        </w:rPr>
        <w:t>十三、奖项</w:t>
      </w:r>
      <w:r>
        <w:rPr>
          <w:rFonts w:hint="eastAsia" w:ascii="黑体" w:hAnsi="黑体" w:eastAsia="黑体"/>
          <w:b w:val="0"/>
          <w:szCs w:val="30"/>
          <w:lang w:val="en-US" w:eastAsia="zh-CN"/>
        </w:rPr>
        <w:t>设置</w:t>
      </w:r>
    </w:p>
    <w:p>
      <w:pPr>
        <w:spacing w:line="560" w:lineRule="exact"/>
        <w:ind w:firstLine="600" w:firstLineChars="200"/>
        <w:rPr>
          <w:rFonts w:hint="eastAsia" w:ascii="仿宋_GB2312" w:hAnsi="仿宋" w:eastAsia="仿宋_GB2312"/>
          <w:sz w:val="30"/>
          <w:szCs w:val="30"/>
        </w:rPr>
      </w:pPr>
      <w:r>
        <w:rPr>
          <w:rFonts w:hint="eastAsia" w:ascii="仿宋_GB2312" w:hAnsi="仿宋_GB2312" w:eastAsia="仿宋_GB2312" w:cs="仿宋_GB2312"/>
          <w:kern w:val="0"/>
          <w:sz w:val="30"/>
          <w:szCs w:val="30"/>
          <w:lang w:val="en-US" w:eastAsia="zh-CN"/>
        </w:rPr>
        <w:t>按照《河南省教育厅办公室关于举办2024年河南省高等职业教育技能大赛的通知》（教办职成〔2024〕331号）文件规定执行。</w:t>
      </w:r>
    </w:p>
    <w:p>
      <w:pPr>
        <w:pStyle w:val="6"/>
        <w:spacing w:before="0" w:after="0" w:line="240" w:lineRule="auto"/>
        <w:ind w:firstLine="640" w:firstLineChars="200"/>
        <w:rPr>
          <w:rFonts w:hint="eastAsia" w:ascii="黑体" w:hAnsi="黑体" w:eastAsia="黑体" w:cs="宋体"/>
          <w:b w:val="0"/>
          <w:kern w:val="0"/>
          <w:szCs w:val="30"/>
        </w:rPr>
      </w:pPr>
      <w:r>
        <w:rPr>
          <w:rFonts w:hint="eastAsia" w:ascii="黑体" w:hAnsi="黑体" w:eastAsia="黑体" w:cs="宋体"/>
          <w:b w:val="0"/>
          <w:kern w:val="0"/>
          <w:szCs w:val="30"/>
        </w:rPr>
        <w:t>十四</w:t>
      </w:r>
      <w:r>
        <w:rPr>
          <w:rFonts w:hint="eastAsia" w:ascii="黑体" w:hAnsi="黑体" w:eastAsia="黑体"/>
          <w:b w:val="0"/>
          <w:szCs w:val="30"/>
        </w:rPr>
        <w:t>、赛项安全</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（一）安全保障</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成立安全保障工作组，负责本赛项筹备和比赛期间的各项安全工作，根据赛项具体特点做好安全事故应急预案，保证比赛筹备和实施工作全过程的安全。赛前检查消防设施，做好安全保卫工作，防止火灾、盗窃现象发生，要按时关窗锁门，确保大赛期间赛场财产的安全。竞赛结束时，要及时进行安全检查，重点做好防火、防盗以及电气、设备的安全检查，防止因疏忽而发生事故。</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赛场周围要设立警戒线，防止无关人员进入，发生意外事件。比赛现场内应参照相关职业岗位的要求为选手提供必要的劳动保护。在具有危险性的操作环节，裁判员要严防选手出现错误操作。</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在参赛选手进入赛位，赛项裁判工作人员进入工作场所时，提醒、督促参赛选手、赛项裁判工作人员严禁携带通讯、照相摄录设备，禁止携带未经许可的记录用具。如确有需要，由赛场统一配置，统一管理。赛项可根据需要配置安检设备，对进入赛场重要区域的人员进行安检，可在赛场相关区域安放无线屏蔽设备。</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（二）组队责任</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各学校组织代表队时，须安排为参赛选手购买大赛期间的人身意外伤害保险。</w:t>
      </w:r>
    </w:p>
    <w:p>
      <w:pPr>
        <w:spacing w:line="560" w:lineRule="exact"/>
        <w:ind w:firstLine="600" w:firstLineChars="200"/>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各学校代表队组成后，须安排参赛选手和大赛指导教师进行体检，并能提供体检报告。</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各学校代表队组成后，须制定相关管理制度，并对所有选手、指导教师进行安全教育。</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w:t>
      </w:r>
      <w:r>
        <w:rPr>
          <w:rFonts w:hint="eastAsia" w:ascii="仿宋_GB2312" w:hAnsi="仿宋" w:eastAsia="仿宋_GB2312"/>
          <w:sz w:val="30"/>
          <w:szCs w:val="30"/>
        </w:rPr>
        <w:t>各参赛队伍须加强对参赛人员的安全管理，实现与赛场安全管理的对接。</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（三）应急处理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比赛期间发生意外事故时，发现者应在第一时间上报，同时采取措施，避免事态扩大。赛项执委会应立即启动预案予以解决并向赛区执委会报告。出现重大安全问题的赛项可以停赛，是否停赛由赛区组委会决定。事后，赛区执委会应向大赛执委会报告详细情况。</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（四）处罚措施</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因参赛队伍原因造成重大安全事故的，取消其获奖资格。</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参赛队伍有发生重大安全事故隐患，经赛场工作人员提示、警告无效的，可取消其继续比赛的资格。</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赛事工作人员违规的，按照相应的制度追究责任。情节恶劣并造成重大安全事故的，由司法机关追究相应法律责任。</w:t>
      </w:r>
    </w:p>
    <w:p>
      <w:pPr>
        <w:pStyle w:val="6"/>
        <w:spacing w:before="0" w:after="0" w:line="240" w:lineRule="auto"/>
        <w:ind w:firstLine="640" w:firstLineChars="200"/>
        <w:rPr>
          <w:rFonts w:hint="eastAsia" w:ascii="黑体" w:hAnsi="黑体" w:eastAsia="黑体"/>
          <w:b w:val="0"/>
          <w:szCs w:val="30"/>
        </w:rPr>
      </w:pPr>
      <w:r>
        <w:rPr>
          <w:rFonts w:hint="eastAsia" w:ascii="黑体" w:hAnsi="黑体" w:eastAsia="黑体"/>
          <w:b w:val="0"/>
          <w:szCs w:val="30"/>
        </w:rPr>
        <w:t>十五、申诉与仲裁</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（一）申诉</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1.参赛队对不符合竞赛规定的设备、工具、软件，有失公正的评判、奖励，以及对工作人员的违规行为等，均可提出申诉。</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属于设备、工具、软件方面的申诉应在竞赛前一天熟悉竞赛环境结束后2小时内提出；其他方面的申诉应在本环节竞赛结束后2小时内提出，超过时效将不予受理。申诉时，应按照规定的程序由参赛队领队向竞赛仲裁组提出书面申诉，并进行现场核实。申诉发生事件的现象、发生的时间、涉及的人员、申诉依据与理由等进行充分、实事求是的叙述。事实依据不充分、仅凭主观臆断的申诉将不予受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3.竞赛仲裁组收到申诉报告后，应根据申诉事由进行审查，由裁判组组长根据申诉情况给出处理结果及处理依据和理由。</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4.申诉人不得无故拒不接受处理结果，不得采取过激行为刁难、攻击工作人员，否则视为放弃申诉。</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（二）仲裁</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赛项设仲裁工作组接受由代表队领队提出的对裁判结果等方面问题的申诉。赛项仲裁工作组在接到申诉后的2小时内组织复议，并及时反馈复议结果。仲裁工作组的仲裁结果为最终结果。</w:t>
      </w:r>
    </w:p>
    <w:p>
      <w:pPr>
        <w:pStyle w:val="6"/>
        <w:spacing w:before="0" w:after="0" w:line="240" w:lineRule="auto"/>
        <w:ind w:firstLine="641"/>
        <w:rPr>
          <w:rFonts w:hint="eastAsia" w:ascii="黑体" w:hAnsi="黑体" w:eastAsia="黑体"/>
          <w:b w:val="0"/>
          <w:szCs w:val="30"/>
        </w:rPr>
      </w:pPr>
      <w:r>
        <w:rPr>
          <w:rFonts w:hint="eastAsia" w:ascii="黑体" w:hAnsi="黑体" w:eastAsia="黑体"/>
          <w:b w:val="0"/>
          <w:szCs w:val="30"/>
        </w:rPr>
        <w:t>十六、竞赛须知</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（一）参赛队须知</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参赛队应该参加赛项承办单位组织的闭赛式等各项赛事活动。</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在赛事期间，参赛队成员不得私自接触裁判，凡发现有弄虚作假者，取消其参赛资格，成绩无效。</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所有参赛人员须按照赛项规程要求按照完成赛项评价工作。</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w:t>
      </w:r>
      <w:r>
        <w:rPr>
          <w:rFonts w:hint="eastAsia" w:ascii="仿宋_GB2312" w:hAnsi="仿宋" w:eastAsia="仿宋_GB2312"/>
          <w:sz w:val="30"/>
          <w:szCs w:val="30"/>
        </w:rPr>
        <w:t>参赛队认为存在不符合竞赛规定的设备、工具、软件，有失公正的评判、奖励，以及工作人员的违规行为等情况时，须在该赛项竞赛结束后2小时内，向赛项仲裁组提交书面申诉材料。各参赛队应服从和执行申诉的最终仲裁结果。</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（二）领队须知</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各参赛代表队要发扬良好道德风尚，听从指挥，服从裁判，不弄虚作假。如发现弄虚作假者，取消参赛资格，名次无效。</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各代表队领队要坚决执行竞赛的各项规定，加强对参赛人员的管理，做好赛前准备工作，督促选手带好证件等竞赛相关材料。</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竞赛过程中，除参加当场次竞赛的选手、执行裁判员、现场工作人员和经批准的人员外，领队、指导教师及其他人员一律不得进入竞赛现场。</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w:t>
      </w:r>
      <w:r>
        <w:rPr>
          <w:rFonts w:hint="eastAsia" w:ascii="仿宋_GB2312" w:hAnsi="仿宋" w:eastAsia="仿宋_GB2312"/>
          <w:sz w:val="30"/>
          <w:szCs w:val="30"/>
        </w:rPr>
        <w:t>参赛代表队若对竞赛过程有异议，在规定的时间内由领队向赛项仲裁工作组提出书面报告。</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w:t>
      </w:r>
      <w:r>
        <w:rPr>
          <w:rFonts w:hint="eastAsia" w:ascii="仿宋_GB2312" w:hAnsi="仿宋" w:eastAsia="仿宋_GB2312"/>
          <w:sz w:val="30"/>
          <w:szCs w:val="30"/>
        </w:rPr>
        <w:t>对申诉的仲裁结果，领队要带头服从和执行，并做好选手工作。参赛选手不得因申诉或对处理意见不服而停止竞赛，否则以弃权处理。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6</w:t>
      </w:r>
      <w:r>
        <w:rPr>
          <w:rFonts w:ascii="仿宋_GB2312" w:hAnsi="仿宋" w:eastAsia="仿宋_GB2312"/>
          <w:sz w:val="30"/>
          <w:szCs w:val="30"/>
        </w:rPr>
        <w:t>.</w:t>
      </w:r>
      <w:r>
        <w:rPr>
          <w:rFonts w:hint="eastAsia" w:ascii="仿宋_GB2312" w:hAnsi="仿宋" w:eastAsia="仿宋_GB2312"/>
          <w:sz w:val="30"/>
          <w:szCs w:val="30"/>
        </w:rPr>
        <w:t>指导老师应及时查看大赛专用网页有关赛项的通知和内容，认真研究和掌握本赛项竞赛的规程、技术规范和赛场要求，指导选手做好赛前的一切技术准备和竞赛准备。</w:t>
      </w:r>
    </w:p>
    <w:p>
      <w:pPr>
        <w:spacing w:line="560" w:lineRule="exact"/>
        <w:ind w:firstLine="600" w:firstLineChars="200"/>
        <w:rPr>
          <w:rFonts w:hint="eastAsia" w:ascii="楷体_GB2312" w:hAnsi="仿宋" w:eastAsia="楷体_GB2312" w:cstheme="minorBidi"/>
          <w:sz w:val="30"/>
          <w:szCs w:val="30"/>
        </w:rPr>
      </w:pPr>
      <w:r>
        <w:rPr>
          <w:rFonts w:hint="eastAsia" w:ascii="楷体_GB2312" w:hAnsi="仿宋" w:eastAsia="楷体_GB2312" w:cstheme="minorBidi"/>
          <w:sz w:val="30"/>
          <w:szCs w:val="30"/>
        </w:rPr>
        <w:t>（三）参赛选手须知</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参赛选手应严格遵守赛场规章、操作规程和工艺准则，保证人身及设备安全，接受裁判员的监督和警示，文明竞赛。</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参赛选手应按照规定时间抵达赛场，凭身份证、学生证、工作证，以及统一发放的参赛证，完成入场检录、抽签确定竞赛工位号，不得迟到早退。</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参赛选手进入赛场前，须将身份证、学生证、参赛证交由检录人员统一保管，不得带入场内。</w:t>
      </w:r>
    </w:p>
    <w:p>
      <w:pPr>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参赛选手凭竞赛工位号进入赛场，不允许携带任何电子设备及其他资料、用品。</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w:t>
      </w:r>
      <w:r>
        <w:rPr>
          <w:rFonts w:hint="eastAsia" w:ascii="仿宋_GB2312" w:hAnsi="仿宋" w:eastAsia="仿宋_GB2312"/>
          <w:sz w:val="30"/>
          <w:szCs w:val="30"/>
        </w:rPr>
        <w:t>参赛选手应在规定的时间段进入赛场，认真核对竞赛工位号，在指定位置就座。</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6</w:t>
      </w:r>
      <w:r>
        <w:rPr>
          <w:rFonts w:ascii="仿宋_GB2312" w:hAnsi="仿宋" w:eastAsia="仿宋_GB2312"/>
          <w:sz w:val="30"/>
          <w:szCs w:val="30"/>
        </w:rPr>
        <w:t>.</w:t>
      </w:r>
      <w:r>
        <w:rPr>
          <w:rFonts w:hint="eastAsia" w:ascii="仿宋_GB2312" w:hAnsi="仿宋" w:eastAsia="仿宋_GB2312"/>
          <w:sz w:val="30"/>
          <w:szCs w:val="30"/>
        </w:rPr>
        <w:t>参赛选手入场后，迅速确认竞赛设备状况，填写相关确认文件，并由参赛队长确认签字（竞赛工位号）。</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7</w:t>
      </w:r>
      <w:r>
        <w:rPr>
          <w:rFonts w:ascii="仿宋_GB2312" w:hAnsi="仿宋" w:eastAsia="仿宋_GB2312"/>
          <w:sz w:val="30"/>
          <w:szCs w:val="30"/>
        </w:rPr>
        <w:t>.</w:t>
      </w:r>
      <w:r>
        <w:rPr>
          <w:rFonts w:hint="eastAsia" w:ascii="仿宋_GB2312" w:hAnsi="仿宋" w:eastAsia="仿宋_GB2312"/>
          <w:sz w:val="30"/>
          <w:szCs w:val="30"/>
        </w:rPr>
        <w:t>参赛选手在收到开赛信号前不得启动操作。在竞赛过程中，确因计算机软件或硬件故障，致使操作无法继续的，经裁判长确认，予以启用备用计算机。</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8</w:t>
      </w:r>
      <w:r>
        <w:rPr>
          <w:rFonts w:ascii="仿宋_GB2312" w:hAnsi="仿宋" w:eastAsia="仿宋_GB2312"/>
          <w:sz w:val="30"/>
          <w:szCs w:val="30"/>
        </w:rPr>
        <w:t>.</w:t>
      </w:r>
      <w:r>
        <w:rPr>
          <w:rFonts w:hint="eastAsia" w:ascii="仿宋_GB2312" w:hAnsi="仿宋" w:eastAsia="仿宋_GB2312"/>
          <w:sz w:val="30"/>
          <w:szCs w:val="30"/>
        </w:rPr>
        <w:t>赛项任务书及相关资料，均保存在操作系统桌面的“大赛资料”中。参赛选手应在竞赛规定时间内完成任务书内容，将相应的文档等按要求保存。</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9</w:t>
      </w:r>
      <w:r>
        <w:rPr>
          <w:rFonts w:ascii="仿宋_GB2312" w:hAnsi="仿宋" w:eastAsia="仿宋_GB2312"/>
          <w:sz w:val="30"/>
          <w:szCs w:val="30"/>
        </w:rPr>
        <w:t>.</w:t>
      </w:r>
      <w:r>
        <w:rPr>
          <w:rFonts w:hint="eastAsia" w:ascii="仿宋_GB2312" w:hAnsi="仿宋" w:eastAsia="仿宋_GB2312"/>
          <w:sz w:val="30"/>
          <w:szCs w:val="30"/>
        </w:rPr>
        <w:t>参赛选手需及时保存工作记录，以防止因操作系统异常及其他设备异常造成的数据丢失。对于因各种原因造成的数据丢失，由参赛选手自行负责。</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0.</w:t>
      </w:r>
      <w:r>
        <w:rPr>
          <w:rFonts w:hint="eastAsia" w:ascii="仿宋_GB2312" w:hAnsi="仿宋" w:eastAsia="仿宋_GB2312"/>
          <w:sz w:val="30"/>
          <w:szCs w:val="30"/>
        </w:rPr>
        <w:t>参赛队所提交的答卷采用竞赛工位号进行标识，不得出现地名、校名、姓名、参赛证编号等信息，否则取消竞赛成绩。</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1.</w:t>
      </w:r>
      <w:r>
        <w:rPr>
          <w:rFonts w:hint="eastAsia" w:ascii="仿宋_GB2312" w:hAnsi="仿宋" w:eastAsia="仿宋_GB2312"/>
          <w:sz w:val="30"/>
          <w:szCs w:val="30"/>
        </w:rPr>
        <w:t>竞赛过程中，因严重操作失误或安全事故不能进行比赛的（例如因操作原因发生短路导致赛场断电的、造成设备不能正常工作的），现场裁判员有权中止该队比赛。</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2.</w:t>
      </w:r>
      <w:r>
        <w:rPr>
          <w:rFonts w:hint="eastAsia" w:ascii="仿宋_GB2312" w:hAnsi="仿宋" w:eastAsia="仿宋_GB2312"/>
          <w:sz w:val="30"/>
          <w:szCs w:val="30"/>
        </w:rPr>
        <w:t>参赛期间，选手连续工作，选手休息和如厕时间均计算在比赛时间内。</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3.</w:t>
      </w:r>
      <w:r>
        <w:rPr>
          <w:rFonts w:hint="eastAsia" w:ascii="仿宋_GB2312" w:hAnsi="仿宋" w:eastAsia="仿宋_GB2312"/>
          <w:sz w:val="30"/>
          <w:szCs w:val="30"/>
        </w:rPr>
        <w:t>在比赛中如遇非人为因素造成的设备故障，经裁判确认后，可向裁判长申请补足排除故障的时间。</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4.</w:t>
      </w:r>
      <w:r>
        <w:rPr>
          <w:rFonts w:hint="eastAsia" w:ascii="仿宋_GB2312" w:hAnsi="仿宋" w:eastAsia="仿宋_GB2312"/>
          <w:sz w:val="30"/>
          <w:szCs w:val="30"/>
        </w:rPr>
        <w:t>参赛选手不得因各种原因提前结束比赛。如确因不可抗因素需要离开赛场的，须向现场裁判员举手示意，经裁判员许可并完成记录后，方可离开。</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凡在竞赛期间内提前离开的选手，不得返回赛场。</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6.</w:t>
      </w:r>
      <w:r>
        <w:rPr>
          <w:rFonts w:hint="eastAsia" w:ascii="仿宋_GB2312" w:hAnsi="仿宋" w:eastAsia="仿宋_GB2312"/>
          <w:sz w:val="30"/>
          <w:szCs w:val="30"/>
        </w:rPr>
        <w:t>竞赛操作结束后，参赛选手需要根据任务书要求，将相关成果文件拷贝至U盘，填写结束比赛相关确认文件，并由参赛队长签字确认（竞赛工位号）。因参赛选手未能按要求，将相应的文档等拷贝至U盘的，竞赛成绩计为零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7.</w:t>
      </w:r>
      <w:r>
        <w:rPr>
          <w:rFonts w:hint="eastAsia" w:ascii="仿宋_GB2312" w:hAnsi="仿宋" w:eastAsia="仿宋_GB2312"/>
          <w:sz w:val="30"/>
          <w:szCs w:val="30"/>
        </w:rPr>
        <w:t>竞赛时间终了，选手应全体起立，结束操作。经工作人员检查后可离开赛场，离开赛场时不得带走任何资料与设备。</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8.</w:t>
      </w:r>
      <w:r>
        <w:rPr>
          <w:rFonts w:hint="eastAsia" w:ascii="仿宋_GB2312" w:hAnsi="仿宋" w:eastAsia="仿宋_GB2312"/>
          <w:sz w:val="30"/>
          <w:szCs w:val="30"/>
        </w:rPr>
        <w:t>在竞赛期间，未经执委会批准，参赛选手不得接受其他单位和个人进行的与竞赛内容相关的采访。参赛选手不得将竞赛的相关信息私自公布。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9.</w:t>
      </w:r>
      <w:r>
        <w:rPr>
          <w:rFonts w:hint="eastAsia" w:ascii="仿宋_GB2312" w:hAnsi="仿宋" w:eastAsia="仿宋_GB2312"/>
          <w:sz w:val="30"/>
          <w:szCs w:val="30"/>
        </w:rPr>
        <w:t>符合下列情形之一的参赛选手，经裁判组裁定后中止其竞赛:</w:t>
      </w:r>
    </w:p>
    <w:p>
      <w:pPr>
        <w:pStyle w:val="28"/>
        <w:numPr>
          <w:ilvl w:val="0"/>
          <w:numId w:val="1"/>
        </w:numPr>
        <w:spacing w:line="560" w:lineRule="exact"/>
        <w:ind w:firstLineChars="0"/>
        <w:rPr>
          <w:rFonts w:hint="eastAsia" w:ascii="仿宋_GB2312" w:hAnsi="仿宋" w:eastAsia="仿宋_GB2312"/>
          <w:sz w:val="30"/>
          <w:szCs w:val="30"/>
        </w:rPr>
      </w:pPr>
      <w:r>
        <w:rPr>
          <w:rFonts w:hint="eastAsia" w:ascii="仿宋_GB2312" w:hAnsi="仿宋" w:eastAsia="仿宋_GB2312"/>
          <w:sz w:val="30"/>
          <w:szCs w:val="30"/>
        </w:rPr>
        <w:t>不服从裁判员、监考员管理、扰乱赛场秩序、干扰其他参赛选手比赛，裁判员应提出警告，二次警告后无效，或情节特别严重，造成竞赛中止的，经裁判长确认，中止比赛，并取消竞赛资格和竞赛成绩。</w:t>
      </w:r>
    </w:p>
    <w:p>
      <w:pPr>
        <w:pStyle w:val="28"/>
        <w:numPr>
          <w:ilvl w:val="0"/>
          <w:numId w:val="1"/>
        </w:numPr>
        <w:spacing w:line="560" w:lineRule="exact"/>
        <w:ind w:firstLineChars="0"/>
        <w:rPr>
          <w:rFonts w:hint="eastAsia" w:ascii="仿宋_GB2312" w:hAnsi="仿宋" w:eastAsia="仿宋_GB2312"/>
          <w:sz w:val="30"/>
          <w:szCs w:val="30"/>
        </w:rPr>
      </w:pPr>
      <w:r>
        <w:rPr>
          <w:rFonts w:hint="eastAsia" w:ascii="仿宋_GB2312" w:hAnsi="仿宋" w:eastAsia="仿宋_GB2312"/>
          <w:sz w:val="30"/>
          <w:szCs w:val="30"/>
        </w:rPr>
        <w:t>竞赛过程中，由于选手人为造成计算机、仪器设备及工具等严重损坏，负责赔偿其损失，并由裁判组裁定其竞赛结束与否、是否保留竞赛资格、是否累计其有效竞赛成绩。</w:t>
      </w:r>
    </w:p>
    <w:p>
      <w:pPr>
        <w:pStyle w:val="28"/>
        <w:numPr>
          <w:ilvl w:val="0"/>
          <w:numId w:val="1"/>
        </w:numPr>
        <w:spacing w:line="560" w:lineRule="exact"/>
        <w:ind w:firstLineChars="0"/>
        <w:rPr>
          <w:rFonts w:hint="eastAsia" w:ascii="仿宋_GB2312" w:hAnsi="仿宋" w:eastAsia="仿宋_GB2312"/>
          <w:sz w:val="30"/>
          <w:szCs w:val="30"/>
        </w:rPr>
      </w:pPr>
      <w:r>
        <w:rPr>
          <w:rFonts w:hint="eastAsia" w:ascii="仿宋_GB2312" w:hAnsi="仿宋" w:eastAsia="仿宋_GB2312"/>
          <w:sz w:val="30"/>
          <w:szCs w:val="30"/>
        </w:rPr>
        <w:t>竞赛过程中，产生重大安全事故、或有产生重大安全事故隐患，经裁判员提示没有采取措施的，裁判员可暂停其竞赛，由裁判组裁定其竞赛结束，保留竞赛资格和有效竞赛成绩。</w:t>
      </w:r>
    </w:p>
    <w:p>
      <w:pPr>
        <w:pStyle w:val="6"/>
        <w:spacing w:before="0" w:after="0" w:line="240" w:lineRule="auto"/>
        <w:ind w:firstLine="641"/>
        <w:rPr>
          <w:rFonts w:hint="eastAsia" w:ascii="黑体" w:hAnsi="黑体" w:eastAsia="黑体"/>
          <w:b w:val="0"/>
          <w:szCs w:val="30"/>
        </w:rPr>
      </w:pPr>
      <w:r>
        <w:rPr>
          <w:rFonts w:hint="eastAsia" w:ascii="黑体" w:hAnsi="黑体" w:eastAsia="黑体"/>
          <w:b w:val="0"/>
          <w:szCs w:val="30"/>
        </w:rPr>
        <w:t>十七、赛点提供软硬件设备清单</w:t>
      </w:r>
    </w:p>
    <w:p>
      <w:pPr>
        <w:widowControl/>
        <w:spacing w:before="140" w:after="120"/>
        <w:jc w:val="center"/>
        <w:rPr>
          <w:rFonts w:ascii="Times New Roman" w:hAnsi="Times New Roman" w:eastAsia="仿宋_GB2312"/>
          <w:szCs w:val="28"/>
        </w:rPr>
      </w:pPr>
      <w:r>
        <w:rPr>
          <w:rFonts w:hint="eastAsia" w:ascii="仿宋" w:hAnsi="仿宋" w:eastAsia="仿宋"/>
          <w:b/>
          <w:bCs/>
          <w:sz w:val="28"/>
          <w:szCs w:val="28"/>
        </w:rPr>
        <w:t>表1 赛点提供的设施设备仪器清单</w:t>
      </w:r>
      <w:r>
        <w:rPr>
          <w:rFonts w:hint="eastAsia" w:ascii="Times New Roman" w:hAnsi="Times New Roman" w:eastAsia="仿宋_GB2312"/>
          <w:b/>
          <w:bCs/>
          <w:sz w:val="28"/>
          <w:szCs w:val="28"/>
        </w:rPr>
        <w:t>（1套）</w:t>
      </w:r>
    </w:p>
    <w:tbl>
      <w:tblPr>
        <w:tblStyle w:val="16"/>
        <w:tblW w:w="8717" w:type="dxa"/>
        <w:jc w:val="center"/>
        <w:tblLayout w:type="fixed"/>
        <w:tblCellMar>
          <w:top w:w="0" w:type="dxa"/>
          <w:left w:w="108" w:type="dxa"/>
          <w:bottom w:w="0" w:type="dxa"/>
          <w:right w:w="108" w:type="dxa"/>
        </w:tblCellMar>
      </w:tblPr>
      <w:tblGrid>
        <w:gridCol w:w="657"/>
        <w:gridCol w:w="555"/>
        <w:gridCol w:w="2170"/>
        <w:gridCol w:w="4557"/>
        <w:gridCol w:w="778"/>
      </w:tblGrid>
      <w:tr>
        <w:tblPrEx>
          <w:tblCellMar>
            <w:top w:w="0" w:type="dxa"/>
            <w:left w:w="108" w:type="dxa"/>
            <w:bottom w:w="0" w:type="dxa"/>
            <w:right w:w="108" w:type="dxa"/>
          </w:tblCellMar>
        </w:tblPrEx>
        <w:trPr>
          <w:trHeight w:val="573" w:hRule="atLeast"/>
          <w:tblHeader/>
          <w:jc w:val="center"/>
        </w:trPr>
        <w:tc>
          <w:tcPr>
            <w:tcW w:w="65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序号</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分类</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名 称</w:t>
            </w:r>
          </w:p>
        </w:tc>
        <w:tc>
          <w:tcPr>
            <w:tcW w:w="45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规 格</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数量</w:t>
            </w:r>
          </w:p>
        </w:tc>
      </w:tr>
      <w:tr>
        <w:tblPrEx>
          <w:tblCellMar>
            <w:top w:w="0" w:type="dxa"/>
            <w:left w:w="108" w:type="dxa"/>
            <w:bottom w:w="0" w:type="dxa"/>
            <w:right w:w="108" w:type="dxa"/>
          </w:tblCellMar>
        </w:tblPrEx>
        <w:trPr>
          <w:trHeight w:val="573" w:hRule="atLeast"/>
          <w:jc w:val="center"/>
        </w:trPr>
        <w:tc>
          <w:tcPr>
            <w:tcW w:w="657"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设备</w:t>
            </w:r>
          </w:p>
        </w:tc>
        <w:tc>
          <w:tcPr>
            <w:tcW w:w="217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工业互联网集成应用工作站</w:t>
            </w:r>
          </w:p>
        </w:tc>
        <w:tc>
          <w:tcPr>
            <w:tcW w:w="4557" w:type="dxa"/>
            <w:tcBorders>
              <w:top w:val="single" w:color="auto" w:sz="4" w:space="0"/>
              <w:left w:val="single" w:color="000000" w:sz="4" w:space="0"/>
              <w:bottom w:val="single" w:color="000000" w:sz="4" w:space="0"/>
              <w:right w:val="nil"/>
            </w:tcBorders>
            <w:shd w:val="clear" w:color="auto" w:fill="auto"/>
            <w:noWrap/>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详细参数见表2</w:t>
            </w:r>
          </w:p>
        </w:tc>
        <w:tc>
          <w:tcPr>
            <w:tcW w:w="77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1套</w:t>
            </w:r>
          </w:p>
        </w:tc>
      </w:tr>
      <w:tr>
        <w:tblPrEx>
          <w:tblCellMar>
            <w:top w:w="0" w:type="dxa"/>
            <w:left w:w="108" w:type="dxa"/>
            <w:bottom w:w="0" w:type="dxa"/>
            <w:right w:w="108" w:type="dxa"/>
          </w:tblCellMar>
        </w:tblPrEx>
        <w:trPr>
          <w:trHeight w:val="455"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专用线材</w:t>
            </w:r>
          </w:p>
        </w:tc>
        <w:tc>
          <w:tcPr>
            <w:tcW w:w="2170" w:type="dxa"/>
            <w:tcBorders>
              <w:top w:val="nil"/>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线束（DB9线缆）</w:t>
            </w:r>
          </w:p>
        </w:tc>
        <w:tc>
          <w:tcPr>
            <w:tcW w:w="4557" w:type="dxa"/>
            <w:tcBorders>
              <w:top w:val="nil"/>
              <w:left w:val="nil"/>
              <w:bottom w:val="single" w:color="000000" w:sz="4" w:space="0"/>
              <w:right w:val="nil"/>
            </w:tcBorders>
            <w:shd w:val="clear" w:color="auto" w:fill="auto"/>
            <w:noWrap/>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DB9 公对公 直连线 2m</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449"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USB-RS232 线缆</w:t>
            </w:r>
          </w:p>
        </w:tc>
        <w:tc>
          <w:tcPr>
            <w:tcW w:w="4557" w:type="dxa"/>
            <w:tcBorders>
              <w:top w:val="nil"/>
              <w:left w:val="nil"/>
              <w:bottom w:val="single" w:color="000000" w:sz="4" w:space="0"/>
              <w:right w:val="nil"/>
            </w:tcBorders>
            <w:shd w:val="clear" w:color="auto" w:fill="auto"/>
            <w:noWrap/>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USB转RS232-1.5米(公头) </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573"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RS232-RS485无源转换器 </w:t>
            </w:r>
          </w:p>
        </w:tc>
        <w:tc>
          <w:tcPr>
            <w:tcW w:w="4557" w:type="dxa"/>
            <w:tcBorders>
              <w:top w:val="nil"/>
              <w:left w:val="nil"/>
              <w:bottom w:val="single" w:color="000000" w:sz="4" w:space="0"/>
              <w:right w:val="nil"/>
            </w:tcBorders>
            <w:shd w:val="clear" w:color="auto" w:fill="auto"/>
            <w:noWrap/>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RS232转RS485无缘转换器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496"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工具类</w:t>
            </w:r>
          </w:p>
        </w:tc>
        <w:tc>
          <w:tcPr>
            <w:tcW w:w="2170" w:type="dxa"/>
            <w:tcBorders>
              <w:top w:val="nil"/>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工具包</w:t>
            </w:r>
          </w:p>
        </w:tc>
        <w:tc>
          <w:tcPr>
            <w:tcW w:w="4557" w:type="dxa"/>
            <w:tcBorders>
              <w:top w:val="nil"/>
              <w:left w:val="nil"/>
              <w:bottom w:val="single" w:color="000000"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工具收纳包</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401"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万用表</w:t>
            </w:r>
          </w:p>
        </w:tc>
        <w:tc>
          <w:tcPr>
            <w:tcW w:w="4557" w:type="dxa"/>
            <w:tcBorders>
              <w:top w:val="nil"/>
              <w:left w:val="nil"/>
              <w:bottom w:val="single" w:color="000000" w:sz="4" w:space="0"/>
              <w:right w:val="nil"/>
            </w:tcBorders>
            <w:shd w:val="clear" w:color="auto" w:fill="auto"/>
            <w:noWrap/>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UNI-T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422"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斜口钳</w:t>
            </w:r>
          </w:p>
        </w:tc>
        <w:tc>
          <w:tcPr>
            <w:tcW w:w="4557" w:type="dxa"/>
            <w:tcBorders>
              <w:top w:val="nil"/>
              <w:left w:val="nil"/>
              <w:bottom w:val="single" w:color="000000"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6寸斜口钳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537"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尼龙扎带</w:t>
            </w:r>
          </w:p>
        </w:tc>
        <w:tc>
          <w:tcPr>
            <w:tcW w:w="4557" w:type="dxa"/>
            <w:tcBorders>
              <w:top w:val="nil"/>
              <w:left w:val="nil"/>
              <w:bottom w:val="single" w:color="000000"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3X120MM 100PCS</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95"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剥线钳</w:t>
            </w:r>
          </w:p>
        </w:tc>
        <w:tc>
          <w:tcPr>
            <w:tcW w:w="4557" w:type="dxa"/>
            <w:tcBorders>
              <w:top w:val="nil"/>
              <w:left w:val="nil"/>
              <w:bottom w:val="single" w:color="000000"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带刃口6档电工剥线钳（09-5.5mm2）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415"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压线钳</w:t>
            </w:r>
          </w:p>
        </w:tc>
        <w:tc>
          <w:tcPr>
            <w:tcW w:w="4557" w:type="dxa"/>
            <w:tcBorders>
              <w:top w:val="nil"/>
              <w:left w:val="nil"/>
              <w:bottom w:val="single" w:color="000000"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管型端子压线钳（0.25-10mm2）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420"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螺丝刀</w:t>
            </w:r>
          </w:p>
        </w:tc>
        <w:tc>
          <w:tcPr>
            <w:tcW w:w="4557" w:type="dxa"/>
            <w:tcBorders>
              <w:top w:val="nil"/>
              <w:left w:val="nil"/>
              <w:bottom w:val="single" w:color="000000"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十字 6X150mm</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413"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557" w:type="dxa"/>
            <w:tcBorders>
              <w:top w:val="nil"/>
              <w:left w:val="nil"/>
              <w:bottom w:val="single" w:color="000000"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一字 6X150mm</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573" w:hRule="atLeast"/>
          <w:jc w:val="center"/>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耗材类</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红色导线</w:t>
            </w:r>
          </w:p>
        </w:tc>
        <w:tc>
          <w:tcPr>
            <w:tcW w:w="455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1.0mm2红线</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r>
      <w:tr>
        <w:tblPrEx>
          <w:tblCellMar>
            <w:top w:w="0" w:type="dxa"/>
            <w:left w:w="108" w:type="dxa"/>
            <w:bottom w:w="0" w:type="dxa"/>
            <w:right w:w="108" w:type="dxa"/>
          </w:tblCellMar>
        </w:tblPrEx>
        <w:trPr>
          <w:trHeight w:val="573" w:hRule="atLeast"/>
          <w:jc w:val="center"/>
        </w:trPr>
        <w:tc>
          <w:tcPr>
            <w:tcW w:w="657"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single" w:color="auto"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蓝色导线</w:t>
            </w:r>
          </w:p>
        </w:tc>
        <w:tc>
          <w:tcPr>
            <w:tcW w:w="4557" w:type="dxa"/>
            <w:tcBorders>
              <w:top w:val="single" w:color="auto" w:sz="4" w:space="0"/>
              <w:left w:val="nil"/>
              <w:bottom w:val="single" w:color="000000"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1.0mm2蓝线</w:t>
            </w:r>
          </w:p>
        </w:tc>
        <w:tc>
          <w:tcPr>
            <w:tcW w:w="77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r>
      <w:tr>
        <w:tblPrEx>
          <w:tblCellMar>
            <w:top w:w="0" w:type="dxa"/>
            <w:left w:w="108" w:type="dxa"/>
            <w:bottom w:w="0" w:type="dxa"/>
            <w:right w:w="108" w:type="dxa"/>
          </w:tblCellMar>
        </w:tblPrEx>
        <w:trPr>
          <w:trHeight w:val="573"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黑色导线</w:t>
            </w:r>
          </w:p>
        </w:tc>
        <w:tc>
          <w:tcPr>
            <w:tcW w:w="4557" w:type="dxa"/>
            <w:tcBorders>
              <w:top w:val="nil"/>
              <w:left w:val="nil"/>
              <w:bottom w:val="single" w:color="000000"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1.0mm2黑线</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r>
      <w:tr>
        <w:tblPrEx>
          <w:tblCellMar>
            <w:top w:w="0" w:type="dxa"/>
            <w:left w:w="108" w:type="dxa"/>
            <w:bottom w:w="0" w:type="dxa"/>
            <w:right w:w="108" w:type="dxa"/>
          </w:tblCellMar>
        </w:tblPrEx>
        <w:trPr>
          <w:trHeight w:val="573"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黄色导线</w:t>
            </w:r>
          </w:p>
        </w:tc>
        <w:tc>
          <w:tcPr>
            <w:tcW w:w="4557" w:type="dxa"/>
            <w:tcBorders>
              <w:top w:val="nil"/>
              <w:left w:val="nil"/>
              <w:bottom w:val="single" w:color="000000"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1.0mm2黄线</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r>
      <w:tr>
        <w:tblPrEx>
          <w:tblCellMar>
            <w:top w:w="0" w:type="dxa"/>
            <w:left w:w="108" w:type="dxa"/>
            <w:bottom w:w="0" w:type="dxa"/>
            <w:right w:w="108" w:type="dxa"/>
          </w:tblCellMar>
        </w:tblPrEx>
        <w:trPr>
          <w:trHeight w:val="573"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冷压端子</w:t>
            </w:r>
          </w:p>
        </w:tc>
        <w:tc>
          <w:tcPr>
            <w:tcW w:w="4557" w:type="dxa"/>
            <w:tcBorders>
              <w:top w:val="nil"/>
              <w:left w:val="nil"/>
              <w:bottom w:val="single" w:color="000000"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针式，VE07508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w:t>
            </w:r>
          </w:p>
        </w:tc>
      </w:tr>
      <w:tr>
        <w:tblPrEx>
          <w:tblCellMar>
            <w:top w:w="0" w:type="dxa"/>
            <w:left w:w="108" w:type="dxa"/>
            <w:bottom w:w="0" w:type="dxa"/>
            <w:right w:w="108" w:type="dxa"/>
          </w:tblCellMar>
        </w:tblPrEx>
        <w:trPr>
          <w:trHeight w:val="573"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超五类网线</w:t>
            </w:r>
          </w:p>
        </w:tc>
        <w:tc>
          <w:tcPr>
            <w:tcW w:w="4557" w:type="dxa"/>
            <w:tcBorders>
              <w:top w:val="nil"/>
              <w:left w:val="nil"/>
              <w:bottom w:val="single" w:color="000000" w:sz="4" w:space="0"/>
              <w:right w:val="nil"/>
            </w:tcBorders>
            <w:shd w:val="clear" w:color="auto" w:fill="auto"/>
            <w:vAlign w:val="bottom"/>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ZW-005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r>
      <w:tr>
        <w:tblPrEx>
          <w:tblCellMar>
            <w:top w:w="0" w:type="dxa"/>
            <w:left w:w="108" w:type="dxa"/>
            <w:bottom w:w="0" w:type="dxa"/>
            <w:right w:w="108" w:type="dxa"/>
          </w:tblCellMar>
        </w:tblPrEx>
        <w:trPr>
          <w:trHeight w:val="526"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超五类网线</w:t>
            </w:r>
          </w:p>
        </w:tc>
        <w:tc>
          <w:tcPr>
            <w:tcW w:w="4557" w:type="dxa"/>
            <w:tcBorders>
              <w:top w:val="nil"/>
              <w:left w:val="nil"/>
              <w:bottom w:val="single" w:color="000000" w:sz="4" w:space="0"/>
              <w:right w:val="nil"/>
            </w:tcBorders>
            <w:shd w:val="clear" w:color="auto" w:fill="auto"/>
            <w:vAlign w:val="bottom"/>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ZW-01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r>
      <w:tr>
        <w:tblPrEx>
          <w:tblCellMar>
            <w:top w:w="0" w:type="dxa"/>
            <w:left w:w="108" w:type="dxa"/>
            <w:bottom w:w="0" w:type="dxa"/>
            <w:right w:w="108" w:type="dxa"/>
          </w:tblCellMar>
        </w:tblPrEx>
        <w:trPr>
          <w:trHeight w:val="573"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网线</w:t>
            </w:r>
          </w:p>
        </w:tc>
        <w:tc>
          <w:tcPr>
            <w:tcW w:w="4557" w:type="dxa"/>
            <w:tcBorders>
              <w:top w:val="nil"/>
              <w:left w:val="nil"/>
              <w:bottom w:val="single" w:color="000000"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r>
      <w:tr>
        <w:tblPrEx>
          <w:tblCellMar>
            <w:top w:w="0" w:type="dxa"/>
            <w:left w:w="108" w:type="dxa"/>
            <w:bottom w:w="0" w:type="dxa"/>
            <w:right w:w="108" w:type="dxa"/>
          </w:tblCellMar>
        </w:tblPrEx>
        <w:trPr>
          <w:trHeight w:val="573" w:hRule="atLeast"/>
          <w:jc w:val="center"/>
        </w:trPr>
        <w:tc>
          <w:tcPr>
            <w:tcW w:w="657" w:type="dxa"/>
            <w:tcBorders>
              <w:top w:val="nil"/>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导轨</w:t>
            </w:r>
          </w:p>
        </w:tc>
        <w:tc>
          <w:tcPr>
            <w:tcW w:w="4557" w:type="dxa"/>
            <w:tcBorders>
              <w:top w:val="nil"/>
              <w:left w:val="nil"/>
              <w:bottom w:val="single" w:color="000000"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导轨1.0mm*35mm/28cm长</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r>
      <w:tr>
        <w:tblPrEx>
          <w:tblCellMar>
            <w:top w:w="0" w:type="dxa"/>
            <w:left w:w="108" w:type="dxa"/>
            <w:bottom w:w="0" w:type="dxa"/>
            <w:right w:w="108" w:type="dxa"/>
          </w:tblCellMar>
        </w:tblPrEx>
        <w:trPr>
          <w:trHeight w:val="573" w:hRule="atLeast"/>
          <w:jc w:val="center"/>
        </w:trPr>
        <w:tc>
          <w:tcPr>
            <w:tcW w:w="657" w:type="dxa"/>
            <w:tcBorders>
              <w:top w:val="nil"/>
              <w:left w:val="single" w:color="000000" w:sz="4" w:space="0"/>
              <w:bottom w:val="single" w:color="auto" w:sz="4" w:space="0"/>
              <w:right w:val="single" w:color="000000"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nil"/>
              <w:left w:val="nil"/>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导轨</w:t>
            </w:r>
          </w:p>
        </w:tc>
        <w:tc>
          <w:tcPr>
            <w:tcW w:w="4557" w:type="dxa"/>
            <w:tcBorders>
              <w:top w:val="nil"/>
              <w:left w:val="nil"/>
              <w:bottom w:val="single" w:color="auto" w:sz="4" w:space="0"/>
              <w:right w:val="nil"/>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导轨1.0mm*35mm/20cm长</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r>
      <w:tr>
        <w:tblPrEx>
          <w:tblCellMar>
            <w:top w:w="0" w:type="dxa"/>
            <w:left w:w="108" w:type="dxa"/>
            <w:bottom w:w="0" w:type="dxa"/>
            <w:right w:w="108" w:type="dxa"/>
          </w:tblCellMar>
        </w:tblPrEx>
        <w:trPr>
          <w:trHeight w:val="589" w:hRule="atLeast"/>
          <w:jc w:val="center"/>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导轨</w:t>
            </w:r>
          </w:p>
        </w:tc>
        <w:tc>
          <w:tcPr>
            <w:tcW w:w="455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导轨1.0mm*35mm/10cm长</w:t>
            </w:r>
          </w:p>
        </w:tc>
        <w:tc>
          <w:tcPr>
            <w:tcW w:w="77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r>
      <w:tr>
        <w:tblPrEx>
          <w:tblCellMar>
            <w:top w:w="0" w:type="dxa"/>
            <w:left w:w="108" w:type="dxa"/>
            <w:bottom w:w="0" w:type="dxa"/>
            <w:right w:w="108" w:type="dxa"/>
          </w:tblCellMar>
        </w:tblPrEx>
        <w:trPr>
          <w:trHeight w:val="1779" w:hRule="atLeast"/>
          <w:jc w:val="center"/>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电脑</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电脑终端</w:t>
            </w:r>
          </w:p>
        </w:tc>
        <w:tc>
          <w:tcPr>
            <w:tcW w:w="455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CPU型号：I5或以上</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显卡：集成显卡</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内存容量：16GB或以上</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显示器：≥21.5英寸</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鼠标键盘1套</w:t>
            </w:r>
          </w:p>
        </w:tc>
        <w:tc>
          <w:tcPr>
            <w:tcW w:w="77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r>
      <w:tr>
        <w:tblPrEx>
          <w:tblCellMar>
            <w:top w:w="0" w:type="dxa"/>
            <w:left w:w="108" w:type="dxa"/>
            <w:bottom w:w="0" w:type="dxa"/>
            <w:right w:w="108" w:type="dxa"/>
          </w:tblCellMar>
        </w:tblPrEx>
        <w:trPr>
          <w:trHeight w:val="1779" w:hRule="atLeast"/>
          <w:jc w:val="center"/>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jc w:val="center"/>
              <w:rPr>
                <w:rFonts w:hint="eastAsia" w:ascii="方正仿宋_GBK" w:hAnsi="方正仿宋_GBK" w:eastAsia="方正仿宋_GBK" w:cs="方正仿宋_GBK"/>
                <w:sz w:val="21"/>
                <w:szCs w:val="21"/>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服务器</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私有云服务器</w:t>
            </w:r>
          </w:p>
        </w:tc>
        <w:tc>
          <w:tcPr>
            <w:tcW w:w="455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CPU型号：I7或以上</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显卡：集成显卡</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内存容量：32GB或以上</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显示器：≥21.5英寸</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鼠标键盘1套</w:t>
            </w:r>
          </w:p>
        </w:tc>
        <w:tc>
          <w:tcPr>
            <w:tcW w:w="77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bl>
    <w:p>
      <w:pPr>
        <w:pStyle w:val="2"/>
        <w:ind w:firstLine="210"/>
      </w:pPr>
      <w:r>
        <w:rPr>
          <w:rFonts w:hint="eastAsia"/>
        </w:rPr>
        <w:br w:type="page"/>
      </w:r>
    </w:p>
    <w:p>
      <w:pPr>
        <w:widowControl/>
        <w:spacing w:before="140" w:after="120"/>
        <w:jc w:val="center"/>
        <w:rPr>
          <w:rFonts w:hint="eastAsia" w:ascii="仿宋" w:hAnsi="仿宋" w:eastAsia="仿宋"/>
          <w:b/>
          <w:bCs/>
          <w:szCs w:val="28"/>
          <w:highlight w:val="yellow"/>
        </w:rPr>
      </w:pPr>
      <w:r>
        <w:rPr>
          <w:rFonts w:hint="eastAsia" w:ascii="仿宋" w:hAnsi="仿宋" w:eastAsia="仿宋"/>
          <w:b/>
          <w:bCs/>
          <w:sz w:val="28"/>
          <w:szCs w:val="28"/>
        </w:rPr>
        <w:t>表2 工业互联网集成应用工作站主要设备清单（</w:t>
      </w:r>
      <w:r>
        <w:rPr>
          <w:rFonts w:ascii="仿宋" w:hAnsi="仿宋" w:eastAsia="仿宋"/>
          <w:b/>
          <w:bCs/>
          <w:sz w:val="28"/>
          <w:szCs w:val="28"/>
        </w:rPr>
        <w:t>1</w:t>
      </w:r>
      <w:r>
        <w:rPr>
          <w:rFonts w:hint="eastAsia" w:ascii="仿宋" w:hAnsi="仿宋" w:eastAsia="仿宋"/>
          <w:b/>
          <w:bCs/>
          <w:sz w:val="28"/>
          <w:szCs w:val="28"/>
        </w:rPr>
        <w:t>套）</w:t>
      </w:r>
    </w:p>
    <w:tbl>
      <w:tblPr>
        <w:tblStyle w:val="16"/>
        <w:tblW w:w="8719" w:type="dxa"/>
        <w:jc w:val="center"/>
        <w:tblLayout w:type="fixed"/>
        <w:tblCellMar>
          <w:top w:w="0" w:type="dxa"/>
          <w:left w:w="108" w:type="dxa"/>
          <w:bottom w:w="0" w:type="dxa"/>
          <w:right w:w="108" w:type="dxa"/>
        </w:tblCellMar>
      </w:tblPr>
      <w:tblGrid>
        <w:gridCol w:w="746"/>
        <w:gridCol w:w="2375"/>
        <w:gridCol w:w="4818"/>
        <w:gridCol w:w="780"/>
      </w:tblGrid>
      <w:tr>
        <w:tblPrEx>
          <w:tblCellMar>
            <w:top w:w="0" w:type="dxa"/>
            <w:left w:w="108" w:type="dxa"/>
            <w:bottom w:w="0" w:type="dxa"/>
            <w:right w:w="108" w:type="dxa"/>
          </w:tblCellMar>
        </w:tblPrEx>
        <w:trPr>
          <w:trHeight w:val="414" w:hRule="atLeast"/>
          <w:tblHeader/>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序号</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类型</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数量</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物联网关</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网关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树莓派主板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树莓派外壳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LORA二代网关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Lora终端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564"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电气控制部件</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西门子PLC控制器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564"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PLC串口扩展模块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串口头DB9免焊接头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通讯组件</w:t>
            </w: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AP管理器（TL-R470GP-AC）</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474"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无线AP</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468"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8口交换机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468"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RS485转WIFI终端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传感器组件</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NFA-M1模块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NFA-ETH模块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NFA-IO模块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RFID读写器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温湿度传感器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RFID读写器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RFID支架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IC钱币卡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PLC3D工业仿真</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电气器件</w:t>
            </w: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动力模块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直线模块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小型直线模块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提升机械臂</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机械臂连接件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供料模块(仓库)</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模拟生产模块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工位模块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占空模块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配件</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配套预制线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USB转串口线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USB线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五抽工具车</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万用表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PDU机柜插座</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工业物联网工具包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活动扳手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电源模块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RS-232转RS-485的无源转换器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bl>
    <w:p>
      <w:pPr>
        <w:jc w:val="center"/>
        <w:rPr>
          <w:rFonts w:ascii="Times New Roman" w:hAnsi="Times New Roman"/>
          <w:szCs w:val="24"/>
          <w:lang w:val="zh-CN"/>
        </w:rPr>
      </w:pPr>
    </w:p>
    <w:p>
      <w:pPr>
        <w:jc w:val="center"/>
        <w:rPr>
          <w:rFonts w:hint="eastAsia" w:ascii="仿宋" w:hAnsi="仿宋" w:eastAsia="仿宋"/>
          <w:b/>
          <w:bCs/>
          <w:szCs w:val="28"/>
        </w:rPr>
      </w:pPr>
      <w:r>
        <w:rPr>
          <w:rFonts w:hint="eastAsia" w:ascii="仿宋" w:hAnsi="仿宋" w:eastAsia="仿宋"/>
          <w:b/>
          <w:bCs/>
          <w:sz w:val="28"/>
          <w:szCs w:val="28"/>
        </w:rPr>
        <w:t>表3 工业互联网集成应用技术平台主要软件</w:t>
      </w:r>
      <w:r>
        <w:rPr>
          <w:rFonts w:ascii="仿宋" w:hAnsi="仿宋" w:eastAsia="仿宋"/>
          <w:b/>
          <w:bCs/>
          <w:sz w:val="28"/>
          <w:szCs w:val="28"/>
        </w:rPr>
        <w:t>清单</w:t>
      </w:r>
      <w:r>
        <w:rPr>
          <w:rFonts w:hint="eastAsia" w:ascii="仿宋" w:hAnsi="仿宋" w:eastAsia="仿宋"/>
          <w:b/>
          <w:bCs/>
          <w:sz w:val="28"/>
          <w:szCs w:val="28"/>
        </w:rPr>
        <w:t>（单工位）</w:t>
      </w:r>
    </w:p>
    <w:tbl>
      <w:tblPr>
        <w:tblStyle w:val="16"/>
        <w:tblW w:w="8719" w:type="dxa"/>
        <w:jc w:val="center"/>
        <w:tblLayout w:type="fixed"/>
        <w:tblCellMar>
          <w:top w:w="0" w:type="dxa"/>
          <w:left w:w="108" w:type="dxa"/>
          <w:bottom w:w="0" w:type="dxa"/>
          <w:right w:w="108" w:type="dxa"/>
        </w:tblCellMar>
      </w:tblPr>
      <w:tblGrid>
        <w:gridCol w:w="746"/>
        <w:gridCol w:w="2375"/>
        <w:gridCol w:w="4818"/>
        <w:gridCol w:w="780"/>
      </w:tblGrid>
      <w:tr>
        <w:tblPrEx>
          <w:tblCellMar>
            <w:top w:w="0" w:type="dxa"/>
            <w:left w:w="108" w:type="dxa"/>
            <w:bottom w:w="0" w:type="dxa"/>
            <w:right w:w="108" w:type="dxa"/>
          </w:tblCellMar>
        </w:tblPrEx>
        <w:trPr>
          <w:trHeight w:val="414" w:hRule="atLeast"/>
          <w:tblHeader/>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序号</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类型</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数量</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jc w:val="center"/>
              <w:rPr>
                <w:rFonts w:hint="eastAsia" w:ascii="方正仿宋_GBK" w:hAnsi="方正仿宋_GBK" w:eastAsia="方正仿宋_GBK" w:cs="方正仿宋_GBK"/>
                <w:sz w:val="21"/>
                <w:szCs w:val="21"/>
              </w:rPr>
            </w:pPr>
          </w:p>
        </w:tc>
        <w:tc>
          <w:tcPr>
            <w:tcW w:w="23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工业互联网集成应用技术平台</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工业接入与建模平台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工业可视化平台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工业数字孪生平台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jc w:val="center"/>
              <w:rPr>
                <w:rFonts w:hint="eastAsia" w:ascii="方正仿宋_GBK" w:hAnsi="方正仿宋_GBK" w:eastAsia="方正仿宋_GBK" w:cs="方正仿宋_GBK"/>
                <w:sz w:val="21"/>
                <w:szCs w:val="21"/>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工业APP应用平台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jc w:val="center"/>
              <w:rPr>
                <w:rFonts w:hint="eastAsia" w:ascii="方正仿宋_GBK" w:hAnsi="方正仿宋_GBK" w:eastAsia="方正仿宋_GBK" w:cs="方正仿宋_GBK"/>
                <w:sz w:val="21"/>
                <w:szCs w:val="21"/>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PLC编程软件</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STEP 7-MicroWIN SMART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CellMar>
            <w:top w:w="0" w:type="dxa"/>
            <w:left w:w="108" w:type="dxa"/>
            <w:bottom w:w="0" w:type="dxa"/>
            <w:right w:w="108" w:type="dxa"/>
          </w:tblCellMar>
        </w:tblPrEx>
        <w:trPr>
          <w:trHeight w:val="38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jc w:val="center"/>
              <w:rPr>
                <w:rFonts w:hint="eastAsia" w:ascii="方正仿宋_GBK" w:hAnsi="方正仿宋_GBK" w:eastAsia="方正仿宋_GBK" w:cs="方正仿宋_GBK"/>
                <w:sz w:val="21"/>
                <w:szCs w:val="21"/>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云平台</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工业云本地部署</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bl>
    <w:p>
      <w:pPr>
        <w:pStyle w:val="28"/>
        <w:spacing w:line="560" w:lineRule="exact"/>
        <w:ind w:left="1040" w:firstLine="0" w:firstLineChars="0"/>
        <w:rPr>
          <w:rFonts w:hint="eastAsia" w:ascii="仿宋_GB2312" w:hAnsi="仿宋" w:eastAsia="仿宋_GB2312"/>
          <w:sz w:val="30"/>
          <w:szCs w:val="30"/>
        </w:rPr>
      </w:pPr>
    </w:p>
    <w:sectPr>
      <w:headerReference r:id="rId3" w:type="default"/>
      <w:footerReference r:id="rId4" w:type="default"/>
      <w:pgSz w:w="11906" w:h="16838"/>
      <w:pgMar w:top="1247" w:right="1247"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28</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90F9A"/>
    <w:multiLevelType w:val="singleLevel"/>
    <w:tmpl w:val="AFF90F9A"/>
    <w:lvl w:ilvl="0" w:tentative="0">
      <w:start w:val="1"/>
      <w:numFmt w:val="decimal"/>
      <w:suff w:val="nothing"/>
      <w:lvlText w:val="%1"/>
      <w:lvlJc w:val="left"/>
      <w:pPr>
        <w:ind w:left="0" w:firstLine="0"/>
      </w:pPr>
      <w:rPr>
        <w:rFonts w:hint="default"/>
      </w:rPr>
    </w:lvl>
  </w:abstractNum>
  <w:abstractNum w:abstractNumId="1">
    <w:nsid w:val="CDA7AC2A"/>
    <w:multiLevelType w:val="singleLevel"/>
    <w:tmpl w:val="CDA7AC2A"/>
    <w:lvl w:ilvl="0" w:tentative="0">
      <w:start w:val="1"/>
      <w:numFmt w:val="decimal"/>
      <w:suff w:val="nothing"/>
      <w:lvlText w:val="%1"/>
      <w:lvlJc w:val="left"/>
      <w:pPr>
        <w:ind w:left="0" w:firstLine="0"/>
      </w:pPr>
      <w:rPr>
        <w:rFonts w:hint="default"/>
      </w:rPr>
    </w:lvl>
  </w:abstractNum>
  <w:abstractNum w:abstractNumId="2">
    <w:nsid w:val="FCCE2BCA"/>
    <w:multiLevelType w:val="singleLevel"/>
    <w:tmpl w:val="FCCE2BCA"/>
    <w:lvl w:ilvl="0" w:tentative="0">
      <w:start w:val="1"/>
      <w:numFmt w:val="decimal"/>
      <w:suff w:val="nothing"/>
      <w:lvlText w:val="%1"/>
      <w:lvlJc w:val="left"/>
      <w:pPr>
        <w:ind w:left="0" w:firstLine="0"/>
      </w:pPr>
      <w:rPr>
        <w:rFonts w:hint="default"/>
      </w:rPr>
    </w:lvl>
  </w:abstractNum>
  <w:abstractNum w:abstractNumId="3">
    <w:nsid w:val="589D4894"/>
    <w:multiLevelType w:val="multilevel"/>
    <w:tmpl w:val="589D4894"/>
    <w:lvl w:ilvl="0" w:tentative="0">
      <w:start w:val="1"/>
      <w:numFmt w:val="bullet"/>
      <w:lvlText w:val=""/>
      <w:lvlJc w:val="left"/>
      <w:pPr>
        <w:ind w:left="1040" w:hanging="440"/>
      </w:pPr>
      <w:rPr>
        <w:rFonts w:hint="default" w:ascii="Wingdings" w:hAnsi="Wingdings"/>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embedSystemFonts/>
  <w:bordersDoNotSurroundHeader w:val="true"/>
  <w:bordersDoNotSurroundFooter w:val="true"/>
  <w:hideSpellingErrors/>
  <w:hideGrammatical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jMDU1YWQ5MmYxY2FmN2ZkOWY2ZWIwM2YyZDIzNDgifQ=="/>
  </w:docVars>
  <w:rsids>
    <w:rsidRoot w:val="008513EE"/>
    <w:rsid w:val="00005947"/>
    <w:rsid w:val="00006D0B"/>
    <w:rsid w:val="00013A3D"/>
    <w:rsid w:val="000160F5"/>
    <w:rsid w:val="000169C0"/>
    <w:rsid w:val="00017A85"/>
    <w:rsid w:val="00020C66"/>
    <w:rsid w:val="0002431E"/>
    <w:rsid w:val="00024507"/>
    <w:rsid w:val="00025591"/>
    <w:rsid w:val="0002596C"/>
    <w:rsid w:val="00026CD6"/>
    <w:rsid w:val="00031D01"/>
    <w:rsid w:val="000321B2"/>
    <w:rsid w:val="00037955"/>
    <w:rsid w:val="00037B5D"/>
    <w:rsid w:val="00037EDC"/>
    <w:rsid w:val="00037F1A"/>
    <w:rsid w:val="0004137B"/>
    <w:rsid w:val="0004154F"/>
    <w:rsid w:val="00041980"/>
    <w:rsid w:val="00042569"/>
    <w:rsid w:val="00045847"/>
    <w:rsid w:val="0004755E"/>
    <w:rsid w:val="00050CE4"/>
    <w:rsid w:val="000517D4"/>
    <w:rsid w:val="00051A89"/>
    <w:rsid w:val="00052E06"/>
    <w:rsid w:val="0005399F"/>
    <w:rsid w:val="00057F85"/>
    <w:rsid w:val="000602F9"/>
    <w:rsid w:val="00061F09"/>
    <w:rsid w:val="000705D9"/>
    <w:rsid w:val="00071E2D"/>
    <w:rsid w:val="000721A0"/>
    <w:rsid w:val="00076F72"/>
    <w:rsid w:val="00077DC5"/>
    <w:rsid w:val="00082376"/>
    <w:rsid w:val="00082464"/>
    <w:rsid w:val="00091C83"/>
    <w:rsid w:val="00092C3A"/>
    <w:rsid w:val="0009408B"/>
    <w:rsid w:val="00094710"/>
    <w:rsid w:val="000950A4"/>
    <w:rsid w:val="00096AB7"/>
    <w:rsid w:val="000A1150"/>
    <w:rsid w:val="000A1EE3"/>
    <w:rsid w:val="000A3BF6"/>
    <w:rsid w:val="000A44EC"/>
    <w:rsid w:val="000A4868"/>
    <w:rsid w:val="000A5979"/>
    <w:rsid w:val="000A5A00"/>
    <w:rsid w:val="000A6605"/>
    <w:rsid w:val="000A7061"/>
    <w:rsid w:val="000B2464"/>
    <w:rsid w:val="000B2E18"/>
    <w:rsid w:val="000B3C2A"/>
    <w:rsid w:val="000B5298"/>
    <w:rsid w:val="000B67A6"/>
    <w:rsid w:val="000B7660"/>
    <w:rsid w:val="000C2D34"/>
    <w:rsid w:val="000C49F6"/>
    <w:rsid w:val="000C4A70"/>
    <w:rsid w:val="000D1008"/>
    <w:rsid w:val="000D22FA"/>
    <w:rsid w:val="000D2A8F"/>
    <w:rsid w:val="000D2B03"/>
    <w:rsid w:val="000D345B"/>
    <w:rsid w:val="000D36DF"/>
    <w:rsid w:val="000D4183"/>
    <w:rsid w:val="000D68E8"/>
    <w:rsid w:val="000E088D"/>
    <w:rsid w:val="000E176B"/>
    <w:rsid w:val="000E2126"/>
    <w:rsid w:val="000E2678"/>
    <w:rsid w:val="000E7F35"/>
    <w:rsid w:val="001000C3"/>
    <w:rsid w:val="001005FC"/>
    <w:rsid w:val="00100BD3"/>
    <w:rsid w:val="0010116C"/>
    <w:rsid w:val="0010289D"/>
    <w:rsid w:val="0010329B"/>
    <w:rsid w:val="00103AF5"/>
    <w:rsid w:val="00104ED6"/>
    <w:rsid w:val="001054CC"/>
    <w:rsid w:val="00107737"/>
    <w:rsid w:val="001102B5"/>
    <w:rsid w:val="00111112"/>
    <w:rsid w:val="001114C6"/>
    <w:rsid w:val="0011251B"/>
    <w:rsid w:val="001169E1"/>
    <w:rsid w:val="0011714B"/>
    <w:rsid w:val="00117654"/>
    <w:rsid w:val="0012031F"/>
    <w:rsid w:val="001246D1"/>
    <w:rsid w:val="00126EF6"/>
    <w:rsid w:val="00130DE7"/>
    <w:rsid w:val="00130F75"/>
    <w:rsid w:val="00132F7F"/>
    <w:rsid w:val="00134A5C"/>
    <w:rsid w:val="00137997"/>
    <w:rsid w:val="00143C54"/>
    <w:rsid w:val="00144308"/>
    <w:rsid w:val="0014593C"/>
    <w:rsid w:val="00156001"/>
    <w:rsid w:val="00156E65"/>
    <w:rsid w:val="0016122B"/>
    <w:rsid w:val="00163A61"/>
    <w:rsid w:val="001644E0"/>
    <w:rsid w:val="001656C1"/>
    <w:rsid w:val="00167EB7"/>
    <w:rsid w:val="001701EA"/>
    <w:rsid w:val="001744EF"/>
    <w:rsid w:val="00176F22"/>
    <w:rsid w:val="0018148B"/>
    <w:rsid w:val="001830EC"/>
    <w:rsid w:val="001843A8"/>
    <w:rsid w:val="0018478C"/>
    <w:rsid w:val="00185BA6"/>
    <w:rsid w:val="00186748"/>
    <w:rsid w:val="001934FA"/>
    <w:rsid w:val="00196169"/>
    <w:rsid w:val="00196F48"/>
    <w:rsid w:val="00197E9B"/>
    <w:rsid w:val="001A0F5C"/>
    <w:rsid w:val="001A287F"/>
    <w:rsid w:val="001A3484"/>
    <w:rsid w:val="001A463A"/>
    <w:rsid w:val="001A709B"/>
    <w:rsid w:val="001A791A"/>
    <w:rsid w:val="001B0BAC"/>
    <w:rsid w:val="001B233E"/>
    <w:rsid w:val="001B7E0A"/>
    <w:rsid w:val="001C00F9"/>
    <w:rsid w:val="001C1650"/>
    <w:rsid w:val="001C1668"/>
    <w:rsid w:val="001C5AA6"/>
    <w:rsid w:val="001D01FA"/>
    <w:rsid w:val="001D05B2"/>
    <w:rsid w:val="001D07EC"/>
    <w:rsid w:val="001D34F4"/>
    <w:rsid w:val="001D44EA"/>
    <w:rsid w:val="001D687F"/>
    <w:rsid w:val="001D6A68"/>
    <w:rsid w:val="001E2FA5"/>
    <w:rsid w:val="001E4941"/>
    <w:rsid w:val="001E566E"/>
    <w:rsid w:val="001F0190"/>
    <w:rsid w:val="001F29EA"/>
    <w:rsid w:val="001F679E"/>
    <w:rsid w:val="001F7ED2"/>
    <w:rsid w:val="0020265B"/>
    <w:rsid w:val="00202C60"/>
    <w:rsid w:val="00202F66"/>
    <w:rsid w:val="002037AD"/>
    <w:rsid w:val="00203E6F"/>
    <w:rsid w:val="00205E45"/>
    <w:rsid w:val="00206A10"/>
    <w:rsid w:val="00207616"/>
    <w:rsid w:val="00210285"/>
    <w:rsid w:val="002117F8"/>
    <w:rsid w:val="00212F20"/>
    <w:rsid w:val="00213179"/>
    <w:rsid w:val="00217830"/>
    <w:rsid w:val="0021795A"/>
    <w:rsid w:val="00220B3F"/>
    <w:rsid w:val="00223B5C"/>
    <w:rsid w:val="00225EC2"/>
    <w:rsid w:val="00226980"/>
    <w:rsid w:val="00227BD6"/>
    <w:rsid w:val="00231F02"/>
    <w:rsid w:val="0023238E"/>
    <w:rsid w:val="0023297A"/>
    <w:rsid w:val="0023428C"/>
    <w:rsid w:val="0023624B"/>
    <w:rsid w:val="0023704A"/>
    <w:rsid w:val="0023786A"/>
    <w:rsid w:val="002406CC"/>
    <w:rsid w:val="00241380"/>
    <w:rsid w:val="00241623"/>
    <w:rsid w:val="00243333"/>
    <w:rsid w:val="002437FE"/>
    <w:rsid w:val="00246F42"/>
    <w:rsid w:val="00251638"/>
    <w:rsid w:val="0025199E"/>
    <w:rsid w:val="0025200A"/>
    <w:rsid w:val="00252112"/>
    <w:rsid w:val="002534DF"/>
    <w:rsid w:val="0025378D"/>
    <w:rsid w:val="00253A6A"/>
    <w:rsid w:val="00254CFC"/>
    <w:rsid w:val="002558E7"/>
    <w:rsid w:val="00255DBA"/>
    <w:rsid w:val="0025662D"/>
    <w:rsid w:val="002662CF"/>
    <w:rsid w:val="00267CBD"/>
    <w:rsid w:val="00267FA9"/>
    <w:rsid w:val="002741DB"/>
    <w:rsid w:val="00276B53"/>
    <w:rsid w:val="0028093C"/>
    <w:rsid w:val="00281EC3"/>
    <w:rsid w:val="0028556E"/>
    <w:rsid w:val="002866B6"/>
    <w:rsid w:val="00286B84"/>
    <w:rsid w:val="00287512"/>
    <w:rsid w:val="00290420"/>
    <w:rsid w:val="002911AA"/>
    <w:rsid w:val="00292AE0"/>
    <w:rsid w:val="002932FB"/>
    <w:rsid w:val="00295797"/>
    <w:rsid w:val="00296F38"/>
    <w:rsid w:val="00297A63"/>
    <w:rsid w:val="002A03C9"/>
    <w:rsid w:val="002A04E2"/>
    <w:rsid w:val="002A4A16"/>
    <w:rsid w:val="002A786E"/>
    <w:rsid w:val="002B21EA"/>
    <w:rsid w:val="002B5F52"/>
    <w:rsid w:val="002B6C35"/>
    <w:rsid w:val="002C5941"/>
    <w:rsid w:val="002D0E98"/>
    <w:rsid w:val="002D265D"/>
    <w:rsid w:val="002D2699"/>
    <w:rsid w:val="002D389A"/>
    <w:rsid w:val="002D5F97"/>
    <w:rsid w:val="002D6396"/>
    <w:rsid w:val="002E2734"/>
    <w:rsid w:val="002F1645"/>
    <w:rsid w:val="002F1739"/>
    <w:rsid w:val="002F28B1"/>
    <w:rsid w:val="002F4A9F"/>
    <w:rsid w:val="002F52DF"/>
    <w:rsid w:val="002F5B18"/>
    <w:rsid w:val="002F635E"/>
    <w:rsid w:val="002F6F2E"/>
    <w:rsid w:val="002F7521"/>
    <w:rsid w:val="002F76EC"/>
    <w:rsid w:val="002F7A66"/>
    <w:rsid w:val="002F7FF7"/>
    <w:rsid w:val="00303103"/>
    <w:rsid w:val="00307B0A"/>
    <w:rsid w:val="00310301"/>
    <w:rsid w:val="00311915"/>
    <w:rsid w:val="00311F78"/>
    <w:rsid w:val="003204B8"/>
    <w:rsid w:val="00320AA8"/>
    <w:rsid w:val="00321E89"/>
    <w:rsid w:val="00322D05"/>
    <w:rsid w:val="0032333B"/>
    <w:rsid w:val="00323F97"/>
    <w:rsid w:val="00325791"/>
    <w:rsid w:val="00327D0C"/>
    <w:rsid w:val="00330E06"/>
    <w:rsid w:val="0033148F"/>
    <w:rsid w:val="00332941"/>
    <w:rsid w:val="003361D0"/>
    <w:rsid w:val="00343473"/>
    <w:rsid w:val="00344A38"/>
    <w:rsid w:val="00347139"/>
    <w:rsid w:val="00350B78"/>
    <w:rsid w:val="00351E4E"/>
    <w:rsid w:val="00352B03"/>
    <w:rsid w:val="00353934"/>
    <w:rsid w:val="00355732"/>
    <w:rsid w:val="00355932"/>
    <w:rsid w:val="003563BF"/>
    <w:rsid w:val="003569C5"/>
    <w:rsid w:val="0036552F"/>
    <w:rsid w:val="0036608B"/>
    <w:rsid w:val="00367BDB"/>
    <w:rsid w:val="003709E3"/>
    <w:rsid w:val="00370F78"/>
    <w:rsid w:val="003736A3"/>
    <w:rsid w:val="00373943"/>
    <w:rsid w:val="00375FA5"/>
    <w:rsid w:val="0037602F"/>
    <w:rsid w:val="00376C3A"/>
    <w:rsid w:val="00377A14"/>
    <w:rsid w:val="00382607"/>
    <w:rsid w:val="0038291F"/>
    <w:rsid w:val="00385DD2"/>
    <w:rsid w:val="00386C76"/>
    <w:rsid w:val="00390708"/>
    <w:rsid w:val="00390A83"/>
    <w:rsid w:val="003929B0"/>
    <w:rsid w:val="0039687E"/>
    <w:rsid w:val="00397ADD"/>
    <w:rsid w:val="00397CC7"/>
    <w:rsid w:val="003A41D3"/>
    <w:rsid w:val="003A5436"/>
    <w:rsid w:val="003A6996"/>
    <w:rsid w:val="003A6CB0"/>
    <w:rsid w:val="003A74A7"/>
    <w:rsid w:val="003B01FC"/>
    <w:rsid w:val="003B0C46"/>
    <w:rsid w:val="003B5D4F"/>
    <w:rsid w:val="003B7CB9"/>
    <w:rsid w:val="003C2804"/>
    <w:rsid w:val="003C2E66"/>
    <w:rsid w:val="003C4B31"/>
    <w:rsid w:val="003C639E"/>
    <w:rsid w:val="003C68ED"/>
    <w:rsid w:val="003D09EF"/>
    <w:rsid w:val="003D347D"/>
    <w:rsid w:val="003D4748"/>
    <w:rsid w:val="003D5656"/>
    <w:rsid w:val="003D614A"/>
    <w:rsid w:val="003E1013"/>
    <w:rsid w:val="003E6793"/>
    <w:rsid w:val="003E6980"/>
    <w:rsid w:val="003E6D52"/>
    <w:rsid w:val="003F0572"/>
    <w:rsid w:val="003F0FA5"/>
    <w:rsid w:val="003F1096"/>
    <w:rsid w:val="003F1D59"/>
    <w:rsid w:val="003F2493"/>
    <w:rsid w:val="003F29CA"/>
    <w:rsid w:val="003F4436"/>
    <w:rsid w:val="00400DAA"/>
    <w:rsid w:val="00400F0D"/>
    <w:rsid w:val="00401E91"/>
    <w:rsid w:val="00403221"/>
    <w:rsid w:val="00405150"/>
    <w:rsid w:val="00405886"/>
    <w:rsid w:val="00406213"/>
    <w:rsid w:val="004078B9"/>
    <w:rsid w:val="00407B17"/>
    <w:rsid w:val="0041024E"/>
    <w:rsid w:val="00416473"/>
    <w:rsid w:val="00424D5F"/>
    <w:rsid w:val="00425E4B"/>
    <w:rsid w:val="0042650B"/>
    <w:rsid w:val="0042755F"/>
    <w:rsid w:val="00427C7B"/>
    <w:rsid w:val="00432395"/>
    <w:rsid w:val="004377D2"/>
    <w:rsid w:val="00440934"/>
    <w:rsid w:val="00440D3F"/>
    <w:rsid w:val="00443522"/>
    <w:rsid w:val="00446604"/>
    <w:rsid w:val="00452323"/>
    <w:rsid w:val="004541A9"/>
    <w:rsid w:val="00454EA0"/>
    <w:rsid w:val="004550A2"/>
    <w:rsid w:val="00457A9F"/>
    <w:rsid w:val="00457F7C"/>
    <w:rsid w:val="0046131E"/>
    <w:rsid w:val="00461710"/>
    <w:rsid w:val="0046266E"/>
    <w:rsid w:val="0046360B"/>
    <w:rsid w:val="00463E62"/>
    <w:rsid w:val="00466E18"/>
    <w:rsid w:val="00470AD6"/>
    <w:rsid w:val="004733F7"/>
    <w:rsid w:val="004736E2"/>
    <w:rsid w:val="004757FB"/>
    <w:rsid w:val="00477CD5"/>
    <w:rsid w:val="0048081F"/>
    <w:rsid w:val="0048249E"/>
    <w:rsid w:val="00483C82"/>
    <w:rsid w:val="0048474F"/>
    <w:rsid w:val="0048601B"/>
    <w:rsid w:val="0048660A"/>
    <w:rsid w:val="004919B9"/>
    <w:rsid w:val="0049245C"/>
    <w:rsid w:val="00492629"/>
    <w:rsid w:val="00495C9F"/>
    <w:rsid w:val="00496373"/>
    <w:rsid w:val="004A274B"/>
    <w:rsid w:val="004A65BB"/>
    <w:rsid w:val="004A6F72"/>
    <w:rsid w:val="004B07D6"/>
    <w:rsid w:val="004B08E3"/>
    <w:rsid w:val="004B4211"/>
    <w:rsid w:val="004B58FB"/>
    <w:rsid w:val="004B7E0B"/>
    <w:rsid w:val="004C148C"/>
    <w:rsid w:val="004C6780"/>
    <w:rsid w:val="004D4F94"/>
    <w:rsid w:val="004D5E84"/>
    <w:rsid w:val="004E0466"/>
    <w:rsid w:val="004E0C56"/>
    <w:rsid w:val="004E32E9"/>
    <w:rsid w:val="004E4CCB"/>
    <w:rsid w:val="004E6C8A"/>
    <w:rsid w:val="004E70C7"/>
    <w:rsid w:val="004E75A6"/>
    <w:rsid w:val="004F028E"/>
    <w:rsid w:val="004F0E6E"/>
    <w:rsid w:val="004F2267"/>
    <w:rsid w:val="004F2F36"/>
    <w:rsid w:val="004F4439"/>
    <w:rsid w:val="004F5021"/>
    <w:rsid w:val="004F7C25"/>
    <w:rsid w:val="005020FD"/>
    <w:rsid w:val="005028A0"/>
    <w:rsid w:val="00503FFF"/>
    <w:rsid w:val="005105C0"/>
    <w:rsid w:val="00510C82"/>
    <w:rsid w:val="00512275"/>
    <w:rsid w:val="005125EA"/>
    <w:rsid w:val="005172DB"/>
    <w:rsid w:val="00521D62"/>
    <w:rsid w:val="005221D5"/>
    <w:rsid w:val="00523464"/>
    <w:rsid w:val="00524CF5"/>
    <w:rsid w:val="00525158"/>
    <w:rsid w:val="0053083B"/>
    <w:rsid w:val="0053165D"/>
    <w:rsid w:val="00532464"/>
    <w:rsid w:val="0053417C"/>
    <w:rsid w:val="00540163"/>
    <w:rsid w:val="005407F0"/>
    <w:rsid w:val="00543A1E"/>
    <w:rsid w:val="005447B1"/>
    <w:rsid w:val="00545439"/>
    <w:rsid w:val="0054773A"/>
    <w:rsid w:val="00547C17"/>
    <w:rsid w:val="00551460"/>
    <w:rsid w:val="00552E1C"/>
    <w:rsid w:val="00554213"/>
    <w:rsid w:val="005554F1"/>
    <w:rsid w:val="00555D00"/>
    <w:rsid w:val="00556683"/>
    <w:rsid w:val="00565665"/>
    <w:rsid w:val="00565D33"/>
    <w:rsid w:val="0056683E"/>
    <w:rsid w:val="00566F3F"/>
    <w:rsid w:val="00567A4D"/>
    <w:rsid w:val="00575620"/>
    <w:rsid w:val="005761A1"/>
    <w:rsid w:val="00576A66"/>
    <w:rsid w:val="00580E15"/>
    <w:rsid w:val="00580EEE"/>
    <w:rsid w:val="00580FCD"/>
    <w:rsid w:val="005817A2"/>
    <w:rsid w:val="00582A19"/>
    <w:rsid w:val="0058309F"/>
    <w:rsid w:val="0058361A"/>
    <w:rsid w:val="00585C60"/>
    <w:rsid w:val="00586650"/>
    <w:rsid w:val="005875E4"/>
    <w:rsid w:val="00587F32"/>
    <w:rsid w:val="00591120"/>
    <w:rsid w:val="005946D6"/>
    <w:rsid w:val="005A1729"/>
    <w:rsid w:val="005A440A"/>
    <w:rsid w:val="005A4E40"/>
    <w:rsid w:val="005A6394"/>
    <w:rsid w:val="005A6B70"/>
    <w:rsid w:val="005A74E8"/>
    <w:rsid w:val="005A76A2"/>
    <w:rsid w:val="005B0242"/>
    <w:rsid w:val="005B26E0"/>
    <w:rsid w:val="005B373F"/>
    <w:rsid w:val="005B3BE0"/>
    <w:rsid w:val="005B48E3"/>
    <w:rsid w:val="005B5FCB"/>
    <w:rsid w:val="005C1DEA"/>
    <w:rsid w:val="005C34EE"/>
    <w:rsid w:val="005C36F3"/>
    <w:rsid w:val="005C6863"/>
    <w:rsid w:val="005C7640"/>
    <w:rsid w:val="005C7A4B"/>
    <w:rsid w:val="005D04B2"/>
    <w:rsid w:val="005D0828"/>
    <w:rsid w:val="005D0C9D"/>
    <w:rsid w:val="005D1283"/>
    <w:rsid w:val="005D296F"/>
    <w:rsid w:val="005D2C1C"/>
    <w:rsid w:val="005D4BE7"/>
    <w:rsid w:val="005E1174"/>
    <w:rsid w:val="005E1C3B"/>
    <w:rsid w:val="005E1FCD"/>
    <w:rsid w:val="005E3DA1"/>
    <w:rsid w:val="005E5ED7"/>
    <w:rsid w:val="00602B40"/>
    <w:rsid w:val="00603DB9"/>
    <w:rsid w:val="00604D4B"/>
    <w:rsid w:val="00605B7D"/>
    <w:rsid w:val="006077D0"/>
    <w:rsid w:val="00613C67"/>
    <w:rsid w:val="00615417"/>
    <w:rsid w:val="00615987"/>
    <w:rsid w:val="00617C34"/>
    <w:rsid w:val="00621C07"/>
    <w:rsid w:val="006227B7"/>
    <w:rsid w:val="006239FE"/>
    <w:rsid w:val="00624D64"/>
    <w:rsid w:val="006266CF"/>
    <w:rsid w:val="006335CA"/>
    <w:rsid w:val="006348CC"/>
    <w:rsid w:val="0064275A"/>
    <w:rsid w:val="00642A22"/>
    <w:rsid w:val="00643BE1"/>
    <w:rsid w:val="006446E4"/>
    <w:rsid w:val="0064489C"/>
    <w:rsid w:val="00647260"/>
    <w:rsid w:val="00652088"/>
    <w:rsid w:val="006522DE"/>
    <w:rsid w:val="0065243A"/>
    <w:rsid w:val="006524C8"/>
    <w:rsid w:val="00654D22"/>
    <w:rsid w:val="00662E1E"/>
    <w:rsid w:val="00663848"/>
    <w:rsid w:val="006726AD"/>
    <w:rsid w:val="00674D03"/>
    <w:rsid w:val="00675032"/>
    <w:rsid w:val="00682746"/>
    <w:rsid w:val="00682ED0"/>
    <w:rsid w:val="006842C3"/>
    <w:rsid w:val="006850A3"/>
    <w:rsid w:val="00685261"/>
    <w:rsid w:val="0068762D"/>
    <w:rsid w:val="00690336"/>
    <w:rsid w:val="0069401C"/>
    <w:rsid w:val="006A074C"/>
    <w:rsid w:val="006A0CD0"/>
    <w:rsid w:val="006A14C9"/>
    <w:rsid w:val="006A2401"/>
    <w:rsid w:val="006A3508"/>
    <w:rsid w:val="006A4B3A"/>
    <w:rsid w:val="006A4D91"/>
    <w:rsid w:val="006A4F59"/>
    <w:rsid w:val="006A5922"/>
    <w:rsid w:val="006A603F"/>
    <w:rsid w:val="006A7907"/>
    <w:rsid w:val="006B0167"/>
    <w:rsid w:val="006B1420"/>
    <w:rsid w:val="006B1545"/>
    <w:rsid w:val="006B16EC"/>
    <w:rsid w:val="006B19CA"/>
    <w:rsid w:val="006B6B59"/>
    <w:rsid w:val="006C2717"/>
    <w:rsid w:val="006C5C2D"/>
    <w:rsid w:val="006D01F6"/>
    <w:rsid w:val="006D119A"/>
    <w:rsid w:val="006D2E6B"/>
    <w:rsid w:val="006D68AD"/>
    <w:rsid w:val="006D6D77"/>
    <w:rsid w:val="006E1400"/>
    <w:rsid w:val="006E3E80"/>
    <w:rsid w:val="006E3FA2"/>
    <w:rsid w:val="006E4BFA"/>
    <w:rsid w:val="006E4D9E"/>
    <w:rsid w:val="006E4E7F"/>
    <w:rsid w:val="006E5757"/>
    <w:rsid w:val="006E5835"/>
    <w:rsid w:val="006E6A7F"/>
    <w:rsid w:val="006F1081"/>
    <w:rsid w:val="006F1E59"/>
    <w:rsid w:val="006F6105"/>
    <w:rsid w:val="00713F44"/>
    <w:rsid w:val="0071423C"/>
    <w:rsid w:val="007145CB"/>
    <w:rsid w:val="007255EC"/>
    <w:rsid w:val="00725DA8"/>
    <w:rsid w:val="00726044"/>
    <w:rsid w:val="0072794E"/>
    <w:rsid w:val="00730DA0"/>
    <w:rsid w:val="00732513"/>
    <w:rsid w:val="00734A07"/>
    <w:rsid w:val="00736CDC"/>
    <w:rsid w:val="007370DF"/>
    <w:rsid w:val="00737332"/>
    <w:rsid w:val="00737AE9"/>
    <w:rsid w:val="007426F5"/>
    <w:rsid w:val="00742799"/>
    <w:rsid w:val="00742CD2"/>
    <w:rsid w:val="00743E9E"/>
    <w:rsid w:val="00744065"/>
    <w:rsid w:val="00744FC2"/>
    <w:rsid w:val="0074507B"/>
    <w:rsid w:val="00745124"/>
    <w:rsid w:val="00745697"/>
    <w:rsid w:val="00745C75"/>
    <w:rsid w:val="00746E19"/>
    <w:rsid w:val="00747A61"/>
    <w:rsid w:val="00750CDE"/>
    <w:rsid w:val="00751D4F"/>
    <w:rsid w:val="00752937"/>
    <w:rsid w:val="007601C5"/>
    <w:rsid w:val="007605C6"/>
    <w:rsid w:val="00760952"/>
    <w:rsid w:val="007623E4"/>
    <w:rsid w:val="0076500B"/>
    <w:rsid w:val="0077092E"/>
    <w:rsid w:val="00774137"/>
    <w:rsid w:val="00775E8D"/>
    <w:rsid w:val="00777368"/>
    <w:rsid w:val="00783A12"/>
    <w:rsid w:val="007853A4"/>
    <w:rsid w:val="00785B53"/>
    <w:rsid w:val="00786E09"/>
    <w:rsid w:val="00787259"/>
    <w:rsid w:val="00795E15"/>
    <w:rsid w:val="007A1770"/>
    <w:rsid w:val="007A5406"/>
    <w:rsid w:val="007A7C35"/>
    <w:rsid w:val="007A7FD6"/>
    <w:rsid w:val="007B1526"/>
    <w:rsid w:val="007B205C"/>
    <w:rsid w:val="007B34E6"/>
    <w:rsid w:val="007B5110"/>
    <w:rsid w:val="007C10CE"/>
    <w:rsid w:val="007C1BDA"/>
    <w:rsid w:val="007C24BA"/>
    <w:rsid w:val="007C3F4D"/>
    <w:rsid w:val="007C3FA6"/>
    <w:rsid w:val="007C4E05"/>
    <w:rsid w:val="007C58B1"/>
    <w:rsid w:val="007C60E9"/>
    <w:rsid w:val="007C6403"/>
    <w:rsid w:val="007C6897"/>
    <w:rsid w:val="007D492B"/>
    <w:rsid w:val="007D588C"/>
    <w:rsid w:val="007D71E9"/>
    <w:rsid w:val="007E1D7C"/>
    <w:rsid w:val="007E35AE"/>
    <w:rsid w:val="007F1A4C"/>
    <w:rsid w:val="007F1C5F"/>
    <w:rsid w:val="007F1EB0"/>
    <w:rsid w:val="007F2740"/>
    <w:rsid w:val="007F4D4A"/>
    <w:rsid w:val="007F4E5A"/>
    <w:rsid w:val="007F5852"/>
    <w:rsid w:val="00802EE1"/>
    <w:rsid w:val="008034A3"/>
    <w:rsid w:val="008034D8"/>
    <w:rsid w:val="00814307"/>
    <w:rsid w:val="008145BD"/>
    <w:rsid w:val="00816FEB"/>
    <w:rsid w:val="00817677"/>
    <w:rsid w:val="00820F6F"/>
    <w:rsid w:val="0082330B"/>
    <w:rsid w:val="008237A8"/>
    <w:rsid w:val="00823E34"/>
    <w:rsid w:val="008242F3"/>
    <w:rsid w:val="00826ED6"/>
    <w:rsid w:val="00830401"/>
    <w:rsid w:val="00830833"/>
    <w:rsid w:val="00832454"/>
    <w:rsid w:val="00833C4C"/>
    <w:rsid w:val="0083682D"/>
    <w:rsid w:val="00843171"/>
    <w:rsid w:val="00850591"/>
    <w:rsid w:val="008513EE"/>
    <w:rsid w:val="008514E4"/>
    <w:rsid w:val="00851E7F"/>
    <w:rsid w:val="008528D6"/>
    <w:rsid w:val="0085493B"/>
    <w:rsid w:val="008559AD"/>
    <w:rsid w:val="00855E21"/>
    <w:rsid w:val="0086025F"/>
    <w:rsid w:val="00863094"/>
    <w:rsid w:val="008636E5"/>
    <w:rsid w:val="00863F9A"/>
    <w:rsid w:val="008648BE"/>
    <w:rsid w:val="00865E10"/>
    <w:rsid w:val="0087404E"/>
    <w:rsid w:val="00880670"/>
    <w:rsid w:val="0088179B"/>
    <w:rsid w:val="008818AD"/>
    <w:rsid w:val="008818CD"/>
    <w:rsid w:val="008821EB"/>
    <w:rsid w:val="00883B7A"/>
    <w:rsid w:val="00884E0A"/>
    <w:rsid w:val="00885577"/>
    <w:rsid w:val="00890357"/>
    <w:rsid w:val="008908C3"/>
    <w:rsid w:val="008909DE"/>
    <w:rsid w:val="008925E5"/>
    <w:rsid w:val="00896041"/>
    <w:rsid w:val="008977D8"/>
    <w:rsid w:val="008A1D7D"/>
    <w:rsid w:val="008A1FC1"/>
    <w:rsid w:val="008A391D"/>
    <w:rsid w:val="008A3BA3"/>
    <w:rsid w:val="008A582E"/>
    <w:rsid w:val="008A631A"/>
    <w:rsid w:val="008B0871"/>
    <w:rsid w:val="008B1F3A"/>
    <w:rsid w:val="008B2B66"/>
    <w:rsid w:val="008B41ED"/>
    <w:rsid w:val="008B4279"/>
    <w:rsid w:val="008C1561"/>
    <w:rsid w:val="008C33AF"/>
    <w:rsid w:val="008C3BAD"/>
    <w:rsid w:val="008C5574"/>
    <w:rsid w:val="008C5AC2"/>
    <w:rsid w:val="008D225D"/>
    <w:rsid w:val="008D6F6B"/>
    <w:rsid w:val="008E0328"/>
    <w:rsid w:val="008E2B90"/>
    <w:rsid w:val="008E48C0"/>
    <w:rsid w:val="008F39C1"/>
    <w:rsid w:val="008F43C8"/>
    <w:rsid w:val="00902EDF"/>
    <w:rsid w:val="00903E83"/>
    <w:rsid w:val="009061C2"/>
    <w:rsid w:val="00907744"/>
    <w:rsid w:val="00910326"/>
    <w:rsid w:val="0091102D"/>
    <w:rsid w:val="00912FEB"/>
    <w:rsid w:val="009131D2"/>
    <w:rsid w:val="009200F6"/>
    <w:rsid w:val="00921163"/>
    <w:rsid w:val="0092128F"/>
    <w:rsid w:val="00921492"/>
    <w:rsid w:val="009224AA"/>
    <w:rsid w:val="00925D1E"/>
    <w:rsid w:val="00927F74"/>
    <w:rsid w:val="00931338"/>
    <w:rsid w:val="0093150A"/>
    <w:rsid w:val="00931EC5"/>
    <w:rsid w:val="00932127"/>
    <w:rsid w:val="00932C46"/>
    <w:rsid w:val="00932E66"/>
    <w:rsid w:val="0093303F"/>
    <w:rsid w:val="00933CDF"/>
    <w:rsid w:val="0093572D"/>
    <w:rsid w:val="0093609A"/>
    <w:rsid w:val="0093617B"/>
    <w:rsid w:val="0094047A"/>
    <w:rsid w:val="00942E05"/>
    <w:rsid w:val="0094418F"/>
    <w:rsid w:val="009444BE"/>
    <w:rsid w:val="00950080"/>
    <w:rsid w:val="00950A14"/>
    <w:rsid w:val="00950D68"/>
    <w:rsid w:val="009512B0"/>
    <w:rsid w:val="00951640"/>
    <w:rsid w:val="00952554"/>
    <w:rsid w:val="00955508"/>
    <w:rsid w:val="00955B83"/>
    <w:rsid w:val="00956188"/>
    <w:rsid w:val="00956C05"/>
    <w:rsid w:val="009574F6"/>
    <w:rsid w:val="009577C3"/>
    <w:rsid w:val="009600CE"/>
    <w:rsid w:val="009622EC"/>
    <w:rsid w:val="00963AB8"/>
    <w:rsid w:val="00964271"/>
    <w:rsid w:val="00964644"/>
    <w:rsid w:val="009648BD"/>
    <w:rsid w:val="00965F87"/>
    <w:rsid w:val="00971530"/>
    <w:rsid w:val="00972711"/>
    <w:rsid w:val="00972FE1"/>
    <w:rsid w:val="00973FA9"/>
    <w:rsid w:val="00974928"/>
    <w:rsid w:val="009767D4"/>
    <w:rsid w:val="00980C2F"/>
    <w:rsid w:val="00985F25"/>
    <w:rsid w:val="00992441"/>
    <w:rsid w:val="009934F9"/>
    <w:rsid w:val="0099635E"/>
    <w:rsid w:val="009A41D5"/>
    <w:rsid w:val="009A6634"/>
    <w:rsid w:val="009A6BE3"/>
    <w:rsid w:val="009B1AAD"/>
    <w:rsid w:val="009B242A"/>
    <w:rsid w:val="009B4D18"/>
    <w:rsid w:val="009B5903"/>
    <w:rsid w:val="009C3BCE"/>
    <w:rsid w:val="009C3C43"/>
    <w:rsid w:val="009C4E8A"/>
    <w:rsid w:val="009C5BB5"/>
    <w:rsid w:val="009C5CB5"/>
    <w:rsid w:val="009D086D"/>
    <w:rsid w:val="009D3CE7"/>
    <w:rsid w:val="009D4462"/>
    <w:rsid w:val="009D70B0"/>
    <w:rsid w:val="009E24E2"/>
    <w:rsid w:val="009E3963"/>
    <w:rsid w:val="009E3A20"/>
    <w:rsid w:val="009E4F50"/>
    <w:rsid w:val="009E5A37"/>
    <w:rsid w:val="009E5A40"/>
    <w:rsid w:val="009E7F86"/>
    <w:rsid w:val="009F2F72"/>
    <w:rsid w:val="009F42D0"/>
    <w:rsid w:val="009F50AB"/>
    <w:rsid w:val="009F63CA"/>
    <w:rsid w:val="009F733B"/>
    <w:rsid w:val="00A03C9E"/>
    <w:rsid w:val="00A06453"/>
    <w:rsid w:val="00A21BF1"/>
    <w:rsid w:val="00A21D15"/>
    <w:rsid w:val="00A231A6"/>
    <w:rsid w:val="00A24166"/>
    <w:rsid w:val="00A3277C"/>
    <w:rsid w:val="00A339C4"/>
    <w:rsid w:val="00A35B49"/>
    <w:rsid w:val="00A37831"/>
    <w:rsid w:val="00A4018F"/>
    <w:rsid w:val="00A41E13"/>
    <w:rsid w:val="00A43559"/>
    <w:rsid w:val="00A44B56"/>
    <w:rsid w:val="00A44EFC"/>
    <w:rsid w:val="00A45324"/>
    <w:rsid w:val="00A46A19"/>
    <w:rsid w:val="00A47F29"/>
    <w:rsid w:val="00A500C5"/>
    <w:rsid w:val="00A51B6F"/>
    <w:rsid w:val="00A5232E"/>
    <w:rsid w:val="00A52B14"/>
    <w:rsid w:val="00A53EE4"/>
    <w:rsid w:val="00A553C1"/>
    <w:rsid w:val="00A626C2"/>
    <w:rsid w:val="00A62A6F"/>
    <w:rsid w:val="00A65036"/>
    <w:rsid w:val="00A666D8"/>
    <w:rsid w:val="00A67F52"/>
    <w:rsid w:val="00A67FE1"/>
    <w:rsid w:val="00A732E2"/>
    <w:rsid w:val="00A8091B"/>
    <w:rsid w:val="00A80DEF"/>
    <w:rsid w:val="00A83B24"/>
    <w:rsid w:val="00A83DFA"/>
    <w:rsid w:val="00A85A4A"/>
    <w:rsid w:val="00A87A17"/>
    <w:rsid w:val="00A87B94"/>
    <w:rsid w:val="00A87EC4"/>
    <w:rsid w:val="00A91A42"/>
    <w:rsid w:val="00A94376"/>
    <w:rsid w:val="00A9542D"/>
    <w:rsid w:val="00A957D6"/>
    <w:rsid w:val="00A95818"/>
    <w:rsid w:val="00AA11AD"/>
    <w:rsid w:val="00AA1910"/>
    <w:rsid w:val="00AA3316"/>
    <w:rsid w:val="00AA6208"/>
    <w:rsid w:val="00AA7206"/>
    <w:rsid w:val="00AA7550"/>
    <w:rsid w:val="00AB2100"/>
    <w:rsid w:val="00AB4293"/>
    <w:rsid w:val="00AB7838"/>
    <w:rsid w:val="00AC0D0C"/>
    <w:rsid w:val="00AC23D0"/>
    <w:rsid w:val="00AC24ED"/>
    <w:rsid w:val="00AC3D4D"/>
    <w:rsid w:val="00AC432B"/>
    <w:rsid w:val="00AC4D37"/>
    <w:rsid w:val="00AC5B65"/>
    <w:rsid w:val="00AC6400"/>
    <w:rsid w:val="00AC7D22"/>
    <w:rsid w:val="00AD0520"/>
    <w:rsid w:val="00AD1D99"/>
    <w:rsid w:val="00AD28CD"/>
    <w:rsid w:val="00AD2AD4"/>
    <w:rsid w:val="00AD38AA"/>
    <w:rsid w:val="00AD5B9E"/>
    <w:rsid w:val="00AE33F1"/>
    <w:rsid w:val="00AE4681"/>
    <w:rsid w:val="00AE53F2"/>
    <w:rsid w:val="00AF3055"/>
    <w:rsid w:val="00AF465F"/>
    <w:rsid w:val="00AF7124"/>
    <w:rsid w:val="00B015E4"/>
    <w:rsid w:val="00B025DA"/>
    <w:rsid w:val="00B06B65"/>
    <w:rsid w:val="00B11BAD"/>
    <w:rsid w:val="00B15431"/>
    <w:rsid w:val="00B20085"/>
    <w:rsid w:val="00B2126C"/>
    <w:rsid w:val="00B2128F"/>
    <w:rsid w:val="00B22B2B"/>
    <w:rsid w:val="00B26D39"/>
    <w:rsid w:val="00B30FAF"/>
    <w:rsid w:val="00B31892"/>
    <w:rsid w:val="00B318BC"/>
    <w:rsid w:val="00B31BE4"/>
    <w:rsid w:val="00B31CF3"/>
    <w:rsid w:val="00B3227C"/>
    <w:rsid w:val="00B35AC0"/>
    <w:rsid w:val="00B35EB7"/>
    <w:rsid w:val="00B36B6F"/>
    <w:rsid w:val="00B41EFC"/>
    <w:rsid w:val="00B423EE"/>
    <w:rsid w:val="00B440B1"/>
    <w:rsid w:val="00B46567"/>
    <w:rsid w:val="00B47873"/>
    <w:rsid w:val="00B5166A"/>
    <w:rsid w:val="00B52143"/>
    <w:rsid w:val="00B56F5F"/>
    <w:rsid w:val="00B56F76"/>
    <w:rsid w:val="00B60309"/>
    <w:rsid w:val="00B64A12"/>
    <w:rsid w:val="00B6668E"/>
    <w:rsid w:val="00B66EBD"/>
    <w:rsid w:val="00B727F0"/>
    <w:rsid w:val="00B72BEE"/>
    <w:rsid w:val="00B75C62"/>
    <w:rsid w:val="00B76967"/>
    <w:rsid w:val="00B81FAB"/>
    <w:rsid w:val="00B8209D"/>
    <w:rsid w:val="00B8349A"/>
    <w:rsid w:val="00B851D4"/>
    <w:rsid w:val="00B86D40"/>
    <w:rsid w:val="00B87F73"/>
    <w:rsid w:val="00B90BEE"/>
    <w:rsid w:val="00B91171"/>
    <w:rsid w:val="00B926C4"/>
    <w:rsid w:val="00B94830"/>
    <w:rsid w:val="00B96568"/>
    <w:rsid w:val="00B9690E"/>
    <w:rsid w:val="00B97C36"/>
    <w:rsid w:val="00BA1F38"/>
    <w:rsid w:val="00BA3465"/>
    <w:rsid w:val="00BA3736"/>
    <w:rsid w:val="00BA6A6A"/>
    <w:rsid w:val="00BA6FEF"/>
    <w:rsid w:val="00BA77FD"/>
    <w:rsid w:val="00BA7C89"/>
    <w:rsid w:val="00BA7D3F"/>
    <w:rsid w:val="00BB057A"/>
    <w:rsid w:val="00BB1F2E"/>
    <w:rsid w:val="00BC05E6"/>
    <w:rsid w:val="00BC0E13"/>
    <w:rsid w:val="00BC22A4"/>
    <w:rsid w:val="00BC7F47"/>
    <w:rsid w:val="00BD1E73"/>
    <w:rsid w:val="00BD5264"/>
    <w:rsid w:val="00BE4280"/>
    <w:rsid w:val="00BE52D6"/>
    <w:rsid w:val="00BE688C"/>
    <w:rsid w:val="00BF2E01"/>
    <w:rsid w:val="00BF3E3B"/>
    <w:rsid w:val="00BF4390"/>
    <w:rsid w:val="00BF4E76"/>
    <w:rsid w:val="00BF72AF"/>
    <w:rsid w:val="00BF7EE5"/>
    <w:rsid w:val="00C01BFF"/>
    <w:rsid w:val="00C02FED"/>
    <w:rsid w:val="00C03BF1"/>
    <w:rsid w:val="00C0447B"/>
    <w:rsid w:val="00C0495C"/>
    <w:rsid w:val="00C049B3"/>
    <w:rsid w:val="00C0700F"/>
    <w:rsid w:val="00C07442"/>
    <w:rsid w:val="00C07C2B"/>
    <w:rsid w:val="00C109C6"/>
    <w:rsid w:val="00C12AA3"/>
    <w:rsid w:val="00C14084"/>
    <w:rsid w:val="00C22DB0"/>
    <w:rsid w:val="00C22F9B"/>
    <w:rsid w:val="00C24092"/>
    <w:rsid w:val="00C25222"/>
    <w:rsid w:val="00C254A3"/>
    <w:rsid w:val="00C270C7"/>
    <w:rsid w:val="00C30BC8"/>
    <w:rsid w:val="00C32D0C"/>
    <w:rsid w:val="00C374F3"/>
    <w:rsid w:val="00C42772"/>
    <w:rsid w:val="00C42A5B"/>
    <w:rsid w:val="00C43963"/>
    <w:rsid w:val="00C43F32"/>
    <w:rsid w:val="00C45C51"/>
    <w:rsid w:val="00C528A7"/>
    <w:rsid w:val="00C56C77"/>
    <w:rsid w:val="00C62286"/>
    <w:rsid w:val="00C63AF4"/>
    <w:rsid w:val="00C66964"/>
    <w:rsid w:val="00C704CE"/>
    <w:rsid w:val="00C708D4"/>
    <w:rsid w:val="00C7102F"/>
    <w:rsid w:val="00C711BE"/>
    <w:rsid w:val="00C71A87"/>
    <w:rsid w:val="00C73564"/>
    <w:rsid w:val="00C74BBD"/>
    <w:rsid w:val="00C77CE2"/>
    <w:rsid w:val="00C81ED6"/>
    <w:rsid w:val="00C83F80"/>
    <w:rsid w:val="00C916F6"/>
    <w:rsid w:val="00C920AC"/>
    <w:rsid w:val="00C92346"/>
    <w:rsid w:val="00C92BDD"/>
    <w:rsid w:val="00C92E2E"/>
    <w:rsid w:val="00C935E4"/>
    <w:rsid w:val="00C96B6F"/>
    <w:rsid w:val="00CA7B67"/>
    <w:rsid w:val="00CB01AE"/>
    <w:rsid w:val="00CB0D28"/>
    <w:rsid w:val="00CB5BF9"/>
    <w:rsid w:val="00CB6A21"/>
    <w:rsid w:val="00CC1B3C"/>
    <w:rsid w:val="00CC2CA2"/>
    <w:rsid w:val="00CC3802"/>
    <w:rsid w:val="00CC4122"/>
    <w:rsid w:val="00CC4D6A"/>
    <w:rsid w:val="00CC517B"/>
    <w:rsid w:val="00CC5348"/>
    <w:rsid w:val="00CC5A81"/>
    <w:rsid w:val="00CD0743"/>
    <w:rsid w:val="00CD4B63"/>
    <w:rsid w:val="00CD5AD3"/>
    <w:rsid w:val="00CE0B60"/>
    <w:rsid w:val="00CE13F6"/>
    <w:rsid w:val="00CE39A1"/>
    <w:rsid w:val="00CE4929"/>
    <w:rsid w:val="00CE4BCD"/>
    <w:rsid w:val="00CE4E24"/>
    <w:rsid w:val="00CE5BD8"/>
    <w:rsid w:val="00CE6E83"/>
    <w:rsid w:val="00CE7400"/>
    <w:rsid w:val="00CE7E23"/>
    <w:rsid w:val="00CF494C"/>
    <w:rsid w:val="00CF513D"/>
    <w:rsid w:val="00CF64A3"/>
    <w:rsid w:val="00D01BF7"/>
    <w:rsid w:val="00D043C6"/>
    <w:rsid w:val="00D0487E"/>
    <w:rsid w:val="00D048DA"/>
    <w:rsid w:val="00D04CEE"/>
    <w:rsid w:val="00D10028"/>
    <w:rsid w:val="00D1245D"/>
    <w:rsid w:val="00D1251D"/>
    <w:rsid w:val="00D14F26"/>
    <w:rsid w:val="00D20D25"/>
    <w:rsid w:val="00D2430B"/>
    <w:rsid w:val="00D25B91"/>
    <w:rsid w:val="00D27679"/>
    <w:rsid w:val="00D315F0"/>
    <w:rsid w:val="00D32854"/>
    <w:rsid w:val="00D344CC"/>
    <w:rsid w:val="00D41F8C"/>
    <w:rsid w:val="00D44702"/>
    <w:rsid w:val="00D506E5"/>
    <w:rsid w:val="00D51D5D"/>
    <w:rsid w:val="00D52F55"/>
    <w:rsid w:val="00D52F7D"/>
    <w:rsid w:val="00D54BC7"/>
    <w:rsid w:val="00D55FB1"/>
    <w:rsid w:val="00D566AF"/>
    <w:rsid w:val="00D614F4"/>
    <w:rsid w:val="00D61544"/>
    <w:rsid w:val="00D702C9"/>
    <w:rsid w:val="00D7063E"/>
    <w:rsid w:val="00D775D8"/>
    <w:rsid w:val="00D82E20"/>
    <w:rsid w:val="00D83626"/>
    <w:rsid w:val="00D91EDF"/>
    <w:rsid w:val="00D92790"/>
    <w:rsid w:val="00D934CA"/>
    <w:rsid w:val="00D93AD3"/>
    <w:rsid w:val="00D94BDD"/>
    <w:rsid w:val="00D94F26"/>
    <w:rsid w:val="00D97239"/>
    <w:rsid w:val="00DA0CCA"/>
    <w:rsid w:val="00DA266E"/>
    <w:rsid w:val="00DA454E"/>
    <w:rsid w:val="00DA466D"/>
    <w:rsid w:val="00DA7344"/>
    <w:rsid w:val="00DA7A03"/>
    <w:rsid w:val="00DB0FB1"/>
    <w:rsid w:val="00DB1505"/>
    <w:rsid w:val="00DB2FF8"/>
    <w:rsid w:val="00DB7216"/>
    <w:rsid w:val="00DB7D41"/>
    <w:rsid w:val="00DC09B9"/>
    <w:rsid w:val="00DC0BC0"/>
    <w:rsid w:val="00DC1BC6"/>
    <w:rsid w:val="00DC2F25"/>
    <w:rsid w:val="00DC5722"/>
    <w:rsid w:val="00DD1CA4"/>
    <w:rsid w:val="00DD446D"/>
    <w:rsid w:val="00DD4EFF"/>
    <w:rsid w:val="00DD5991"/>
    <w:rsid w:val="00DD66C2"/>
    <w:rsid w:val="00DD6CBB"/>
    <w:rsid w:val="00DE0538"/>
    <w:rsid w:val="00DE50C4"/>
    <w:rsid w:val="00DE5E4B"/>
    <w:rsid w:val="00DF2F92"/>
    <w:rsid w:val="00DF658D"/>
    <w:rsid w:val="00E046D6"/>
    <w:rsid w:val="00E04A2F"/>
    <w:rsid w:val="00E05EEE"/>
    <w:rsid w:val="00E07902"/>
    <w:rsid w:val="00E127C9"/>
    <w:rsid w:val="00E21155"/>
    <w:rsid w:val="00E2353A"/>
    <w:rsid w:val="00E239D5"/>
    <w:rsid w:val="00E25BFB"/>
    <w:rsid w:val="00E26E04"/>
    <w:rsid w:val="00E2752A"/>
    <w:rsid w:val="00E302F2"/>
    <w:rsid w:val="00E322CE"/>
    <w:rsid w:val="00E34BA1"/>
    <w:rsid w:val="00E37611"/>
    <w:rsid w:val="00E441E1"/>
    <w:rsid w:val="00E45282"/>
    <w:rsid w:val="00E50DC4"/>
    <w:rsid w:val="00E51249"/>
    <w:rsid w:val="00E533D5"/>
    <w:rsid w:val="00E56135"/>
    <w:rsid w:val="00E601E4"/>
    <w:rsid w:val="00E6043D"/>
    <w:rsid w:val="00E60CDD"/>
    <w:rsid w:val="00E613C1"/>
    <w:rsid w:val="00E65085"/>
    <w:rsid w:val="00E664CC"/>
    <w:rsid w:val="00E6708A"/>
    <w:rsid w:val="00E7103F"/>
    <w:rsid w:val="00E72338"/>
    <w:rsid w:val="00E72FAA"/>
    <w:rsid w:val="00E74078"/>
    <w:rsid w:val="00E76443"/>
    <w:rsid w:val="00E848B4"/>
    <w:rsid w:val="00E84F32"/>
    <w:rsid w:val="00E85FFF"/>
    <w:rsid w:val="00E87449"/>
    <w:rsid w:val="00E9110E"/>
    <w:rsid w:val="00E930C9"/>
    <w:rsid w:val="00E95C70"/>
    <w:rsid w:val="00E96256"/>
    <w:rsid w:val="00EA2A5F"/>
    <w:rsid w:val="00EA44A4"/>
    <w:rsid w:val="00EA4E6C"/>
    <w:rsid w:val="00EB21E1"/>
    <w:rsid w:val="00EB5B54"/>
    <w:rsid w:val="00EB6A40"/>
    <w:rsid w:val="00EC166D"/>
    <w:rsid w:val="00EC3933"/>
    <w:rsid w:val="00EC7F89"/>
    <w:rsid w:val="00ED13E2"/>
    <w:rsid w:val="00ED2FB5"/>
    <w:rsid w:val="00ED3D71"/>
    <w:rsid w:val="00ED4119"/>
    <w:rsid w:val="00ED6A14"/>
    <w:rsid w:val="00EE1BFB"/>
    <w:rsid w:val="00EE48CE"/>
    <w:rsid w:val="00EE4AFE"/>
    <w:rsid w:val="00EE6513"/>
    <w:rsid w:val="00EE6DF4"/>
    <w:rsid w:val="00EE7058"/>
    <w:rsid w:val="00EE7A9B"/>
    <w:rsid w:val="00EE7BAA"/>
    <w:rsid w:val="00EE7F37"/>
    <w:rsid w:val="00EF1166"/>
    <w:rsid w:val="00EF3529"/>
    <w:rsid w:val="00EF4A10"/>
    <w:rsid w:val="00EF5A7D"/>
    <w:rsid w:val="00EF67FC"/>
    <w:rsid w:val="00EF7275"/>
    <w:rsid w:val="00EF7742"/>
    <w:rsid w:val="00EF79D0"/>
    <w:rsid w:val="00F00097"/>
    <w:rsid w:val="00F01559"/>
    <w:rsid w:val="00F0573C"/>
    <w:rsid w:val="00F05E2E"/>
    <w:rsid w:val="00F06F77"/>
    <w:rsid w:val="00F078B9"/>
    <w:rsid w:val="00F07F64"/>
    <w:rsid w:val="00F10AE2"/>
    <w:rsid w:val="00F1284A"/>
    <w:rsid w:val="00F1555C"/>
    <w:rsid w:val="00F1648F"/>
    <w:rsid w:val="00F16E4A"/>
    <w:rsid w:val="00F1717F"/>
    <w:rsid w:val="00F2231E"/>
    <w:rsid w:val="00F2289C"/>
    <w:rsid w:val="00F23353"/>
    <w:rsid w:val="00F23C32"/>
    <w:rsid w:val="00F25008"/>
    <w:rsid w:val="00F25601"/>
    <w:rsid w:val="00F26737"/>
    <w:rsid w:val="00F27265"/>
    <w:rsid w:val="00F2732D"/>
    <w:rsid w:val="00F3447E"/>
    <w:rsid w:val="00F34E41"/>
    <w:rsid w:val="00F35409"/>
    <w:rsid w:val="00F36849"/>
    <w:rsid w:val="00F4016C"/>
    <w:rsid w:val="00F4396B"/>
    <w:rsid w:val="00F440EC"/>
    <w:rsid w:val="00F44D2B"/>
    <w:rsid w:val="00F47FE0"/>
    <w:rsid w:val="00F51914"/>
    <w:rsid w:val="00F52BEB"/>
    <w:rsid w:val="00F540CA"/>
    <w:rsid w:val="00F54235"/>
    <w:rsid w:val="00F54FB0"/>
    <w:rsid w:val="00F55D0F"/>
    <w:rsid w:val="00F56A71"/>
    <w:rsid w:val="00F602DA"/>
    <w:rsid w:val="00F6032F"/>
    <w:rsid w:val="00F61F8E"/>
    <w:rsid w:val="00F72C5D"/>
    <w:rsid w:val="00F73601"/>
    <w:rsid w:val="00F758F8"/>
    <w:rsid w:val="00F77B45"/>
    <w:rsid w:val="00F80C5B"/>
    <w:rsid w:val="00F85DD2"/>
    <w:rsid w:val="00F86049"/>
    <w:rsid w:val="00F86D49"/>
    <w:rsid w:val="00F877D3"/>
    <w:rsid w:val="00F877F6"/>
    <w:rsid w:val="00F94C93"/>
    <w:rsid w:val="00F9665B"/>
    <w:rsid w:val="00F970F3"/>
    <w:rsid w:val="00F975EF"/>
    <w:rsid w:val="00F97668"/>
    <w:rsid w:val="00FA153C"/>
    <w:rsid w:val="00FA2B77"/>
    <w:rsid w:val="00FA2FA3"/>
    <w:rsid w:val="00FB1AFE"/>
    <w:rsid w:val="00FB2ECC"/>
    <w:rsid w:val="00FC08FA"/>
    <w:rsid w:val="00FC1833"/>
    <w:rsid w:val="00FC1FB8"/>
    <w:rsid w:val="00FC4EB1"/>
    <w:rsid w:val="00FC5DB0"/>
    <w:rsid w:val="00FD3CEE"/>
    <w:rsid w:val="00FD3ED7"/>
    <w:rsid w:val="00FD7C7A"/>
    <w:rsid w:val="00FE1A80"/>
    <w:rsid w:val="00FE1B3F"/>
    <w:rsid w:val="00FE1C18"/>
    <w:rsid w:val="00FE2FAE"/>
    <w:rsid w:val="00FE5581"/>
    <w:rsid w:val="00FE5F9C"/>
    <w:rsid w:val="00FE7EC4"/>
    <w:rsid w:val="00FF2A00"/>
    <w:rsid w:val="00FF445C"/>
    <w:rsid w:val="02847110"/>
    <w:rsid w:val="050B34F2"/>
    <w:rsid w:val="0738222E"/>
    <w:rsid w:val="0C037852"/>
    <w:rsid w:val="0D7D16BE"/>
    <w:rsid w:val="14D709D0"/>
    <w:rsid w:val="17BF541B"/>
    <w:rsid w:val="17FC7822"/>
    <w:rsid w:val="21DB36C1"/>
    <w:rsid w:val="24396437"/>
    <w:rsid w:val="266C7101"/>
    <w:rsid w:val="2B1E32D3"/>
    <w:rsid w:val="32CE1F7D"/>
    <w:rsid w:val="3A046BB2"/>
    <w:rsid w:val="3EFE38F2"/>
    <w:rsid w:val="41676AB4"/>
    <w:rsid w:val="42661C84"/>
    <w:rsid w:val="42756FAE"/>
    <w:rsid w:val="463252F0"/>
    <w:rsid w:val="491E3579"/>
    <w:rsid w:val="49D93674"/>
    <w:rsid w:val="4CB72466"/>
    <w:rsid w:val="4CFD78A0"/>
    <w:rsid w:val="527A3CA0"/>
    <w:rsid w:val="52C6283F"/>
    <w:rsid w:val="5676816E"/>
    <w:rsid w:val="5BFD0BF8"/>
    <w:rsid w:val="5DFF40AC"/>
    <w:rsid w:val="61B85484"/>
    <w:rsid w:val="64971EFA"/>
    <w:rsid w:val="64DB004D"/>
    <w:rsid w:val="67A7376D"/>
    <w:rsid w:val="6F842B01"/>
    <w:rsid w:val="726C367A"/>
    <w:rsid w:val="753615C7"/>
    <w:rsid w:val="78A555BE"/>
    <w:rsid w:val="7A894274"/>
    <w:rsid w:val="7AFB30D6"/>
    <w:rsid w:val="7C2F3C50"/>
    <w:rsid w:val="7E80524A"/>
    <w:rsid w:val="7F890D57"/>
    <w:rsid w:val="F7EDD5FA"/>
    <w:rsid w:val="FAECCA5A"/>
    <w:rsid w:val="FB3FA0E7"/>
    <w:rsid w:val="FDFB433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link w:val="24"/>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3"/>
    <w:unhideWhenUsed/>
    <w:qFormat/>
    <w:locked/>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0"/>
    <w:unhideWhenUsed/>
    <w:qFormat/>
    <w:uiPriority w:val="0"/>
    <w:pPr>
      <w:ind w:firstLine="420" w:firstLineChars="100"/>
    </w:pPr>
    <w:rPr>
      <w:rFonts w:ascii="Times New Roman" w:hAnsi="Times New Roman"/>
      <w:szCs w:val="24"/>
    </w:rPr>
  </w:style>
  <w:style w:type="paragraph" w:styleId="3">
    <w:name w:val="Body Text"/>
    <w:basedOn w:val="1"/>
    <w:next w:val="4"/>
    <w:link w:val="39"/>
    <w:semiHidden/>
    <w:unhideWhenUsed/>
    <w:qFormat/>
    <w:uiPriority w:val="99"/>
    <w:pPr>
      <w:spacing w:after="120"/>
    </w:pPr>
  </w:style>
  <w:style w:type="paragraph" w:customStyle="1" w:styleId="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7">
    <w:name w:val="annotation text"/>
    <w:basedOn w:val="1"/>
    <w:link w:val="36"/>
    <w:semiHidden/>
    <w:unhideWhenUsed/>
    <w:qFormat/>
    <w:uiPriority w:val="99"/>
    <w:pPr>
      <w:jc w:val="left"/>
    </w:pPr>
  </w:style>
  <w:style w:type="paragraph" w:styleId="8">
    <w:name w:val="Balloon Text"/>
    <w:basedOn w:val="1"/>
    <w:link w:val="34"/>
    <w:semiHidden/>
    <w:unhideWhenUsed/>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31"/>
    <w:qFormat/>
    <w:uiPriority w:val="0"/>
    <w:pPr>
      <w:spacing w:before="240" w:after="60" w:line="312" w:lineRule="auto"/>
      <w:jc w:val="center"/>
      <w:outlineLvl w:val="1"/>
    </w:pPr>
    <w:rPr>
      <w:rFonts w:ascii="Cambria" w:hAnsi="Cambria"/>
      <w:b/>
      <w:bCs/>
      <w:kern w:val="28"/>
      <w:sz w:val="32"/>
      <w:szCs w:val="32"/>
    </w:rPr>
  </w:style>
  <w:style w:type="paragraph" w:styleId="12">
    <w:name w:val="footnote text"/>
    <w:basedOn w:val="1"/>
    <w:link w:val="27"/>
    <w:semiHidden/>
    <w:qFormat/>
    <w:uiPriority w:val="99"/>
    <w:pPr>
      <w:snapToGrid w:val="0"/>
      <w:jc w:val="left"/>
    </w:pPr>
    <w:rPr>
      <w:sz w:val="18"/>
      <w:szCs w:val="18"/>
    </w:rPr>
  </w:style>
  <w:style w:type="paragraph" w:styleId="13">
    <w:name w:val="HTML Preformatted"/>
    <w:basedOn w:val="1"/>
    <w:link w:val="3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4">
    <w:name w:val="Normal (Web)"/>
    <w:basedOn w:val="1"/>
    <w:qFormat/>
    <w:uiPriority w:val="99"/>
    <w:pPr>
      <w:widowControl/>
      <w:jc w:val="center"/>
    </w:pPr>
    <w:rPr>
      <w:rFonts w:ascii="仿宋_GB2312" w:hAnsi="仿宋_GB2312" w:eastAsia="仿宋_GB2312" w:cs="仿宋_GB2312"/>
      <w:kern w:val="0"/>
      <w:szCs w:val="21"/>
    </w:rPr>
  </w:style>
  <w:style w:type="paragraph" w:styleId="15">
    <w:name w:val="annotation subject"/>
    <w:basedOn w:val="7"/>
    <w:next w:val="7"/>
    <w:link w:val="37"/>
    <w:semiHidden/>
    <w:unhideWhenUsed/>
    <w:qFormat/>
    <w:uiPriority w:val="99"/>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locked/>
    <w:uiPriority w:val="0"/>
    <w:rPr>
      <w:rFonts w:ascii="仿宋_GB2312" w:hAnsi="黑体" w:eastAsia="仿宋_GB2312" w:cs="宋体"/>
      <w:kern w:val="0"/>
      <w:sz w:val="28"/>
      <w:szCs w:val="28"/>
    </w:rPr>
  </w:style>
  <w:style w:type="character" w:styleId="20">
    <w:name w:val="Hyperlink"/>
    <w:basedOn w:val="18"/>
    <w:qFormat/>
    <w:uiPriority w:val="99"/>
    <w:rPr>
      <w:rFonts w:cs="Times New Roman"/>
      <w:color w:val="0000FF"/>
      <w:u w:val="single"/>
    </w:rPr>
  </w:style>
  <w:style w:type="character" w:styleId="21">
    <w:name w:val="annotation reference"/>
    <w:basedOn w:val="18"/>
    <w:semiHidden/>
    <w:unhideWhenUsed/>
    <w:qFormat/>
    <w:uiPriority w:val="99"/>
    <w:rPr>
      <w:sz w:val="21"/>
      <w:szCs w:val="21"/>
    </w:rPr>
  </w:style>
  <w:style w:type="character" w:styleId="22">
    <w:name w:val="footnote reference"/>
    <w:basedOn w:val="18"/>
    <w:semiHidden/>
    <w:qFormat/>
    <w:uiPriority w:val="99"/>
    <w:rPr>
      <w:rFonts w:cs="Times New Roman"/>
      <w:vertAlign w:val="superscript"/>
    </w:rPr>
  </w:style>
  <w:style w:type="character" w:customStyle="1" w:styleId="23">
    <w:name w:val="标题 3 字符"/>
    <w:basedOn w:val="18"/>
    <w:link w:val="6"/>
    <w:qFormat/>
    <w:uiPriority w:val="9"/>
    <w:rPr>
      <w:rFonts w:ascii="Calibri" w:hAnsi="Calibri"/>
      <w:b/>
      <w:bCs/>
      <w:kern w:val="2"/>
      <w:sz w:val="32"/>
      <w:szCs w:val="32"/>
    </w:rPr>
  </w:style>
  <w:style w:type="character" w:customStyle="1" w:styleId="24">
    <w:name w:val="标题 2 字符"/>
    <w:basedOn w:val="18"/>
    <w:link w:val="5"/>
    <w:qFormat/>
    <w:locked/>
    <w:uiPriority w:val="99"/>
    <w:rPr>
      <w:rFonts w:ascii="Arial" w:hAnsi="Arial" w:eastAsia="黑体" w:cs="Times New Roman"/>
      <w:b/>
      <w:kern w:val="2"/>
      <w:sz w:val="32"/>
    </w:rPr>
  </w:style>
  <w:style w:type="character" w:customStyle="1" w:styleId="25">
    <w:name w:val="页眉 字符"/>
    <w:basedOn w:val="18"/>
    <w:link w:val="10"/>
    <w:semiHidden/>
    <w:qFormat/>
    <w:locked/>
    <w:uiPriority w:val="99"/>
    <w:rPr>
      <w:rFonts w:ascii="Calibri" w:hAnsi="Calibri" w:cs="Times New Roman"/>
      <w:sz w:val="18"/>
      <w:szCs w:val="18"/>
    </w:rPr>
  </w:style>
  <w:style w:type="character" w:customStyle="1" w:styleId="26">
    <w:name w:val="页脚 字符"/>
    <w:basedOn w:val="18"/>
    <w:link w:val="9"/>
    <w:qFormat/>
    <w:locked/>
    <w:uiPriority w:val="99"/>
    <w:rPr>
      <w:rFonts w:ascii="Calibri" w:hAnsi="Calibri" w:cs="Times New Roman"/>
      <w:sz w:val="18"/>
      <w:szCs w:val="18"/>
    </w:rPr>
  </w:style>
  <w:style w:type="character" w:customStyle="1" w:styleId="27">
    <w:name w:val="脚注文本 字符"/>
    <w:basedOn w:val="18"/>
    <w:link w:val="12"/>
    <w:semiHidden/>
    <w:qFormat/>
    <w:locked/>
    <w:uiPriority w:val="99"/>
    <w:rPr>
      <w:rFonts w:ascii="Calibri" w:hAnsi="Calibri" w:eastAsia="宋体" w:cs="Times New Roman"/>
      <w:kern w:val="2"/>
      <w:sz w:val="18"/>
    </w:rPr>
  </w:style>
  <w:style w:type="paragraph" w:styleId="28">
    <w:name w:val="List Paragraph"/>
    <w:basedOn w:val="1"/>
    <w:link w:val="41"/>
    <w:qFormat/>
    <w:uiPriority w:val="34"/>
    <w:pPr>
      <w:ind w:firstLine="420" w:firstLineChars="200"/>
    </w:pPr>
    <w:rPr>
      <w:rFonts w:ascii="Times New Roman" w:hAnsi="Times New Roman"/>
      <w:szCs w:val="24"/>
    </w:rPr>
  </w:style>
  <w:style w:type="character" w:customStyle="1" w:styleId="29">
    <w:name w:val="apple-style-span"/>
    <w:qFormat/>
    <w:uiPriority w:val="99"/>
  </w:style>
  <w:style w:type="character" w:customStyle="1" w:styleId="30">
    <w:name w:val="HTML 预设格式 字符"/>
    <w:basedOn w:val="18"/>
    <w:link w:val="13"/>
    <w:qFormat/>
    <w:locked/>
    <w:uiPriority w:val="99"/>
    <w:rPr>
      <w:rFonts w:ascii="宋体" w:eastAsia="宋体" w:cs="Times New Roman"/>
      <w:sz w:val="24"/>
    </w:rPr>
  </w:style>
  <w:style w:type="character" w:customStyle="1" w:styleId="31">
    <w:name w:val="副标题 字符"/>
    <w:basedOn w:val="18"/>
    <w:link w:val="11"/>
    <w:qFormat/>
    <w:locked/>
    <w:uiPriority w:val="0"/>
    <w:rPr>
      <w:rFonts w:ascii="Cambria" w:hAnsi="Cambria" w:cs="Times New Roman"/>
      <w:b/>
      <w:kern w:val="28"/>
      <w:sz w:val="32"/>
    </w:rPr>
  </w:style>
  <w:style w:type="character" w:customStyle="1" w:styleId="32">
    <w:name w:val="apple-converted-space"/>
    <w:basedOn w:val="18"/>
    <w:qFormat/>
    <w:uiPriority w:val="99"/>
    <w:rPr>
      <w:rFonts w:cs="Times New Roman"/>
    </w:rPr>
  </w:style>
  <w:style w:type="paragraph" w:customStyle="1" w:styleId="33">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4">
    <w:name w:val="批注框文本 字符"/>
    <w:basedOn w:val="18"/>
    <w:link w:val="8"/>
    <w:semiHidden/>
    <w:qFormat/>
    <w:uiPriority w:val="99"/>
    <w:rPr>
      <w:rFonts w:ascii="Calibri" w:hAnsi="Calibri"/>
      <w:kern w:val="2"/>
      <w:sz w:val="18"/>
      <w:szCs w:val="18"/>
    </w:rPr>
  </w:style>
  <w:style w:type="character" w:styleId="35">
    <w:name w:val="Placeholder Text"/>
    <w:basedOn w:val="18"/>
    <w:semiHidden/>
    <w:qFormat/>
    <w:uiPriority w:val="99"/>
    <w:rPr>
      <w:color w:val="808080"/>
    </w:rPr>
  </w:style>
  <w:style w:type="character" w:customStyle="1" w:styleId="36">
    <w:name w:val="批注文字 字符"/>
    <w:basedOn w:val="18"/>
    <w:link w:val="7"/>
    <w:semiHidden/>
    <w:qFormat/>
    <w:uiPriority w:val="99"/>
    <w:rPr>
      <w:rFonts w:ascii="Calibri" w:hAnsi="Calibri"/>
      <w:kern w:val="2"/>
      <w:sz w:val="21"/>
      <w:szCs w:val="22"/>
    </w:rPr>
  </w:style>
  <w:style w:type="character" w:customStyle="1" w:styleId="37">
    <w:name w:val="批注主题 字符"/>
    <w:basedOn w:val="36"/>
    <w:link w:val="15"/>
    <w:semiHidden/>
    <w:qFormat/>
    <w:uiPriority w:val="99"/>
    <w:rPr>
      <w:rFonts w:ascii="Calibri" w:hAnsi="Calibri"/>
      <w:b/>
      <w:bCs/>
      <w:kern w:val="2"/>
      <w:sz w:val="21"/>
      <w:szCs w:val="22"/>
    </w:rPr>
  </w:style>
  <w:style w:type="paragraph" w:customStyle="1" w:styleId="38">
    <w:name w:val="彩色列表 - 强调文字颜色 11"/>
    <w:basedOn w:val="1"/>
    <w:qFormat/>
    <w:uiPriority w:val="0"/>
    <w:pPr>
      <w:ind w:firstLine="420" w:firstLineChars="200"/>
    </w:pPr>
    <w:rPr>
      <w:rFonts w:ascii="Times New Roman" w:hAnsi="Times New Roman"/>
      <w:sz w:val="28"/>
      <w:szCs w:val="28"/>
    </w:rPr>
  </w:style>
  <w:style w:type="character" w:customStyle="1" w:styleId="39">
    <w:name w:val="正文文本 字符"/>
    <w:basedOn w:val="18"/>
    <w:link w:val="3"/>
    <w:semiHidden/>
    <w:qFormat/>
    <w:uiPriority w:val="99"/>
    <w:rPr>
      <w:rFonts w:ascii="Calibri" w:hAnsi="Calibri"/>
      <w:kern w:val="2"/>
      <w:sz w:val="21"/>
      <w:szCs w:val="22"/>
    </w:rPr>
  </w:style>
  <w:style w:type="character" w:customStyle="1" w:styleId="40">
    <w:name w:val="正文文本首行缩进 字符"/>
    <w:basedOn w:val="39"/>
    <w:link w:val="2"/>
    <w:qFormat/>
    <w:uiPriority w:val="0"/>
    <w:rPr>
      <w:rFonts w:ascii="Calibri" w:hAnsi="Calibri"/>
      <w:kern w:val="2"/>
      <w:sz w:val="21"/>
      <w:szCs w:val="24"/>
    </w:rPr>
  </w:style>
  <w:style w:type="character" w:customStyle="1" w:styleId="41">
    <w:name w:val="列表段落 字符"/>
    <w:link w:val="28"/>
    <w:qFormat/>
    <w:uiPriority w:val="34"/>
    <w:rPr>
      <w:kern w:val="2"/>
      <w:sz w:val="21"/>
      <w:szCs w:val="24"/>
    </w:rPr>
  </w:style>
  <w:style w:type="paragraph" w:customStyle="1" w:styleId="42">
    <w:name w:val="修订1"/>
    <w:hidden/>
    <w:semiHidden/>
    <w:qFormat/>
    <w:uiPriority w:val="99"/>
    <w:rPr>
      <w:rFonts w:ascii="Calibri" w:hAnsi="Calibri" w:eastAsia="宋体" w:cs="Times New Roman"/>
      <w:kern w:val="2"/>
      <w:sz w:val="21"/>
      <w:szCs w:val="22"/>
      <w:lang w:val="en-US" w:eastAsia="zh-CN" w:bidi="ar-SA"/>
    </w:rPr>
  </w:style>
  <w:style w:type="paragraph" w:customStyle="1" w:styleId="43">
    <w:name w:val="修订2"/>
    <w:hidden/>
    <w:unhideWhenUsed/>
    <w:qFormat/>
    <w:uiPriority w:val="99"/>
    <w:rPr>
      <w:rFonts w:ascii="Calibri" w:hAnsi="Calibri" w:eastAsia="宋体" w:cs="Times New Roman"/>
      <w:kern w:val="2"/>
      <w:sz w:val="21"/>
      <w:szCs w:val="22"/>
      <w:lang w:val="en-US" w:eastAsia="zh-CN" w:bidi="ar-SA"/>
    </w:rPr>
  </w:style>
  <w:style w:type="paragraph" w:customStyle="1" w:styleId="4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27</Pages>
  <Words>11706</Words>
  <Characters>12767</Characters>
  <Lines>96</Lines>
  <Paragraphs>27</Paragraphs>
  <TotalTime>7</TotalTime>
  <ScaleCrop>false</ScaleCrop>
  <LinksUpToDate>false</LinksUpToDate>
  <CharactersWithSpaces>12803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2024-11-19T01:59:00Z</dcterms:created>
  <dc:creator>Administrator</dc:creator>
  <cp:lastModifiedBy>uos</cp:lastModifiedBy>
  <cp:lastPrinted>2021-10-11T05:27:00Z</cp:lastPrinted>
  <dcterms:modified xsi:type="dcterms:W3CDTF">2024-12-09T17:49:14Z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50A551D7EC8945D9860CCAA462BA1319_13</vt:lpwstr>
  </property>
</Properties>
</file>