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jc w:val="center"/>
        <w:rPr>
          <w:rFonts w:hint="eastAsia" w:ascii="方正小标宋简体" w:hAnsi="方正小标宋简体" w:eastAsia="方正小标宋简体" w:cs="方正小标宋简体"/>
          <w:bCs/>
          <w:spacing w:val="-11"/>
          <w:kern w:val="0"/>
          <w:sz w:val="44"/>
          <w:szCs w:val="44"/>
        </w:rPr>
      </w:pPr>
      <w:r>
        <w:rPr>
          <w:rFonts w:hint="eastAsia" w:ascii="方正小标宋简体" w:hAnsi="方正小标宋简体" w:eastAsia="方正小标宋简体" w:cs="方正小标宋简体"/>
          <w:bCs/>
          <w:spacing w:val="-11"/>
          <w:kern w:val="0"/>
          <w:sz w:val="44"/>
          <w:szCs w:val="44"/>
        </w:rPr>
        <w:t>202</w:t>
      </w:r>
      <w:bookmarkStart w:id="0" w:name="_Hlk84327361"/>
      <w:r>
        <w:rPr>
          <w:rFonts w:hint="eastAsia" w:ascii="方正小标宋简体" w:hAnsi="方正小标宋简体" w:eastAsia="方正小标宋简体" w:cs="方正小标宋简体"/>
          <w:bCs/>
          <w:spacing w:val="-11"/>
          <w:kern w:val="0"/>
          <w:sz w:val="44"/>
          <w:szCs w:val="44"/>
        </w:rPr>
        <w:t>3年全</w:t>
      </w:r>
      <w:bookmarkStart w:id="4" w:name="_GoBack"/>
      <w:bookmarkEnd w:id="4"/>
      <w:r>
        <w:rPr>
          <w:rFonts w:hint="eastAsia" w:ascii="方正小标宋简体" w:hAnsi="方正小标宋简体" w:eastAsia="方正小标宋简体" w:cs="方正小标宋简体"/>
          <w:bCs/>
          <w:spacing w:val="-11"/>
          <w:kern w:val="0"/>
          <w:sz w:val="44"/>
          <w:szCs w:val="44"/>
        </w:rPr>
        <w:t>国职业院校技能大赛高职组河南省选拔赛</w:t>
      </w:r>
    </w:p>
    <w:bookmarkEnd w:id="0"/>
    <w:p>
      <w:pPr>
        <w:widowControl/>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kern w:val="0"/>
          <w:sz w:val="44"/>
          <w:szCs w:val="44"/>
        </w:rPr>
        <w:t>应用软件系统开发</w:t>
      </w:r>
      <w:r>
        <w:rPr>
          <w:rFonts w:hint="eastAsia" w:ascii="方正小标宋简体" w:hAnsi="方正小标宋简体" w:eastAsia="方正小标宋简体" w:cs="方正小标宋简体"/>
          <w:bCs/>
          <w:kern w:val="0"/>
          <w:sz w:val="44"/>
          <w:szCs w:val="44"/>
        </w:rPr>
        <w:t>赛项竞赛方案</w:t>
      </w:r>
    </w:p>
    <w:p>
      <w:pPr>
        <w:pStyle w:val="2"/>
        <w:rPr>
          <w:rFonts w:hint="eastAsia"/>
        </w:rPr>
      </w:pPr>
    </w:p>
    <w:p>
      <w:pPr>
        <w:spacing w:line="560" w:lineRule="exact"/>
        <w:ind w:firstLine="640" w:firstLineChars="200"/>
        <w:rPr>
          <w:rFonts w:ascii="黑体" w:hAnsi="黑体" w:eastAsia="黑体"/>
          <w:bCs/>
          <w:color w:val="0D0D0D"/>
          <w:sz w:val="32"/>
          <w:szCs w:val="32"/>
        </w:rPr>
      </w:pPr>
      <w:r>
        <w:rPr>
          <w:rFonts w:hint="eastAsia" w:ascii="黑体" w:hAnsi="黑体" w:eastAsia="黑体"/>
          <w:bCs/>
          <w:color w:val="0D0D0D"/>
          <w:sz w:val="32"/>
          <w:szCs w:val="32"/>
        </w:rPr>
        <w:t>一、赛项名称</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赛项名称：应用软件系统开发</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赛项组别：高职组</w:t>
      </w:r>
    </w:p>
    <w:p>
      <w:pPr>
        <w:spacing w:line="560" w:lineRule="exact"/>
        <w:ind w:firstLine="600" w:firstLineChars="200"/>
        <w:rPr>
          <w:rFonts w:hint="eastAsia" w:ascii="仿宋_GB2312" w:hAnsi="仿宋" w:eastAsia="仿宋_GB2312"/>
          <w:sz w:val="30"/>
          <w:szCs w:val="30"/>
        </w:rPr>
      </w:pPr>
      <w:bookmarkStart w:id="1" w:name="_Hlk127953531"/>
      <w:r>
        <w:rPr>
          <w:rFonts w:hint="eastAsia" w:ascii="仿宋_GB2312" w:hAnsi="仿宋" w:eastAsia="仿宋_GB2312"/>
          <w:sz w:val="30"/>
          <w:szCs w:val="30"/>
        </w:rPr>
        <w:t>竞赛形式：团体赛</w:t>
      </w:r>
    </w:p>
    <w:bookmarkEnd w:id="1"/>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赛项归属专业大类：电子信息大类</w:t>
      </w:r>
    </w:p>
    <w:p>
      <w:pPr>
        <w:adjustRightInd w:val="0"/>
        <w:snapToGrid w:val="0"/>
        <w:spacing w:line="560" w:lineRule="exact"/>
        <w:ind w:firstLine="600" w:firstLineChars="200"/>
        <w:jc w:val="left"/>
        <w:rPr>
          <w:rFonts w:hint="eastAsia" w:ascii="仿宋_GB2312" w:hAnsi="仿宋" w:eastAsia="仿宋_GB2312"/>
          <w:sz w:val="30"/>
          <w:szCs w:val="30"/>
        </w:rPr>
      </w:pPr>
      <w:bookmarkStart w:id="2" w:name="_Hlk127953566"/>
      <w:r>
        <w:rPr>
          <w:rFonts w:hint="eastAsia" w:ascii="仿宋_GB2312" w:hAnsi="仿宋_GB2312" w:eastAsia="仿宋_GB2312" w:cs="仿宋_GB2312"/>
          <w:sz w:val="30"/>
          <w:szCs w:val="30"/>
        </w:rPr>
        <w:t>主办单位：河南省教育厅</w:t>
      </w:r>
    </w:p>
    <w:bookmarkEnd w:id="2"/>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承办单位：黄河水利职业技术学院</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报到及住宿地点：另行通知</w:t>
      </w:r>
    </w:p>
    <w:p>
      <w:pPr>
        <w:spacing w:line="560" w:lineRule="exact"/>
        <w:ind w:firstLine="640" w:firstLineChars="200"/>
        <w:rPr>
          <w:rFonts w:hint="eastAsia" w:ascii="黑体" w:hAnsi="黑体" w:eastAsia="黑体"/>
          <w:bCs/>
          <w:color w:val="0D0D0D"/>
          <w:sz w:val="32"/>
          <w:szCs w:val="32"/>
        </w:rPr>
      </w:pPr>
      <w:r>
        <w:rPr>
          <w:rFonts w:hint="eastAsia" w:ascii="黑体" w:hAnsi="黑体" w:eastAsia="黑体"/>
          <w:bCs/>
          <w:color w:val="0D0D0D"/>
          <w:sz w:val="32"/>
          <w:szCs w:val="32"/>
        </w:rPr>
        <w:t>二、竞赛目的</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赛项旨在落实国家软件发展战略，深化产教融合，协同推动软件行业创新与发展，赋能经济社会和现代职业教育高质量发展。对接软件工程领域当前的新技术、新业态、新模式、新要求，通过大赛让参赛选手掌握一个真实企业应用软件系统的开发流程和实现过程；培养选手在企业真实项目环境下进行数据库设计、简单算法分析和设计、软件设计和开发、软件部署测试和运维、软件项目文档编制等方面的能力，同时培养选手探究学习、终身学习和可持续发展的能力。赛项围绕软件行业相关岗位的实际需求和要求进行设计，通过大赛推动龙头、产教融合型等企业深度参与职业教育的人才培养、科技创新、社会服务、就业创业等各个环节；检验职业院校教学水平，引领专业建设和“三教”改革，促进“岗课赛证”协同育人，营造崇尚技能的社会氛围；强化赛后资源转化，将竞赛成果转化为教材、课程和实训项目等资源，融入教学、服务教学，为国家发展战略提供软件工程领域高素质技术技能人才。</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三、参赛资格</w:t>
      </w:r>
    </w:p>
    <w:p>
      <w:pPr>
        <w:spacing w:line="560" w:lineRule="exact"/>
        <w:ind w:firstLine="600" w:firstLineChars="200"/>
        <w:rPr>
          <w:rFonts w:hint="eastAsia" w:ascii="仿宋_GB2312" w:eastAsia="仿宋_GB2312"/>
          <w:sz w:val="30"/>
          <w:szCs w:val="30"/>
          <w:lang w:eastAsia="zh-TW"/>
        </w:rPr>
      </w:pPr>
      <w:r>
        <w:rPr>
          <w:rFonts w:hint="eastAsia" w:ascii="仿宋_GB2312" w:eastAsia="仿宋_GB2312"/>
          <w:sz w:val="30"/>
          <w:szCs w:val="30"/>
          <w:lang w:eastAsia="zh-TW"/>
        </w:rPr>
        <w:t>1.参考2023年国赛赛项规程要求，本次竞赛为团体赛。以学校为单位组队参赛，每校限报1个代表队。</w:t>
      </w:r>
    </w:p>
    <w:p>
      <w:pPr>
        <w:spacing w:line="560" w:lineRule="exact"/>
        <w:ind w:firstLine="600" w:firstLineChars="200"/>
        <w:rPr>
          <w:rFonts w:hint="eastAsia" w:ascii="仿宋_GB2312" w:eastAsia="仿宋_GB2312"/>
          <w:sz w:val="30"/>
          <w:szCs w:val="30"/>
          <w:lang w:eastAsia="zh-TW"/>
        </w:rPr>
      </w:pPr>
      <w:r>
        <w:rPr>
          <w:rFonts w:hint="eastAsia" w:ascii="仿宋_GB2312" w:eastAsia="仿宋_GB2312"/>
          <w:sz w:val="30"/>
          <w:szCs w:val="30"/>
          <w:lang w:eastAsia="zh-TW"/>
        </w:rPr>
        <w:t>2.参赛选手须为2023年在籍全日制高职学生，指导老师和学生须为同校在籍。</w:t>
      </w:r>
    </w:p>
    <w:p>
      <w:pPr>
        <w:spacing w:line="560" w:lineRule="exact"/>
        <w:ind w:firstLine="600" w:firstLineChars="200"/>
        <w:rPr>
          <w:rFonts w:hint="eastAsia" w:ascii="仿宋_GB2312" w:eastAsia="仿宋_GB2312"/>
          <w:sz w:val="30"/>
          <w:szCs w:val="30"/>
          <w:lang w:eastAsia="zh-TW"/>
        </w:rPr>
      </w:pPr>
      <w:r>
        <w:rPr>
          <w:rFonts w:hint="eastAsia" w:ascii="仿宋_GB2312" w:eastAsia="仿宋_GB2312"/>
          <w:sz w:val="30"/>
          <w:szCs w:val="30"/>
          <w:lang w:eastAsia="zh-TW"/>
        </w:rPr>
        <w:t>3.往届获得此赛项国赛一等奖的选手，不得再报名参加比赛。</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四、参赛报名</w:t>
      </w:r>
    </w:p>
    <w:p>
      <w:pPr>
        <w:spacing w:line="560" w:lineRule="exact"/>
        <w:ind w:firstLine="600" w:firstLineChars="200"/>
        <w:rPr>
          <w:rFonts w:hint="eastAsia" w:ascii="仿宋_GB2312" w:eastAsia="仿宋_GB2312"/>
          <w:sz w:val="30"/>
          <w:szCs w:val="30"/>
          <w:lang w:eastAsia="zh-TW"/>
        </w:rPr>
      </w:pPr>
      <w:r>
        <w:rPr>
          <w:rFonts w:hint="eastAsia" w:ascii="仿宋_GB2312" w:eastAsia="仿宋_GB2312"/>
          <w:sz w:val="30"/>
          <w:szCs w:val="30"/>
          <w:lang w:eastAsia="zh-TW"/>
        </w:rPr>
        <w:t>1.参赛院校须于</w:t>
      </w:r>
      <w:r>
        <w:rPr>
          <w:rFonts w:hint="eastAsia" w:ascii="仿宋_GB2312" w:eastAsia="仿宋_GB2312"/>
          <w:sz w:val="30"/>
          <w:szCs w:val="30"/>
        </w:rPr>
        <w:t>5</w:t>
      </w:r>
      <w:r>
        <w:rPr>
          <w:rFonts w:hint="eastAsia" w:ascii="仿宋_GB2312" w:eastAsia="仿宋_GB2312"/>
          <w:sz w:val="30"/>
          <w:szCs w:val="30"/>
          <w:lang w:eastAsia="zh-TW"/>
        </w:rPr>
        <w:t>月</w:t>
      </w:r>
      <w:r>
        <w:rPr>
          <w:rFonts w:hint="eastAsia" w:ascii="仿宋_GB2312" w:eastAsia="仿宋_GB2312"/>
          <w:sz w:val="30"/>
          <w:szCs w:val="30"/>
        </w:rPr>
        <w:t>18</w:t>
      </w:r>
      <w:r>
        <w:rPr>
          <w:rFonts w:hint="eastAsia" w:ascii="仿宋_GB2312" w:eastAsia="仿宋_GB2312"/>
          <w:sz w:val="30"/>
          <w:szCs w:val="30"/>
          <w:lang w:eastAsia="zh-TW"/>
        </w:rPr>
        <w:t>日前登录河南省高职院校技能大赛报名系统（http://39.105.49.188/），按要求填报并提交参赛信息。</w:t>
      </w:r>
    </w:p>
    <w:p>
      <w:pPr>
        <w:spacing w:line="560" w:lineRule="exact"/>
        <w:ind w:firstLine="600" w:firstLineChars="200"/>
        <w:rPr>
          <w:rFonts w:eastAsia="仿宋_GB2312"/>
          <w:sz w:val="30"/>
          <w:szCs w:val="30"/>
        </w:rPr>
      </w:pPr>
      <w:r>
        <w:rPr>
          <w:rFonts w:hint="eastAsia" w:ascii="仿宋_GB2312" w:eastAsia="仿宋_GB2312"/>
          <w:sz w:val="30"/>
          <w:szCs w:val="30"/>
        </w:rPr>
        <w:t>2.各参赛校以学校为单位注册报名平台，专人负责报名工作。</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黄河水利职业技术学院）。纸质报名材料接收截止时间为5月20日，以邮戳时间为准。</w:t>
      </w:r>
    </w:p>
    <w:p>
      <w:pPr>
        <w:spacing w:line="560" w:lineRule="exact"/>
        <w:ind w:firstLine="600" w:firstLineChars="200"/>
        <w:rPr>
          <w:rFonts w:eastAsia="仿宋_GB2312"/>
          <w:sz w:val="30"/>
          <w:szCs w:val="30"/>
        </w:rPr>
      </w:pPr>
      <w:r>
        <w:rPr>
          <w:rFonts w:eastAsia="仿宋_GB2312"/>
          <w:sz w:val="30"/>
          <w:szCs w:val="30"/>
        </w:rPr>
        <w:t>邮寄地址：河南省</w:t>
      </w:r>
      <w:r>
        <w:rPr>
          <w:rFonts w:hint="eastAsia" w:eastAsia="仿宋_GB2312"/>
          <w:sz w:val="30"/>
          <w:szCs w:val="30"/>
        </w:rPr>
        <w:t>开封市东京大道1号黄河水利职业技术学院，联系人：张向丰，联系电话：15890951071</w:t>
      </w:r>
      <w:r>
        <w:rPr>
          <w:rFonts w:eastAsia="仿宋_GB2312"/>
          <w:sz w:val="30"/>
          <w:szCs w:val="30"/>
        </w:rPr>
        <w:t>。</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4.承办学校收到纸质报名材料，按参赛条件的要求认真审核参赛选手和指导教师资格，审核通过报名成功。</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五、竞赛日程</w:t>
      </w:r>
    </w:p>
    <w:p>
      <w:pPr>
        <w:spacing w:line="560" w:lineRule="exact"/>
        <w:ind w:firstLine="600" w:firstLineChars="200"/>
        <w:jc w:val="left"/>
        <w:rPr>
          <w:rFonts w:hint="eastAsia" w:ascii="仿宋_GB2312" w:hAnsi="仿宋" w:eastAsia="仿宋_GB2312"/>
          <w:sz w:val="30"/>
          <w:szCs w:val="30"/>
        </w:rPr>
      </w:pPr>
      <w:r>
        <w:rPr>
          <w:rFonts w:hint="eastAsia" w:ascii="仿宋_GB2312" w:hAnsi="仿宋" w:eastAsia="仿宋_GB2312"/>
          <w:sz w:val="30"/>
          <w:szCs w:val="30"/>
        </w:rPr>
        <w:t>202</w:t>
      </w:r>
      <w:r>
        <w:rPr>
          <w:rFonts w:ascii="仿宋_GB2312" w:hAnsi="仿宋" w:eastAsia="仿宋_GB2312"/>
          <w:sz w:val="30"/>
          <w:szCs w:val="30"/>
        </w:rPr>
        <w:t>3</w:t>
      </w:r>
      <w:r>
        <w:rPr>
          <w:rFonts w:hint="eastAsia" w:ascii="仿宋_GB2312" w:hAnsi="仿宋" w:eastAsia="仿宋_GB2312"/>
          <w:sz w:val="30"/>
          <w:szCs w:val="30"/>
        </w:rPr>
        <w:t>年5月</w:t>
      </w:r>
      <w:r>
        <w:rPr>
          <w:rFonts w:ascii="仿宋_GB2312" w:hAnsi="仿宋" w:eastAsia="仿宋_GB2312"/>
          <w:sz w:val="30"/>
          <w:szCs w:val="30"/>
        </w:rPr>
        <w:t>25</w:t>
      </w:r>
      <w:r>
        <w:rPr>
          <w:rFonts w:hint="eastAsia" w:ascii="仿宋_GB2312" w:hAnsi="仿宋" w:eastAsia="仿宋_GB2312"/>
          <w:sz w:val="30"/>
          <w:szCs w:val="30"/>
        </w:rPr>
        <w:t>日报到，202</w:t>
      </w:r>
      <w:r>
        <w:rPr>
          <w:rFonts w:ascii="仿宋_GB2312" w:hAnsi="仿宋" w:eastAsia="仿宋_GB2312"/>
          <w:sz w:val="30"/>
          <w:szCs w:val="30"/>
        </w:rPr>
        <w:t>3</w:t>
      </w:r>
      <w:r>
        <w:rPr>
          <w:rFonts w:hint="eastAsia" w:ascii="仿宋_GB2312" w:hAnsi="仿宋" w:eastAsia="仿宋_GB2312"/>
          <w:sz w:val="30"/>
          <w:szCs w:val="30"/>
        </w:rPr>
        <w:t>年5月</w:t>
      </w:r>
      <w:r>
        <w:rPr>
          <w:rFonts w:ascii="仿宋_GB2312" w:hAnsi="仿宋" w:eastAsia="仿宋_GB2312"/>
          <w:sz w:val="30"/>
          <w:szCs w:val="30"/>
        </w:rPr>
        <w:t>26</w:t>
      </w:r>
      <w:r>
        <w:rPr>
          <w:rFonts w:hint="eastAsia" w:ascii="仿宋_GB2312" w:hAnsi="仿宋" w:eastAsia="仿宋_GB2312"/>
          <w:sz w:val="30"/>
          <w:szCs w:val="30"/>
        </w:rPr>
        <w:t>日为竞赛时间。竞赛地点为：黄河水利职业技术学院。（如有变动以《赛项指南》为准。）</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竞赛日程安排见下表。</w:t>
      </w:r>
    </w:p>
    <w:p>
      <w:pPr>
        <w:ind w:firstLine="281" w:firstLineChars="100"/>
        <w:jc w:val="center"/>
        <w:rPr>
          <w:rFonts w:hint="eastAsia" w:ascii="仿宋_GB2312" w:eastAsia="仿宋_GB2312"/>
          <w:b/>
          <w:color w:val="0D0D0D"/>
          <w:sz w:val="28"/>
          <w:szCs w:val="28"/>
        </w:rPr>
      </w:pPr>
      <w:r>
        <w:rPr>
          <w:rFonts w:hint="eastAsia" w:ascii="仿宋_GB2312" w:eastAsia="仿宋_GB2312"/>
          <w:b/>
          <w:color w:val="0D0D0D"/>
          <w:sz w:val="28"/>
          <w:szCs w:val="28"/>
        </w:rPr>
        <w:t>竞赛时间表（</w:t>
      </w:r>
      <w:bookmarkStart w:id="3" w:name="_Hlk67245347"/>
      <w:r>
        <w:rPr>
          <w:rFonts w:hint="eastAsia" w:ascii="仿宋_GB2312" w:eastAsia="仿宋_GB2312"/>
          <w:b/>
          <w:color w:val="0D0D0D"/>
          <w:sz w:val="28"/>
          <w:szCs w:val="28"/>
        </w:rPr>
        <w:t>具体时间安排以正式发布的竞赛指南为准</w:t>
      </w:r>
      <w:bookmarkEnd w:id="3"/>
      <w:r>
        <w:rPr>
          <w:rFonts w:hint="eastAsia" w:ascii="仿宋_GB2312" w:eastAsia="仿宋_GB2312"/>
          <w:b/>
          <w:color w:val="0D0D0D"/>
          <w:sz w:val="28"/>
          <w:szCs w:val="28"/>
        </w:rPr>
        <w:t>）</w:t>
      </w:r>
    </w:p>
    <w:tbl>
      <w:tblPr>
        <w:tblStyle w:val="15"/>
        <w:tblpPr w:leftFromText="180" w:rightFromText="180" w:vertAnchor="text" w:tblpXSpec="center" w:tblpY="1"/>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066"/>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44"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黑体" w:hAnsi="黑体" w:eastAsia="黑体" w:cs="黑体"/>
                <w:bCs/>
                <w:sz w:val="21"/>
                <w:szCs w:val="21"/>
              </w:rPr>
            </w:pPr>
            <w:r>
              <w:rPr>
                <w:rFonts w:hint="eastAsia" w:ascii="黑体" w:hAnsi="黑体" w:eastAsia="黑体" w:cs="黑体"/>
                <w:bCs/>
                <w:sz w:val="21"/>
                <w:szCs w:val="21"/>
              </w:rPr>
              <w:t>时  间</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黑体" w:hAnsi="黑体" w:eastAsia="黑体" w:cs="黑体"/>
                <w:bCs/>
                <w:sz w:val="21"/>
                <w:szCs w:val="21"/>
              </w:rPr>
            </w:pPr>
            <w:r>
              <w:rPr>
                <w:rFonts w:hint="eastAsia" w:ascii="黑体" w:hAnsi="黑体" w:eastAsia="黑体" w:cs="黑体"/>
                <w:bCs/>
                <w:sz w:val="21"/>
                <w:szCs w:val="21"/>
              </w:rPr>
              <w:t>赛 事 安 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pacing w:line="312"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5月25日</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下午15:00前</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报到、报名汇总表核验身份证、学生证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312" w:lineRule="auto"/>
              <w:jc w:val="center"/>
              <w:rPr>
                <w:rFonts w:hint="eastAsia" w:ascii="仿宋_GB2312" w:hAnsi="仿宋_GB2312" w:eastAsia="仿宋_GB2312" w:cs="仿宋_GB2312"/>
                <w:color w:val="000000"/>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下午15:00-15:30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领队会（领队）：赛事监督说明、裁判长技术答疑、抽取参赛队分组和组内抽签号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312" w:lineRule="auto"/>
              <w:jc w:val="center"/>
              <w:rPr>
                <w:rFonts w:hint="eastAsia" w:ascii="仿宋_GB2312" w:hAnsi="仿宋_GB2312" w:eastAsia="仿宋_GB2312" w:cs="仿宋_GB2312"/>
                <w:color w:val="000000"/>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下午16:00-16:30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参赛队观摩赛场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312" w:lineRule="auto"/>
              <w:jc w:val="center"/>
              <w:rPr>
                <w:rFonts w:hint="eastAsia" w:ascii="仿宋_GB2312" w:hAnsi="仿宋_GB2312" w:eastAsia="仿宋_GB2312" w:cs="仿宋_GB2312"/>
                <w:color w:val="000000"/>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下午16:30-17:00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裁判赛前检查、封闭赛场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tcMar>
              <w:top w:w="0" w:type="dxa"/>
              <w:left w:w="0" w:type="dxa"/>
              <w:bottom w:w="0" w:type="dxa"/>
              <w:right w:w="0" w:type="dxa"/>
            </w:tcMar>
            <w:vAlign w:val="center"/>
          </w:tcPr>
          <w:p>
            <w:pPr>
              <w:spacing w:line="312" w:lineRule="auto"/>
              <w:jc w:val="center"/>
              <w:rPr>
                <w:rFonts w:hint="eastAsia" w:ascii="仿宋_GB2312" w:hAnsi="仿宋_GB2312" w:eastAsia="仿宋_GB2312" w:cs="仿宋_GB2312"/>
                <w:color w:val="000000"/>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下午17:00-17:30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专家（裁判）培训会（全体裁判）：监考、评分规则分工培训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restart"/>
            <w:tcBorders>
              <w:left w:val="single" w:color="auto" w:sz="4" w:space="0"/>
              <w:right w:val="single" w:color="auto" w:sz="4" w:space="0"/>
            </w:tcBorders>
            <w:noWrap w:val="0"/>
            <w:tcMar>
              <w:top w:w="0" w:type="dxa"/>
              <w:left w:w="0" w:type="dxa"/>
              <w:bottom w:w="0" w:type="dxa"/>
              <w:right w:w="0" w:type="dxa"/>
            </w:tcMar>
            <w:vAlign w:val="center"/>
          </w:tcPr>
          <w:p>
            <w:pPr>
              <w:spacing w:line="312"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5月2</w:t>
            </w:r>
            <w:r>
              <w:rPr>
                <w:rFonts w:ascii="仿宋_GB2312" w:hAnsi="仿宋_GB2312" w:eastAsia="仿宋_GB2312" w:cs="仿宋_GB2312"/>
                <w:color w:val="000000"/>
                <w:sz w:val="21"/>
                <w:szCs w:val="21"/>
              </w:rPr>
              <w:t>6</w:t>
            </w:r>
            <w:r>
              <w:rPr>
                <w:rFonts w:hint="eastAsia" w:ascii="仿宋_GB2312" w:hAnsi="仿宋_GB2312" w:eastAsia="仿宋_GB2312" w:cs="仿宋_GB2312"/>
                <w:color w:val="000000"/>
                <w:sz w:val="21"/>
                <w:szCs w:val="21"/>
              </w:rPr>
              <w:t>日</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早7:30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现场裁判开启赛场及竞赛设备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cs="仿宋_GB2312"/>
                <w:color w:val="000000"/>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7:30-7:50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选手检录（参赛证、身份证原件）；</w:t>
            </w:r>
          </w:p>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一次加密：抽取队号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cs="仿宋_GB2312"/>
                <w:color w:val="000000"/>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7:50-08:20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二次加密：抽取工位号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cs="仿宋_GB2312"/>
                <w:color w:val="000000"/>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pStyle w:val="32"/>
              <w:snapToGrid w:val="0"/>
              <w:ind w:left="0"/>
              <w:jc w:val="center"/>
              <w:rPr>
                <w:rFonts w:ascii="仿宋_GB2312" w:hAnsi="仿宋_GB2312" w:eastAsia="仿宋_GB2312" w:cs="仿宋_GB2312"/>
                <w:color w:val="000000"/>
                <w:sz w:val="21"/>
                <w:szCs w:val="21"/>
                <w:lang w:val="en-US" w:bidi="ar-SA"/>
              </w:rPr>
            </w:pPr>
            <w:r>
              <w:rPr>
                <w:rFonts w:hint="eastAsia" w:ascii="仿宋_GB2312" w:hAnsi="仿宋_GB2312" w:eastAsia="仿宋_GB2312" w:cs="仿宋_GB2312"/>
                <w:color w:val="000000"/>
                <w:sz w:val="21"/>
                <w:szCs w:val="21"/>
                <w:lang w:val="en-US" w:bidi="ar-SA"/>
              </w:rPr>
              <w:t>08:20-08:30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pStyle w:val="32"/>
              <w:snapToGrid w:val="0"/>
              <w:spacing w:before="3"/>
              <w:ind w:left="106"/>
              <w:jc w:val="center"/>
              <w:rPr>
                <w:rFonts w:ascii="仿宋_GB2312" w:hAnsi="仿宋_GB2312" w:eastAsia="仿宋_GB2312" w:cs="仿宋_GB2312"/>
                <w:color w:val="000000"/>
                <w:sz w:val="21"/>
                <w:szCs w:val="21"/>
                <w:lang w:val="en-US" w:bidi="ar-SA"/>
              </w:rPr>
            </w:pPr>
            <w:r>
              <w:rPr>
                <w:rFonts w:hint="eastAsia" w:ascii="仿宋_GB2312" w:hAnsi="仿宋_GB2312" w:eastAsia="仿宋_GB2312" w:cs="仿宋_GB2312"/>
                <w:color w:val="000000"/>
                <w:sz w:val="21"/>
                <w:szCs w:val="21"/>
                <w:lang w:val="en-US" w:bidi="ar-SA"/>
              </w:rPr>
              <w:t>参赛队进入比赛工位，进行赛前设备、材料检查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8:30-</w:t>
            </w:r>
            <w:r>
              <w:rPr>
                <w:rFonts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rPr>
              <w:t>1:30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选手比赛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1</w:t>
            </w:r>
            <w:r>
              <w:rPr>
                <w:rFonts w:hint="eastAsia" w:ascii="仿宋_GB2312" w:hAnsi="仿宋_GB2312" w:eastAsia="仿宋_GB2312" w:cs="仿宋_GB2312"/>
                <w:color w:val="000000"/>
                <w:sz w:val="21"/>
                <w:szCs w:val="21"/>
              </w:rPr>
              <w:t>1:30-12:30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选手用餐休息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sz w:val="21"/>
                <w:szCs w:val="21"/>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12:30-15:30</w:t>
            </w:r>
          </w:p>
        </w:tc>
        <w:tc>
          <w:tcPr>
            <w:tcW w:w="5328"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选手</w:t>
            </w:r>
            <w:r>
              <w:rPr>
                <w:rFonts w:hint="eastAsia" w:ascii="仿宋_GB2312" w:hAnsi="仿宋_GB2312" w:eastAsia="仿宋_GB2312" w:cs="仿宋_GB2312"/>
                <w:color w:val="000000"/>
                <w:sz w:val="21"/>
                <w:szCs w:val="21"/>
              </w:rPr>
              <w:t>继续</w:t>
            </w:r>
            <w:r>
              <w:rPr>
                <w:rFonts w:ascii="仿宋_GB2312" w:hAnsi="仿宋_GB2312" w:eastAsia="仿宋_GB2312" w:cs="仿宋_GB2312"/>
                <w:color w:val="000000"/>
                <w:sz w:val="21"/>
                <w:szCs w:val="21"/>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b/>
                <w:sz w:val="21"/>
                <w:szCs w:val="21"/>
              </w:rPr>
            </w:pPr>
          </w:p>
        </w:tc>
        <w:tc>
          <w:tcPr>
            <w:tcW w:w="2066"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15:30-17:30</w:t>
            </w:r>
          </w:p>
        </w:tc>
        <w:tc>
          <w:tcPr>
            <w:tcW w:w="5328"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申诉受理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sz w:val="21"/>
                <w:szCs w:val="21"/>
              </w:rPr>
            </w:pPr>
          </w:p>
        </w:tc>
        <w:tc>
          <w:tcPr>
            <w:tcW w:w="2066"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15:3</w:t>
            </w:r>
            <w:r>
              <w:rPr>
                <w:rFonts w:ascii="仿宋_GB2312" w:hAnsi="仿宋_GB2312" w:eastAsia="仿宋_GB2312" w:cs="仿宋_GB2312"/>
                <w:color w:val="000000"/>
                <w:sz w:val="21"/>
                <w:szCs w:val="21"/>
              </w:rPr>
              <w:t>0-2</w:t>
            </w:r>
            <w:r>
              <w:rPr>
                <w:rFonts w:hint="eastAsia" w:ascii="仿宋_GB2312" w:hAnsi="仿宋_GB2312" w:eastAsia="仿宋_GB2312" w:cs="仿宋_GB2312"/>
                <w:color w:val="000000"/>
                <w:sz w:val="21"/>
                <w:szCs w:val="21"/>
              </w:rPr>
              <w:t>1:3</w:t>
            </w:r>
            <w:r>
              <w:rPr>
                <w:rFonts w:ascii="仿宋_GB2312" w:hAnsi="仿宋_GB2312" w:eastAsia="仿宋_GB2312" w:cs="仿宋_GB2312"/>
                <w:color w:val="000000"/>
                <w:sz w:val="21"/>
                <w:szCs w:val="21"/>
              </w:rPr>
              <w:t>0</w:t>
            </w:r>
          </w:p>
        </w:tc>
        <w:tc>
          <w:tcPr>
            <w:tcW w:w="5328"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成绩评定与复核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sz w:val="21"/>
                <w:szCs w:val="21"/>
              </w:rPr>
            </w:pPr>
          </w:p>
        </w:tc>
        <w:tc>
          <w:tcPr>
            <w:tcW w:w="2066"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rPr>
              <w:t>1:3</w:t>
            </w:r>
            <w:r>
              <w:rPr>
                <w:rFonts w:ascii="仿宋_GB2312" w:hAnsi="仿宋_GB2312" w:eastAsia="仿宋_GB2312" w:cs="仿宋_GB2312"/>
                <w:color w:val="000000"/>
                <w:sz w:val="21"/>
                <w:szCs w:val="21"/>
              </w:rPr>
              <w:t>0</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rPr>
              <w:t>2:0</w:t>
            </w:r>
            <w:r>
              <w:rPr>
                <w:rFonts w:ascii="仿宋_GB2312" w:hAnsi="仿宋_GB2312" w:eastAsia="仿宋_GB2312" w:cs="仿宋_GB2312"/>
                <w:color w:val="000000"/>
                <w:sz w:val="21"/>
                <w:szCs w:val="21"/>
              </w:rPr>
              <w:t>0</w:t>
            </w:r>
          </w:p>
        </w:tc>
        <w:tc>
          <w:tcPr>
            <w:tcW w:w="5328"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加密信息解密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Merge w:val="continue"/>
            <w:tcBorders>
              <w:left w:val="single" w:color="auto" w:sz="4" w:space="0"/>
              <w:right w:val="single" w:color="auto" w:sz="4" w:space="0"/>
            </w:tcBorders>
            <w:noWrap w:val="0"/>
            <w:vAlign w:val="center"/>
          </w:tcPr>
          <w:p>
            <w:pPr>
              <w:widowControl/>
              <w:spacing w:line="312" w:lineRule="auto"/>
              <w:jc w:val="left"/>
              <w:rPr>
                <w:rFonts w:ascii="仿宋_GB2312" w:hAnsi="仿宋_GB2312" w:eastAsia="仿宋_GB2312"/>
                <w:sz w:val="21"/>
                <w:szCs w:val="21"/>
              </w:rPr>
            </w:pPr>
          </w:p>
        </w:tc>
        <w:tc>
          <w:tcPr>
            <w:tcW w:w="2066"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2</w:t>
            </w:r>
            <w:r>
              <w:rPr>
                <w:rFonts w:hint="eastAsia" w:ascii="仿宋_GB2312" w:hAnsi="仿宋_GB2312" w:eastAsia="仿宋_GB2312" w:cs="仿宋_GB2312"/>
                <w:color w:val="000000"/>
                <w:sz w:val="21"/>
                <w:szCs w:val="21"/>
              </w:rPr>
              <w:t>2:0</w:t>
            </w:r>
            <w:r>
              <w:rPr>
                <w:rFonts w:ascii="仿宋_GB2312" w:hAnsi="仿宋_GB2312" w:eastAsia="仿宋_GB2312" w:cs="仿宋_GB2312"/>
                <w:color w:val="000000"/>
                <w:sz w:val="21"/>
                <w:szCs w:val="21"/>
              </w:rPr>
              <w:t>0</w:t>
            </w:r>
          </w:p>
        </w:tc>
        <w:tc>
          <w:tcPr>
            <w:tcW w:w="5328" w:type="dxa"/>
            <w:tcBorders>
              <w:left w:val="single" w:color="auto" w:sz="4" w:space="0"/>
              <w:right w:val="single" w:color="auto" w:sz="4" w:space="0"/>
            </w:tcBorders>
            <w:noWrap w:val="0"/>
            <w:vAlign w:val="center"/>
          </w:tcPr>
          <w:p>
            <w:pPr>
              <w:spacing w:line="312" w:lineRule="auto"/>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全部成绩汇总登录，裁判签字确认，公布成绩。</w:t>
            </w:r>
          </w:p>
        </w:tc>
      </w:tr>
    </w:tbl>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六、竞赛内容</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（一）选手需具备能力</w:t>
      </w:r>
    </w:p>
    <w:p>
      <w:pPr>
        <w:pStyle w:val="2"/>
        <w:spacing w:after="0" w:line="560" w:lineRule="exact"/>
        <w:ind w:firstLine="600" w:firstLineChars="200"/>
        <w:rPr>
          <w:rFonts w:ascii="仿宋_GB2312" w:hAnsi="仿宋" w:eastAsia="仿宋_GB2312"/>
          <w:sz w:val="30"/>
          <w:szCs w:val="30"/>
        </w:rPr>
      </w:pPr>
      <w:r>
        <w:rPr>
          <w:rFonts w:ascii="仿宋_GB2312" w:hAnsi="仿宋" w:eastAsia="仿宋_GB2312"/>
          <w:sz w:val="30"/>
          <w:szCs w:val="30"/>
        </w:rPr>
        <w:t>本赛项基于企业真实软件系统项目和工作模块，通过</w:t>
      </w:r>
      <w:r>
        <w:rPr>
          <w:rFonts w:hint="eastAsia" w:ascii="仿宋_GB2312" w:hAnsi="仿宋" w:eastAsia="仿宋_GB2312"/>
          <w:sz w:val="30"/>
          <w:szCs w:val="30"/>
        </w:rPr>
        <w:t>“</w:t>
      </w:r>
      <w:r>
        <w:rPr>
          <w:rFonts w:ascii="仿宋_GB2312" w:hAnsi="仿宋" w:eastAsia="仿宋_GB2312"/>
          <w:sz w:val="30"/>
          <w:szCs w:val="30"/>
        </w:rPr>
        <w:t>需求分析—系统原型设计—数据库设计—模块开发—系统部署—系统测试</w:t>
      </w:r>
      <w:r>
        <w:rPr>
          <w:rFonts w:hint="eastAsia" w:ascii="仿宋_GB2312" w:hAnsi="仿宋" w:eastAsia="仿宋_GB2312"/>
          <w:sz w:val="30"/>
          <w:szCs w:val="30"/>
        </w:rPr>
        <w:t>”</w:t>
      </w:r>
      <w:r>
        <w:rPr>
          <w:rFonts w:ascii="仿宋_GB2312" w:hAnsi="仿宋" w:eastAsia="仿宋_GB2312"/>
          <w:sz w:val="30"/>
          <w:szCs w:val="30"/>
        </w:rPr>
        <w:t>等软件系统开发典型工作任务，结合高职软件技术和计算机应用技术专业教学标准，充分考核企业岗位对学生职业技能的最新需求，在规定的时间内完成指定竞赛模块，主要考查参赛选手计算机信息处理技术、程序设计、操作系统等相关知识，应用软件系统数据库设计、简单算法分析和设计、前端页面和后端业务功能开发、数据采集与分析、系统部署测试与运维、软件项目文档编制等方面的能力，培养选手工作组织和团队协作能力、沟通和人际交往能力、解决问题能力以及致力于紧跟行业发展步伐的自我学习能力。</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（二）竞赛模块</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应用软件系统开发赛项基于企业真实项目，结合企业岗位技能需求，在1天时间（累计6小时）内，独立完成“竞赛内容”规定的竞赛模块。</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 xml:space="preserve"> </w:t>
      </w:r>
      <w:r>
        <w:rPr>
          <w:rFonts w:hint="eastAsia" w:ascii="仿宋_GB2312" w:hAnsi="仿宋" w:eastAsia="仿宋_GB2312"/>
          <w:sz w:val="30"/>
          <w:szCs w:val="30"/>
        </w:rPr>
        <w:t>竞赛内容</w:t>
      </w:r>
    </w:p>
    <w:p>
      <w:pPr>
        <w:spacing w:line="560" w:lineRule="exact"/>
        <w:ind w:firstLine="600" w:firstLineChars="200"/>
        <w:rPr>
          <w:rFonts w:hint="eastAsia"/>
        </w:rPr>
      </w:pPr>
      <w:r>
        <w:rPr>
          <w:rFonts w:ascii="仿宋_GB2312" w:hAnsi="仿宋" w:eastAsia="仿宋_GB2312"/>
          <w:sz w:val="30"/>
          <w:szCs w:val="30"/>
        </w:rPr>
        <w:t>竞赛内容以真实企业软件系统项目为载体，按照软件系统开发典型工作任务，设置“系统需求分析”“软件系统开发”和“系统部署测试”三个竞赛模块。</w:t>
      </w:r>
      <w:r>
        <w:rPr>
          <w:rFonts w:hint="eastAsia" w:ascii="仿宋_GB2312" w:hAnsi="仿宋" w:eastAsia="仿宋_GB2312"/>
          <w:sz w:val="30"/>
          <w:szCs w:val="30"/>
        </w:rPr>
        <w:t>详细内容如下表所示。</w:t>
      </w:r>
    </w:p>
    <w:tbl>
      <w:tblPr>
        <w:tblStyle w:val="15"/>
        <w:tblW w:w="852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1701"/>
        <w:gridCol w:w="1510"/>
        <w:gridCol w:w="1183"/>
        <w:gridCol w:w="1461"/>
        <w:gridCol w:w="12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84" w:type="dxa"/>
            <w:vMerge w:val="restart"/>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模块编号</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模块名称</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竞赛时间</w:t>
            </w:r>
          </w:p>
        </w:tc>
        <w:tc>
          <w:tcPr>
            <w:tcW w:w="3927" w:type="dxa"/>
            <w:gridSpan w:val="3"/>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分数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84"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p>
        </w:tc>
        <w:tc>
          <w:tcPr>
            <w:tcW w:w="118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评价分</w:t>
            </w:r>
          </w:p>
        </w:tc>
        <w:tc>
          <w:tcPr>
            <w:tcW w:w="1461"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测量分（%）</w:t>
            </w:r>
          </w:p>
        </w:tc>
        <w:tc>
          <w:tcPr>
            <w:tcW w:w="128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合计（%）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84" w:type="dxa"/>
            <w:tcBorders>
              <w:top w:val="single" w:color="auto" w:sz="4" w:space="0"/>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系统需求分析</w:t>
            </w:r>
          </w:p>
        </w:tc>
        <w:tc>
          <w:tcPr>
            <w:tcW w:w="1510" w:type="dxa"/>
            <w:vMerge w:val="restart"/>
            <w:tcBorders>
              <w:top w:val="single" w:color="auto" w:sz="4" w:space="0"/>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6小时</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84" w:type="dxa"/>
            <w:tcBorders>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软件系统开发</w:t>
            </w:r>
          </w:p>
        </w:tc>
        <w:tc>
          <w:tcPr>
            <w:tcW w:w="1510" w:type="dxa"/>
            <w:vMerge w:val="continue"/>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55</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384" w:type="dxa"/>
            <w:tcBorders>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系统部署测试</w:t>
            </w:r>
          </w:p>
        </w:tc>
        <w:tc>
          <w:tcPr>
            <w:tcW w:w="1510" w:type="dxa"/>
            <w:vMerge w:val="continue"/>
            <w:tcBorders>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239" w:type="dxa"/>
            <w:gridSpan w:val="5"/>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总计</w:t>
            </w:r>
          </w:p>
        </w:tc>
        <w:tc>
          <w:tcPr>
            <w:tcW w:w="128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keepNext/>
              <w:keepLines w:val="0"/>
              <w:pageBreakBefore w:val="0"/>
              <w:widowControl w:val="0"/>
              <w:kinsoku/>
              <w:wordWrap/>
              <w:overflowPunct/>
              <w:topLinePunct w:val="0"/>
              <w:autoSpaceDE/>
              <w:autoSpaceDN/>
              <w:bidi w:val="0"/>
              <w:adjustRightInd/>
              <w:snapToGrid/>
              <w:spacing w:line="312" w:lineRule="auto"/>
              <w:jc w:val="center"/>
              <w:textAlignment w:val="auto"/>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100</w:t>
            </w:r>
          </w:p>
        </w:tc>
      </w:tr>
    </w:tbl>
    <w:p>
      <w:pPr>
        <w:pStyle w:val="3"/>
        <w:keepNext/>
        <w:keepLines w:val="0"/>
        <w:pageBreakBefore w:val="0"/>
        <w:widowControl w:val="0"/>
        <w:kinsoku/>
        <w:wordWrap/>
        <w:overflowPunct/>
        <w:topLinePunct w:val="0"/>
        <w:autoSpaceDE/>
        <w:autoSpaceDN/>
        <w:bidi w:val="0"/>
        <w:adjustRightInd/>
        <w:snapToGrid/>
        <w:spacing w:before="1"/>
        <w:ind w:left="839" w:right="424"/>
        <w:textAlignment w:val="auto"/>
        <w:rPr>
          <w:rFonts w:hint="eastAsia" w:ascii="仿宋" w:hAnsi="仿宋" w:eastAsia="仿宋" w:cs="仿宋"/>
          <w:spacing w:val="-3"/>
        </w:rPr>
      </w:pPr>
      <w:r>
        <w:rPr>
          <w:rFonts w:hint="eastAsia" w:ascii="仿宋" w:hAnsi="仿宋" w:eastAsia="仿宋" w:cs="仿宋"/>
          <w:spacing w:val="-3"/>
        </w:rPr>
        <w:t>备注1：关于文档制作规范性由评分裁判评分，权重3%，每个模块1%。</w:t>
      </w:r>
    </w:p>
    <w:p>
      <w:pPr>
        <w:pStyle w:val="3"/>
        <w:keepNext/>
        <w:keepLines w:val="0"/>
        <w:pageBreakBefore w:val="0"/>
        <w:widowControl w:val="0"/>
        <w:kinsoku/>
        <w:wordWrap/>
        <w:overflowPunct/>
        <w:topLinePunct w:val="0"/>
        <w:autoSpaceDE/>
        <w:autoSpaceDN/>
        <w:bidi w:val="0"/>
        <w:adjustRightInd/>
        <w:snapToGrid/>
        <w:spacing w:before="1"/>
        <w:ind w:left="839" w:right="424"/>
        <w:textAlignment w:val="auto"/>
        <w:rPr>
          <w:rFonts w:ascii="仿宋" w:hAnsi="仿宋" w:eastAsia="仿宋" w:cs="仿宋"/>
          <w:sz w:val="18"/>
        </w:rPr>
      </w:pPr>
      <w:r>
        <w:rPr>
          <w:rFonts w:hint="eastAsia" w:ascii="仿宋" w:hAnsi="仿宋" w:eastAsia="仿宋" w:cs="仿宋"/>
          <w:spacing w:val="-3"/>
        </w:rPr>
        <w:t>备注2：关于最终赛题难度将由专家组讨论决定。</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 xml:space="preserve"> </w:t>
      </w:r>
      <w:r>
        <w:rPr>
          <w:rFonts w:hint="eastAsia" w:ascii="仿宋_GB2312" w:hAnsi="仿宋" w:eastAsia="仿宋_GB2312"/>
          <w:sz w:val="30"/>
          <w:szCs w:val="30"/>
        </w:rPr>
        <w:t>模块介绍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本次竞赛中各模块的基本内容如下所示。</w:t>
      </w:r>
    </w:p>
    <w:tbl>
      <w:tblPr>
        <w:tblStyle w:val="15"/>
        <w:tblW w:w="8675"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46"/>
        <w:gridCol w:w="1872"/>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34" w:type="dxa"/>
            <w:shd w:val="clear" w:color="auto" w:fill="F2F2F2"/>
            <w:noWrap w:val="0"/>
            <w:vAlign w:val="center"/>
          </w:tcPr>
          <w:p>
            <w:pPr>
              <w:spacing w:line="312"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日期</w:t>
            </w:r>
          </w:p>
        </w:tc>
        <w:tc>
          <w:tcPr>
            <w:tcW w:w="1446" w:type="dxa"/>
            <w:shd w:val="clear" w:color="auto" w:fill="F2F2F2"/>
            <w:noWrap w:val="0"/>
            <w:vAlign w:val="center"/>
          </w:tcPr>
          <w:p>
            <w:pPr>
              <w:spacing w:line="312"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模块编号</w:t>
            </w:r>
          </w:p>
        </w:tc>
        <w:tc>
          <w:tcPr>
            <w:tcW w:w="1872" w:type="dxa"/>
            <w:shd w:val="clear" w:color="auto" w:fill="F2F2F2"/>
            <w:noWrap w:val="0"/>
            <w:vAlign w:val="center"/>
          </w:tcPr>
          <w:p>
            <w:pPr>
              <w:spacing w:line="312"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模块名称</w:t>
            </w:r>
          </w:p>
        </w:tc>
        <w:tc>
          <w:tcPr>
            <w:tcW w:w="4223" w:type="dxa"/>
            <w:shd w:val="clear" w:color="auto" w:fill="F2F2F2"/>
            <w:noWrap w:val="0"/>
            <w:vAlign w:val="center"/>
          </w:tcPr>
          <w:p>
            <w:pPr>
              <w:spacing w:line="312"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34" w:type="dxa"/>
            <w:noWrap w:val="0"/>
            <w:vAlign w:val="center"/>
          </w:tcPr>
          <w:p>
            <w:pPr>
              <w:spacing w:line="312"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C1</w:t>
            </w:r>
          </w:p>
        </w:tc>
        <w:tc>
          <w:tcPr>
            <w:tcW w:w="1446" w:type="dxa"/>
            <w:noWrap w:val="0"/>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w:t>
            </w:r>
          </w:p>
        </w:tc>
        <w:tc>
          <w:tcPr>
            <w:tcW w:w="1872" w:type="dxa"/>
            <w:noWrap w:val="0"/>
            <w:vAlign w:val="center"/>
          </w:tcPr>
          <w:p>
            <w:pPr>
              <w:adjustRightInd w:val="0"/>
              <w:snapToGrid w:val="0"/>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系统需求分析</w:t>
            </w:r>
          </w:p>
        </w:tc>
        <w:tc>
          <w:tcPr>
            <w:tcW w:w="4223" w:type="dxa"/>
            <w:noWrap w:val="0"/>
            <w:vAlign w:val="center"/>
          </w:tcPr>
          <w:p>
            <w:pPr>
              <w:adjustRightInd w:val="0"/>
              <w:snapToGrid w:val="0"/>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根据给定的需求描述，进行系统规划设计及原型设计。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134" w:type="dxa"/>
            <w:noWrap w:val="0"/>
            <w:vAlign w:val="center"/>
          </w:tcPr>
          <w:p>
            <w:pPr>
              <w:spacing w:line="312"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C1</w:t>
            </w:r>
          </w:p>
        </w:tc>
        <w:tc>
          <w:tcPr>
            <w:tcW w:w="1446" w:type="dxa"/>
            <w:noWrap w:val="0"/>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w:t>
            </w:r>
          </w:p>
        </w:tc>
        <w:tc>
          <w:tcPr>
            <w:tcW w:w="1872" w:type="dxa"/>
            <w:noWrap w:val="0"/>
            <w:vAlign w:val="center"/>
          </w:tcPr>
          <w:p>
            <w:pPr>
              <w:adjustRightInd w:val="0"/>
              <w:snapToGrid w:val="0"/>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软件系统开发</w:t>
            </w:r>
          </w:p>
        </w:tc>
        <w:tc>
          <w:tcPr>
            <w:tcW w:w="4223" w:type="dxa"/>
            <w:noWrap w:val="0"/>
            <w:vAlign w:val="center"/>
          </w:tcPr>
          <w:p>
            <w:pPr>
              <w:adjustRightInd w:val="0"/>
              <w:snapToGrid w:val="0"/>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设计系统数据库，并基于指定开发框架，完成前端页面、后端业务和交互功能的开发。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134" w:type="dxa"/>
            <w:noWrap w:val="0"/>
            <w:vAlign w:val="center"/>
          </w:tcPr>
          <w:p>
            <w:pPr>
              <w:spacing w:line="312" w:lineRule="auto"/>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C1</w:t>
            </w:r>
          </w:p>
        </w:tc>
        <w:tc>
          <w:tcPr>
            <w:tcW w:w="1446" w:type="dxa"/>
            <w:noWrap w:val="0"/>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w:t>
            </w:r>
          </w:p>
        </w:tc>
        <w:tc>
          <w:tcPr>
            <w:tcW w:w="1872" w:type="dxa"/>
            <w:noWrap w:val="0"/>
            <w:vAlign w:val="center"/>
          </w:tcPr>
          <w:p>
            <w:pPr>
              <w:adjustRightInd w:val="0"/>
              <w:snapToGrid w:val="0"/>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系统部署测试</w:t>
            </w:r>
          </w:p>
        </w:tc>
        <w:tc>
          <w:tcPr>
            <w:tcW w:w="4223" w:type="dxa"/>
            <w:noWrap w:val="0"/>
            <w:vAlign w:val="center"/>
          </w:tcPr>
          <w:p>
            <w:pPr>
              <w:adjustRightInd w:val="0"/>
              <w:snapToGrid w:val="0"/>
              <w:rPr>
                <w:rFonts w:hint="eastAsia" w:ascii="仿宋_GB2312" w:hAnsi="仿宋_GB2312" w:eastAsia="仿宋_GB2312" w:cs="仿宋_GB2312"/>
                <w:color w:val="000000"/>
                <w:sz w:val="21"/>
                <w:szCs w:val="21"/>
              </w:rPr>
            </w:pPr>
            <w:r>
              <w:rPr>
                <w:rFonts w:ascii="仿宋_GB2312" w:hAnsi="仿宋_GB2312" w:eastAsia="仿宋_GB2312" w:cs="仿宋_GB2312"/>
                <w:color w:val="000000"/>
                <w:sz w:val="21"/>
                <w:szCs w:val="21"/>
              </w:rPr>
              <w:t>对给定项目进行系统部署、功能测试和Bug修复，使用测试工具进行API接口测试，完成系统测试文档编制。</w:t>
            </w:r>
          </w:p>
        </w:tc>
      </w:tr>
    </w:tbl>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其中，各模块的详细内容描述如下。</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（1）系统需求分析</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本模块重点考查参赛选手依据给定的需求，进行系统需求分析的能力，具体包括：</w:t>
      </w:r>
    </w:p>
    <w:p>
      <w:pPr>
        <w:numPr>
          <w:ilvl w:val="1"/>
          <w:numId w:val="1"/>
        </w:numPr>
        <w:spacing w:line="560" w:lineRule="exact"/>
        <w:jc w:val="left"/>
        <w:rPr>
          <w:rFonts w:hint="eastAsia" w:ascii="仿宋_GB2312" w:hAnsi="仿宋" w:eastAsia="仿宋_GB2312"/>
          <w:sz w:val="30"/>
          <w:szCs w:val="30"/>
        </w:rPr>
      </w:pPr>
      <w:r>
        <w:rPr>
          <w:rFonts w:hint="eastAsia" w:ascii="仿宋_GB2312" w:hAnsi="仿宋" w:eastAsia="仿宋_GB2312"/>
          <w:sz w:val="30"/>
          <w:szCs w:val="30"/>
        </w:rPr>
        <w:t>系统规划设计。按照给定的项目需求，进行需求的梳理与规划，使用标准的需求规格说明书（模板），进行需求规格的描述，编写模块概要简述，绘制对应业务流程图/活动图、用例图、类图、时序图、E-R图。后端业务开发。基于给定的系统需求，利用可视化开发工具设计数据库，并利用Spring Boot框架实现后端业务功能，完成RESTful API接口开发，并发布运行。要求设计符合Spring Boot框架的Domain/POJO、DAO、Service、Controller分层架构模式，编码符合命名和注释规范。</w:t>
      </w:r>
    </w:p>
    <w:p>
      <w:pPr>
        <w:pStyle w:val="2"/>
        <w:numPr>
          <w:ilvl w:val="1"/>
          <w:numId w:val="2"/>
        </w:numPr>
        <w:spacing w:after="0" w:line="560" w:lineRule="exact"/>
        <w:ind w:firstLineChars="0"/>
        <w:rPr>
          <w:rFonts w:hint="eastAsia" w:ascii="仿宋_GB2312" w:hAnsi="仿宋" w:eastAsia="仿宋_GB2312"/>
          <w:sz w:val="30"/>
          <w:szCs w:val="30"/>
        </w:rPr>
      </w:pPr>
      <w:r>
        <w:rPr>
          <w:rFonts w:hint="eastAsia" w:ascii="仿宋_GB2312" w:hAnsi="仿宋" w:eastAsia="仿宋_GB2312"/>
          <w:sz w:val="30"/>
          <w:szCs w:val="30"/>
        </w:rPr>
        <w:t>原型设计绘制。依据模块功能要求，使用原型图绘制软件，进行模块原型设计，并实现原型页面之间的交互功能。</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（2）软件系统开发</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本模块重点考查参赛选手的业务设计、前端页面开发和后端业务代码编写能力，具体包括：</w:t>
      </w:r>
    </w:p>
    <w:p>
      <w:pPr>
        <w:numPr>
          <w:ilvl w:val="1"/>
          <w:numId w:val="3"/>
        </w:numPr>
        <w:tabs>
          <w:tab w:val="clear" w:pos="840"/>
        </w:tabs>
        <w:spacing w:line="560" w:lineRule="exact"/>
        <w:jc w:val="left"/>
        <w:rPr>
          <w:rFonts w:hint="eastAsia" w:ascii="仿宋_GB2312" w:hAnsi="仿宋" w:eastAsia="仿宋_GB2312"/>
          <w:sz w:val="30"/>
          <w:szCs w:val="30"/>
        </w:rPr>
      </w:pPr>
      <w:r>
        <w:rPr>
          <w:rFonts w:hint="eastAsia" w:ascii="仿宋_GB2312" w:hAnsi="仿宋" w:eastAsia="仿宋_GB2312"/>
          <w:sz w:val="30"/>
          <w:szCs w:val="30"/>
        </w:rPr>
        <w:t>前端页面开发。基于给定的系统需求，利用后端API提供的数据接口，使用HTML5、CSS3、JavaScript、Vue.js（ElementUI、vue-element-admin）等技术，遵循MVVM模式完成前端页面，实现业务功能。要求编码符合前端工程化开发技术规范。</w:t>
      </w:r>
    </w:p>
    <w:p>
      <w:pPr>
        <w:numPr>
          <w:ilvl w:val="1"/>
          <w:numId w:val="1"/>
        </w:numPr>
        <w:spacing w:line="560" w:lineRule="exact"/>
        <w:jc w:val="left"/>
        <w:rPr>
          <w:rFonts w:hint="eastAsia" w:ascii="仿宋_GB2312" w:hAnsi="仿宋" w:eastAsia="仿宋_GB2312"/>
          <w:sz w:val="30"/>
          <w:szCs w:val="30"/>
        </w:rPr>
      </w:pPr>
      <w:r>
        <w:rPr>
          <w:rFonts w:hint="eastAsia" w:ascii="仿宋_GB2312" w:hAnsi="仿宋" w:eastAsia="仿宋_GB2312"/>
          <w:sz w:val="30"/>
          <w:szCs w:val="30"/>
        </w:rPr>
        <w:t>后端业务开发。基于给定的系统需求，利用可视化开发工具设计数据库，并利用Spring Boot框架实现后端业务功能，完成RESTful API接口开发，并发布运行。要求设计符合Spring Boot框架的Domain/POJO、DAO、Service、Controller分层架构模式，编码符合命名和注释规范。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（3）系统部署测试</w:t>
      </w:r>
    </w:p>
    <w:p>
      <w:pPr>
        <w:adjustRightInd w:val="0"/>
        <w:spacing w:line="560" w:lineRule="exact"/>
        <w:ind w:right="210" w:rightChars="100" w:firstLine="600" w:firstLineChars="200"/>
        <w:rPr>
          <w:rFonts w:eastAsia="仿宋_GB2312"/>
          <w:bCs/>
          <w:sz w:val="30"/>
          <w:szCs w:val="30"/>
        </w:rPr>
      </w:pPr>
      <w:r>
        <w:rPr>
          <w:rFonts w:eastAsia="仿宋_GB2312"/>
          <w:bCs/>
          <w:sz w:val="30"/>
          <w:szCs w:val="30"/>
        </w:rPr>
        <w:t>本模块重点考查参赛选手的系统部署、功能测试、Bug排查修复及文档编写能力，具体包括：</w:t>
      </w:r>
    </w:p>
    <w:p>
      <w:pPr>
        <w:numPr>
          <w:ilvl w:val="1"/>
          <w:numId w:val="4"/>
        </w:numPr>
        <w:adjustRightInd w:val="0"/>
        <w:spacing w:line="560" w:lineRule="exact"/>
        <w:ind w:right="210" w:rightChars="100"/>
        <w:rPr>
          <w:rFonts w:eastAsia="仿宋_GB2312"/>
          <w:bCs/>
          <w:sz w:val="30"/>
          <w:szCs w:val="30"/>
        </w:rPr>
      </w:pPr>
      <w:r>
        <w:rPr>
          <w:rFonts w:eastAsia="仿宋_GB2312"/>
          <w:bCs/>
          <w:sz w:val="30"/>
          <w:szCs w:val="30"/>
        </w:rPr>
        <w:t>系统部署。将给定项目发布到集成部署工具中，确保正常运行。</w:t>
      </w:r>
    </w:p>
    <w:p>
      <w:pPr>
        <w:numPr>
          <w:ilvl w:val="1"/>
          <w:numId w:val="5"/>
        </w:numPr>
        <w:adjustRightInd w:val="0"/>
        <w:spacing w:line="560" w:lineRule="exact"/>
        <w:ind w:right="210" w:rightChars="100"/>
        <w:rPr>
          <w:rFonts w:eastAsia="仿宋_GB2312"/>
          <w:bCs/>
          <w:sz w:val="30"/>
          <w:szCs w:val="30"/>
        </w:rPr>
      </w:pPr>
      <w:r>
        <w:rPr>
          <w:rFonts w:hint="eastAsia" w:eastAsia="仿宋_GB2312"/>
          <w:bCs/>
          <w:sz w:val="30"/>
          <w:szCs w:val="30"/>
        </w:rPr>
        <w:t>功能</w:t>
      </w:r>
      <w:r>
        <w:rPr>
          <w:rFonts w:eastAsia="仿宋_GB2312"/>
          <w:bCs/>
          <w:sz w:val="30"/>
          <w:szCs w:val="30"/>
        </w:rPr>
        <w:t>测试及Bug修复。使用给定的前后端源代码，制定测试策略，设计测试用例，完成指定的功能测试；记录测试中出现的Bug，对Bug进行分析与修复；基于测试报告模板，撰写系统测试报告。</w:t>
      </w:r>
    </w:p>
    <w:p>
      <w:pPr>
        <w:numPr>
          <w:ilvl w:val="1"/>
          <w:numId w:val="6"/>
        </w:numPr>
        <w:spacing w:line="560" w:lineRule="exact"/>
        <w:rPr>
          <w:rFonts w:eastAsia="仿宋_GB2312"/>
          <w:bCs/>
          <w:sz w:val="30"/>
          <w:szCs w:val="30"/>
        </w:rPr>
      </w:pPr>
      <w:r>
        <w:rPr>
          <w:rFonts w:eastAsia="仿宋_GB2312"/>
          <w:bCs/>
          <w:sz w:val="30"/>
          <w:szCs w:val="30"/>
        </w:rPr>
        <w:t>API接口测试。使用</w:t>
      </w:r>
      <w:r>
        <w:rPr>
          <w:rFonts w:eastAsia="仿宋_GB2312"/>
          <w:bCs/>
          <w:color w:val="000000"/>
          <w:sz w:val="30"/>
          <w:szCs w:val="30"/>
        </w:rPr>
        <w:t>JMeter</w:t>
      </w:r>
      <w:r>
        <w:rPr>
          <w:rFonts w:eastAsia="仿宋_GB2312"/>
          <w:bCs/>
          <w:sz w:val="30"/>
          <w:szCs w:val="30"/>
        </w:rPr>
        <w:t>工具对后端RESTful API接口进行编码规范测试，输出API接口测试报告。</w:t>
      </w:r>
    </w:p>
    <w:p>
      <w:pPr>
        <w:spacing w:line="560" w:lineRule="exact"/>
        <w:ind w:firstLine="588" w:firstLineChars="196"/>
        <w:rPr>
          <w:rFonts w:hint="eastAsia" w:ascii="仿宋" w:hAnsi="仿宋" w:eastAsia="仿宋" w:cs="宋体"/>
          <w:kern w:val="0"/>
          <w:sz w:val="30"/>
          <w:szCs w:val="30"/>
        </w:rPr>
      </w:pPr>
      <w:r>
        <w:rPr>
          <w:rFonts w:hint="eastAsia" w:ascii="仿宋" w:hAnsi="仿宋" w:eastAsia="仿宋" w:cs="宋体"/>
          <w:kern w:val="0"/>
          <w:sz w:val="30"/>
          <w:szCs w:val="30"/>
        </w:rPr>
        <w:t>3.</w:t>
      </w:r>
      <w:r>
        <w:rPr>
          <w:rFonts w:ascii="仿宋" w:hAnsi="仿宋" w:eastAsia="仿宋" w:cs="宋体"/>
          <w:kern w:val="0"/>
          <w:sz w:val="30"/>
          <w:szCs w:val="30"/>
        </w:rPr>
        <w:t xml:space="preserve"> </w:t>
      </w:r>
      <w:r>
        <w:rPr>
          <w:rFonts w:hint="eastAsia" w:ascii="仿宋" w:hAnsi="仿宋" w:eastAsia="仿宋" w:cs="宋体"/>
          <w:kern w:val="0"/>
          <w:sz w:val="30"/>
          <w:szCs w:val="30"/>
        </w:rPr>
        <w:t>其他要求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在竞赛过程中，还需要能有序组织和安排工作、注意赛场安全、保持环境整洁、个人着装规范、注意安全保护（如安全用电规范等）、遵守赛场纪律以及自我管理等职业能力；此外，提交的文件有效、命名的文件名称符合赛题要求、文件内容排版规范及撰写的文档符合规程等职业素养与能力评价，都作为考核评分点。</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七、竞赛方式</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1.比赛类别：本赛项为团体竞赛。</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要求：凡开设有赛项相关专业的高等职业院校和本科院校的高职学生均可报名参加高职组比赛，参赛选手必须是2023年在籍全日制高职学生，指导老师和学生须为同校在籍。往届获得此赛项国赛一等奖的选手，不得再报名参加比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3.组队方式：本赛项为团体赛。每校可报1队，不得跨校组队。每支参赛队由</w:t>
      </w:r>
      <w:r>
        <w:rPr>
          <w:rFonts w:ascii="仿宋_GB2312" w:hAnsi="仿宋" w:eastAsia="仿宋_GB2312"/>
          <w:sz w:val="30"/>
          <w:szCs w:val="30"/>
        </w:rPr>
        <w:t>3</w:t>
      </w:r>
      <w:r>
        <w:rPr>
          <w:rFonts w:hint="eastAsia" w:ascii="仿宋_GB2312" w:hAnsi="仿宋" w:eastAsia="仿宋_GB2312"/>
          <w:sz w:val="30"/>
          <w:szCs w:val="30"/>
        </w:rPr>
        <w:t>名选手组成，每个参赛队至多2名指导教师。</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八、竞赛规则</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（一）赛题</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赛项专家组负责本赛项赛题的编制工作，编制工作赛前保密。</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（二）赛前准备</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1.熟悉场地：根据竞赛日程安排，参赛队在工作人员的带领下，携带有效身份证件，按照规定路线有序熟悉参赛场地。任何人员只得在指定区域观察，不得触碰赛位内物品。</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2.领队会议：由各参赛队伍的领队参加，会议讲解竞赛注意事项并进行赛前答疑。</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3.抽签仪式：领队会议上确定分批抽签，比赛前选手赛位抽签，通过抽签确定各参赛队的赛次工位。</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（三）赛场要求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1.所有人员在赛场内不得有影响其他选手完成工作任务的行为，参赛选手不允许窜岗、窜位，使用文明用语，不得言语及人身攻击裁判和赛场工作人员。</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如裁判长确定设备故障可由技术支持人员排除故障后继续比赛，将给参赛选手补足所耽误的比赛时间。</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4.选手须按照程序提交比赛结果，配合裁判做好赛场情况记录，并签字确认，裁判提出签名要求时，不得无故拒绝。</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5.裁判长发布比赛结束指令后所有未完成任务参赛选手立即停止操作，按要求清理赛位，不得以任何理由拖延竞赛时间。</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九、竞赛环境</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（一）赛场布局要求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竞赛场地包括参赛选手竞赛区域、展示平台区域、裁判区域、设备耗材区、技术支持区、服务区。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 xml:space="preserve"> </w:t>
      </w:r>
      <w:r>
        <w:rPr>
          <w:rFonts w:hint="eastAsia" w:ascii="仿宋_GB2312" w:hAnsi="仿宋" w:eastAsia="仿宋_GB2312"/>
          <w:sz w:val="30"/>
          <w:szCs w:val="30"/>
        </w:rPr>
        <w:t>参赛选手竞赛区域。在200</w:t>
      </w:r>
      <w:r>
        <w:rPr>
          <w:rFonts w:ascii="仿宋_GB2312" w:hAnsi="仿宋" w:eastAsia="仿宋_GB2312"/>
          <w:sz w:val="30"/>
          <w:szCs w:val="30"/>
        </w:rPr>
        <w:t xml:space="preserve"> </w:t>
      </w:r>
      <w:r>
        <w:rPr>
          <w:rFonts w:hint="eastAsia" w:ascii="仿宋_GB2312" w:hAnsi="仿宋" w:eastAsia="仿宋_GB2312"/>
          <w:sz w:val="30"/>
          <w:szCs w:val="30"/>
        </w:rPr>
        <w:t>m</w:t>
      </w:r>
      <w:r>
        <w:rPr>
          <w:rFonts w:ascii="仿宋_GB2312" w:hAnsi="仿宋" w:eastAsia="仿宋_GB2312"/>
          <w:sz w:val="30"/>
          <w:szCs w:val="30"/>
          <w:vertAlign w:val="superscript"/>
        </w:rPr>
        <w:t>2</w:t>
      </w:r>
      <w:r>
        <w:rPr>
          <w:rFonts w:hint="eastAsia" w:ascii="仿宋_GB2312" w:hAnsi="仿宋" w:eastAsia="仿宋_GB2312"/>
          <w:sz w:val="30"/>
          <w:szCs w:val="30"/>
        </w:rPr>
        <w:t>的面积以上，每个竞赛工位标有醒目的工位编号，各工位间距大于1.5m，每个工位面积在8m</w:t>
      </w:r>
      <w:r>
        <w:rPr>
          <w:rFonts w:ascii="仿宋_GB2312" w:hAnsi="仿宋" w:eastAsia="仿宋_GB2312"/>
          <w:sz w:val="30"/>
          <w:szCs w:val="30"/>
          <w:vertAlign w:val="superscript"/>
        </w:rPr>
        <w:t>2</w:t>
      </w:r>
      <w:r>
        <w:rPr>
          <w:rFonts w:hint="eastAsia" w:ascii="仿宋_GB2312" w:hAnsi="仿宋" w:eastAsia="仿宋_GB2312"/>
          <w:sz w:val="30"/>
          <w:szCs w:val="30"/>
        </w:rPr>
        <w:t>左右，确保参赛队之间互不干扰。赛场竞赛过程全程无死角视频监控，监控录像保存3个月。环境标准要求保证赛场采光（大于500lux）、照明和通风良好；提供稳定的水、电，并提供应急的备用电源；提供足够的干粉灭火器材。</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 xml:space="preserve"> </w:t>
      </w:r>
      <w:r>
        <w:rPr>
          <w:rFonts w:hint="eastAsia" w:ascii="仿宋_GB2312" w:hAnsi="仿宋" w:eastAsia="仿宋_GB2312"/>
          <w:sz w:val="30"/>
          <w:szCs w:val="30"/>
        </w:rPr>
        <w:t>展示平台区域。需要与比赛场地分开，供参赛队领队、指导教师及工作人员休息并开展其他相关活动。</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 xml:space="preserve"> </w:t>
      </w:r>
      <w:r>
        <w:rPr>
          <w:rFonts w:hint="eastAsia" w:ascii="仿宋_GB2312" w:hAnsi="仿宋" w:eastAsia="仿宋_GB2312"/>
          <w:sz w:val="30"/>
          <w:szCs w:val="30"/>
        </w:rPr>
        <w:t>裁判区域。供裁判休息及工作场地。共配有电脑8台；A4激光打印机1台；桌椅8套；饮水机、纸杯、文具用品若干。</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 xml:space="preserve"> </w:t>
      </w:r>
      <w:r>
        <w:rPr>
          <w:rFonts w:hint="eastAsia" w:ascii="仿宋_GB2312" w:hAnsi="仿宋" w:eastAsia="仿宋_GB2312"/>
          <w:sz w:val="30"/>
          <w:szCs w:val="30"/>
        </w:rPr>
        <w:t>技术支持区。为技术支持人员的工作场地，为参赛选手竞赛提供技术支持。</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 xml:space="preserve"> </w:t>
      </w:r>
      <w:r>
        <w:rPr>
          <w:rFonts w:hint="eastAsia" w:ascii="仿宋_GB2312" w:hAnsi="仿宋" w:eastAsia="仿宋_GB2312"/>
          <w:sz w:val="30"/>
          <w:szCs w:val="30"/>
        </w:rPr>
        <w:t>服务区。提供医疗等服务保障，并用隔离带隔离。</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（二）赛场选手安全防护要求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1.参赛选手应严格遵守设备安全操作规程。</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2.参赛选手停止操作时，应保证设备的正常运行，比赛结束后， 所有设备保持运行状态，不要拆、动硬件连接，确保设备正常运行，实现正常评分。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3.参赛选手应遵从安全规范操作，例如：ESD(静电放电)设备安全使用及储存。</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4.参赛选手应保证设备和信息的完整及安全。</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（三）赛事安全要求</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1.禁止选手及所有参加赛事的人员，携带任何有毒有害物品进入竞赛现场。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承办单位应设置专门的安全防卫组，负责竞赛期间健康和安全事务。主要包括检查竞赛场地、与会人员居住地、车辆交通及其周围环境的安全防卫；制定紧急应对方案；监督与会人员食品安全与卫生；分析和处理安全突发事件等工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3.赛场须配备相应医疗人员和急救人员，并备有相应急救设施。</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十、技术规范</w:t>
      </w:r>
    </w:p>
    <w:p>
      <w:pPr>
        <w:spacing w:line="560" w:lineRule="exact"/>
        <w:ind w:firstLine="588" w:firstLineChars="196"/>
        <w:rPr>
          <w:rFonts w:hint="eastAsia" w:ascii="仿宋_GB2312" w:hAnsi="仿宋" w:eastAsia="仿宋_GB2312"/>
          <w:sz w:val="30"/>
          <w:szCs w:val="30"/>
        </w:rPr>
      </w:pPr>
      <w:r>
        <w:rPr>
          <w:rFonts w:hint="eastAsia" w:ascii="仿宋_GB2312" w:hAnsi="仿宋" w:eastAsia="仿宋_GB2312"/>
          <w:sz w:val="30"/>
          <w:szCs w:val="30"/>
        </w:rPr>
        <w:t>参赛代表队在实施竞赛项目中要求遵循如下规范。</w:t>
      </w:r>
    </w:p>
    <w:tbl>
      <w:tblPr>
        <w:tblStyle w:val="15"/>
        <w:tblW w:w="88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780"/>
        <w:gridCol w:w="2253"/>
        <w:gridCol w:w="57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tblHeader/>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序号</w:t>
            </w:r>
          </w:p>
        </w:tc>
        <w:tc>
          <w:tcPr>
            <w:tcW w:w="22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标准号</w:t>
            </w:r>
          </w:p>
        </w:tc>
        <w:tc>
          <w:tcPr>
            <w:tcW w:w="5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24"/>
              </w:rPr>
            </w:pPr>
            <w:r>
              <w:rPr>
                <w:rFonts w:hint="eastAsia" w:ascii="黑体" w:hAnsi="黑体" w:eastAsia="黑体" w:cs="黑体"/>
                <w:b w:val="0"/>
                <w:bCs w:val="0"/>
                <w:sz w:val="24"/>
              </w:rPr>
              <w:t>中文标准名称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"http://www.csres.com/detail/264754.html" \t "_blank" </w:instrText>
            </w:r>
            <w:r>
              <w:rPr>
                <w:rFonts w:eastAsia="仿宋_GB2312"/>
                <w:sz w:val="24"/>
              </w:rPr>
              <w:fldChar w:fldCharType="separate"/>
            </w:r>
            <w:r>
              <w:rPr>
                <w:rFonts w:eastAsia="仿宋_GB2312"/>
                <w:sz w:val="24"/>
              </w:rPr>
              <w:t>DB21/T 2347.3-2014</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信息技术行业职业技能 第3部分：软件开发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2</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GB/T 38557.1—2020</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系统与软件工程 接口和数据交换 第1部分：企业资源计划系统与制造执行系统的接口规范</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3</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"http://www.csres.com/detail/102355.html" \t "_blank" </w:instrText>
            </w:r>
            <w:r>
              <w:rPr>
                <w:rFonts w:eastAsia="仿宋_GB2312"/>
                <w:sz w:val="24"/>
              </w:rPr>
              <w:fldChar w:fldCharType="separate"/>
            </w:r>
            <w:r>
              <w:rPr>
                <w:rFonts w:eastAsia="仿宋_GB2312"/>
                <w:sz w:val="24"/>
              </w:rPr>
              <w:t>SJ/T 10367-1993</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计算机过程控制软件开发规程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4</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"http://www.csres.com/detail/315691.html" \t "_blank" </w:instrText>
            </w:r>
            <w:r>
              <w:rPr>
                <w:rFonts w:eastAsia="仿宋_GB2312"/>
                <w:sz w:val="24"/>
              </w:rPr>
              <w:fldChar w:fldCharType="separate"/>
            </w:r>
            <w:r>
              <w:rPr>
                <w:rFonts w:eastAsia="仿宋_GB2312"/>
                <w:sz w:val="24"/>
              </w:rPr>
              <w:t>GB/T 36475-2018</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软件产品分类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5</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"http://www.csres.com/detail/323663.html" \t "_blank" </w:instrText>
            </w:r>
            <w:r>
              <w:rPr>
                <w:rFonts w:eastAsia="仿宋_GB2312"/>
                <w:sz w:val="24"/>
              </w:rPr>
              <w:fldChar w:fldCharType="separate"/>
            </w:r>
            <w:r>
              <w:rPr>
                <w:rFonts w:eastAsia="仿宋_GB2312"/>
                <w:sz w:val="24"/>
              </w:rPr>
              <w:t>GB/T 36964-2018</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软件工程 软件开发成本度量规范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6</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"http://www.csres.com/detail/332747.html" \t "_blank" </w:instrText>
            </w:r>
            <w:r>
              <w:rPr>
                <w:rFonts w:eastAsia="仿宋_GB2312"/>
                <w:sz w:val="24"/>
              </w:rPr>
              <w:fldChar w:fldCharType="separate"/>
            </w:r>
            <w:r>
              <w:rPr>
                <w:rFonts w:eastAsia="仿宋_GB2312"/>
                <w:sz w:val="24"/>
              </w:rPr>
              <w:t>GB/T 37691-2019 </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"http://www.csres.com/detail/332747.html" \t "_blank" </w:instrText>
            </w:r>
            <w:r>
              <w:rPr>
                <w:rFonts w:eastAsia="仿宋_GB2312"/>
                <w:sz w:val="24"/>
              </w:rPr>
              <w:fldChar w:fldCharType="separate"/>
            </w:r>
            <w:r>
              <w:rPr>
                <w:rFonts w:eastAsia="仿宋_GB2312"/>
                <w:sz w:val="24"/>
              </w:rPr>
              <w:t>可编程逻辑器件软件安全性设计指南</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7</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"http://www.csres.com/detail/323751.html" \t "_blank" </w:instrText>
            </w:r>
            <w:r>
              <w:rPr>
                <w:rFonts w:eastAsia="仿宋_GB2312"/>
                <w:sz w:val="24"/>
              </w:rPr>
              <w:fldChar w:fldCharType="separate"/>
            </w:r>
            <w:r>
              <w:rPr>
                <w:rFonts w:eastAsia="仿宋_GB2312"/>
                <w:sz w:val="24"/>
              </w:rPr>
              <w:t>GB/T 25000.2-2018</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"http://www.csres.com/detail/323751.html" \t "_blank" </w:instrText>
            </w:r>
            <w:r>
              <w:rPr>
                <w:rFonts w:eastAsia="仿宋_GB2312"/>
                <w:sz w:val="24"/>
              </w:rPr>
              <w:fldChar w:fldCharType="separate"/>
            </w:r>
            <w:r>
              <w:rPr>
                <w:rFonts w:eastAsia="仿宋_GB2312"/>
                <w:sz w:val="24"/>
              </w:rPr>
              <w:t>系统与软件工程 系统与软件质量要求和评价（SQuaRE） 第2部分：计划与管理</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8</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GB/T 28174.1-2011</w:t>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统一建模语言(UML) 第1部分：基础结构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9</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"http://www.csres.com/detail/60663.html" \t "_blank" </w:instrText>
            </w:r>
            <w:r>
              <w:rPr>
                <w:rFonts w:eastAsia="仿宋_GB2312"/>
                <w:sz w:val="24"/>
              </w:rPr>
              <w:fldChar w:fldCharType="separate"/>
            </w:r>
            <w:r>
              <w:rPr>
                <w:rFonts w:eastAsia="仿宋_GB2312"/>
                <w:sz w:val="24"/>
              </w:rPr>
              <w:t>GB/T 11457-2006</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信息技术 软件工程术语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10</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"http://www.csres.com/detail/279292.html" \t "_blank" </w:instrText>
            </w:r>
            <w:r>
              <w:rPr>
                <w:rFonts w:eastAsia="仿宋_GB2312"/>
                <w:sz w:val="24"/>
              </w:rPr>
              <w:fldChar w:fldCharType="separate"/>
            </w:r>
            <w:r>
              <w:rPr>
                <w:rFonts w:eastAsia="仿宋_GB2312"/>
                <w:sz w:val="24"/>
              </w:rPr>
              <w:t>GB/T 32421-2015</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"http://www.csres.com/detail/279292.html" \t "_blank" </w:instrText>
            </w:r>
            <w:r>
              <w:rPr>
                <w:rFonts w:eastAsia="仿宋_GB2312"/>
                <w:sz w:val="24"/>
              </w:rPr>
              <w:fldChar w:fldCharType="separate"/>
            </w:r>
            <w:r>
              <w:rPr>
                <w:rFonts w:eastAsia="仿宋_GB2312"/>
                <w:sz w:val="24"/>
              </w:rPr>
              <w:t>软件工程 软件评审与审核</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11</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GB/T 38634.1-2020</w:t>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系统与软件工程 软件测试 第1部分：概念和定义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12</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"http://www.csres.com/detail/279294.html" \t "_blank" </w:instrText>
            </w:r>
            <w:r>
              <w:rPr>
                <w:rFonts w:eastAsia="仿宋_GB2312"/>
                <w:sz w:val="24"/>
              </w:rPr>
              <w:fldChar w:fldCharType="separate"/>
            </w:r>
            <w:r>
              <w:rPr>
                <w:rFonts w:eastAsia="仿宋_GB2312"/>
                <w:sz w:val="24"/>
              </w:rPr>
              <w:t>GB/T 32423-2015</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系统与软件工程 验证与确认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13</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GB/T 32424-2015</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系统与软件工程 用户文档的设计者和开发者要求</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14</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GB/T 30999-2014</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系统和软件工程 生存周期管理 过程描述指南</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15</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GB/T 30971-2014</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软件工程 用于互联网的推荐实践 网站工程、网站管理和网站生存周期</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16</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GB/T 26239-2010</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软件工程 开发方法元模型</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17</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GB/T 22032-2021</w:t>
            </w:r>
            <w:r>
              <w:rPr>
                <w:rFonts w:eastAsia="仿宋_GB2312"/>
                <w:sz w:val="24"/>
              </w:rPr>
              <w:fldChar w:fldCharType="end"/>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fldChar w:fldCharType="begin"/>
            </w:r>
            <w:r>
              <w:rPr>
                <w:rFonts w:eastAsia="仿宋_GB2312"/>
                <w:sz w:val="24"/>
              </w:rPr>
              <w:instrText xml:space="preserve"> HYPERLINK "https://openstd.samr.gov.cn/bzgk/gb/javascript:void(0)" \o "https://openstd.samr.gov.cn/bzgk/gb/javascript:void(0)" </w:instrText>
            </w:r>
            <w:r>
              <w:rPr>
                <w:rFonts w:eastAsia="仿宋_GB2312"/>
                <w:sz w:val="24"/>
              </w:rPr>
              <w:fldChar w:fldCharType="separate"/>
            </w:r>
            <w:r>
              <w:rPr>
                <w:rFonts w:eastAsia="仿宋_GB2312"/>
                <w:sz w:val="24"/>
              </w:rPr>
              <w:t>系统与软件工程 系统生存周期过程</w:t>
            </w:r>
            <w:r>
              <w:rPr>
                <w:rFonts w:eastAsia="仿宋_GB2312"/>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18</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T/CESA 1154-2021</w:t>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信息技术服务 从业人员能力评价指南 设计与开发服务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19</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T/CESA 1155-2021</w:t>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信息技术服务 从业人员能力评价指南 集成实施服务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sz w:val="24"/>
              </w:rPr>
            </w:pPr>
            <w:r>
              <w:rPr>
                <w:rFonts w:eastAsia="仿宋_GB2312"/>
                <w:sz w:val="24"/>
              </w:rPr>
              <w:t>20</w:t>
            </w:r>
          </w:p>
        </w:tc>
        <w:tc>
          <w:tcPr>
            <w:tcW w:w="2253"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T/CESA 1156-2021</w:t>
            </w:r>
          </w:p>
        </w:tc>
        <w:tc>
          <w:tcPr>
            <w:tcW w:w="5791"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sz w:val="24"/>
              </w:rPr>
            </w:pPr>
            <w:r>
              <w:rPr>
                <w:rFonts w:eastAsia="仿宋_GB2312"/>
                <w:sz w:val="24"/>
              </w:rPr>
              <w:t>信息技术服务 从业人员能力评价指南 运行维护服务</w:t>
            </w:r>
          </w:p>
        </w:tc>
      </w:tr>
    </w:tbl>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十一、仪器设备</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w:t>
      </w:r>
      <w:r>
        <w:rPr>
          <w:rFonts w:hint="eastAsia" w:ascii="楷体_GB2312" w:hAnsi="楷体_GB2312" w:eastAsia="楷体_GB2312" w:cs="楷体_GB2312"/>
          <w:sz w:val="30"/>
          <w:szCs w:val="30"/>
        </w:rPr>
        <w:tab/>
      </w:r>
      <w:r>
        <w:rPr>
          <w:rFonts w:hint="eastAsia" w:ascii="楷体_GB2312" w:hAnsi="楷体_GB2312" w:eastAsia="楷体_GB2312" w:cs="楷体_GB2312"/>
          <w:sz w:val="30"/>
          <w:szCs w:val="30"/>
        </w:rPr>
        <w:t>竞赛硬件平台——器材与技术平台</w:t>
      </w:r>
    </w:p>
    <w:tbl>
      <w:tblPr>
        <w:tblStyle w:val="15"/>
        <w:tblW w:w="482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0"/>
        <w:gridCol w:w="1498"/>
        <w:gridCol w:w="5436"/>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序号</w:t>
            </w:r>
          </w:p>
        </w:tc>
        <w:tc>
          <w:tcPr>
            <w:tcW w:w="835"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设备名称</w:t>
            </w:r>
          </w:p>
        </w:tc>
        <w:tc>
          <w:tcPr>
            <w:tcW w:w="3029"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配置要求</w:t>
            </w:r>
          </w:p>
        </w:tc>
        <w:tc>
          <w:tcPr>
            <w:tcW w:w="729"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83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计算机</w:t>
            </w:r>
          </w:p>
        </w:tc>
        <w:tc>
          <w:tcPr>
            <w:tcW w:w="3029" w:type="pct"/>
            <w:noWrap w:val="0"/>
            <w:vAlign w:val="center"/>
          </w:tcPr>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操作系统：Windows 10专业版 （64位）</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处理器：i5 及以上处理器</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内存：8GB 及以上</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硬盘：256GB固态硬盘及以上</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显示器：23寸1920×1080分辨率及以上</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sz w:val="21"/>
                <w:szCs w:val="21"/>
              </w:rPr>
            </w:pPr>
            <w:r>
              <w:rPr>
                <w:rFonts w:hint="eastAsia" w:ascii="仿宋" w:hAnsi="仿宋" w:eastAsia="仿宋" w:cs="仿宋"/>
                <w:color w:val="000000"/>
                <w:sz w:val="21"/>
                <w:szCs w:val="21"/>
              </w:rPr>
              <w:t>有线网卡：1000Mbps以太网卡</w:t>
            </w:r>
          </w:p>
        </w:tc>
        <w:tc>
          <w:tcPr>
            <w:tcW w:w="729"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4台/每队</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（含3台开发机、1台服务器）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83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路由器</w:t>
            </w:r>
          </w:p>
        </w:tc>
        <w:tc>
          <w:tcPr>
            <w:tcW w:w="3029" w:type="pct"/>
            <w:noWrap w:val="0"/>
            <w:vAlign w:val="center"/>
          </w:tcPr>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千兆端口</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Wan口数量：1个</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LAN口数量：4个及以上</w:t>
            </w:r>
          </w:p>
        </w:tc>
        <w:tc>
          <w:tcPr>
            <w:tcW w:w="729"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1台/每队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83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竞赛服务器</w:t>
            </w:r>
          </w:p>
        </w:tc>
        <w:tc>
          <w:tcPr>
            <w:tcW w:w="3029" w:type="pct"/>
            <w:noWrap w:val="0"/>
            <w:vAlign w:val="center"/>
          </w:tcPr>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双路至强处理器32核心 64线程及以上，128G及以上内存，512G及以上固态硬盘，显示器分辨率1920*1080及以上，千兆网络接口，USB接口</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sz w:val="21"/>
                <w:szCs w:val="21"/>
              </w:rPr>
            </w:pPr>
            <w:r>
              <w:rPr>
                <w:rFonts w:hint="eastAsia" w:ascii="仿宋" w:hAnsi="仿宋" w:eastAsia="仿宋" w:cs="仿宋"/>
                <w:color w:val="000000"/>
                <w:sz w:val="21"/>
                <w:szCs w:val="21"/>
              </w:rPr>
              <w:t>Windows Server 2021操作系统</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部署本地资源服务</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支持虚拟化服务</w:t>
            </w:r>
          </w:p>
        </w:tc>
        <w:tc>
          <w:tcPr>
            <w:tcW w:w="729"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40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83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交换机</w:t>
            </w:r>
          </w:p>
        </w:tc>
        <w:tc>
          <w:tcPr>
            <w:tcW w:w="3029" w:type="pct"/>
            <w:noWrap w:val="0"/>
            <w:vAlign w:val="center"/>
          </w:tcPr>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端口：48口（千兆）</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网管类型：网管</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层级：三层企业级网络交换机</w:t>
            </w:r>
          </w:p>
          <w:p>
            <w:pPr>
              <w:keepNext w:val="0"/>
              <w:keepLines w:val="0"/>
              <w:pageBreakBefore w:val="0"/>
              <w:numPr>
                <w:ilvl w:val="0"/>
                <w:numId w:val="7"/>
              </w:numPr>
              <w:kinsoku/>
              <w:wordWrap/>
              <w:overflowPunct/>
              <w:topLinePunct w:val="0"/>
              <w:autoSpaceDE/>
              <w:autoSpaceDN/>
              <w:bidi w:val="0"/>
              <w:adjustRightInd/>
              <w:snapToGrid/>
              <w:spacing w:line="240" w:lineRule="auto"/>
              <w:ind w:left="0" w:firstLine="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特性：支持VLAN、WEB网管、端口隔离、ACL IP扩展等特性</w:t>
            </w:r>
          </w:p>
        </w:tc>
        <w:tc>
          <w:tcPr>
            <w:tcW w:w="729"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3台</w:t>
            </w:r>
          </w:p>
        </w:tc>
      </w:tr>
    </w:tbl>
    <w:p>
      <w:pPr>
        <w:pStyle w:val="2"/>
        <w:keepNext w:val="0"/>
        <w:keepLines w:val="0"/>
        <w:pageBreakBefore w:val="0"/>
        <w:kinsoku/>
        <w:wordWrap/>
        <w:overflowPunct/>
        <w:topLinePunct w:val="0"/>
        <w:autoSpaceDE/>
        <w:autoSpaceDN/>
        <w:bidi w:val="0"/>
        <w:adjustRightInd/>
        <w:snapToGrid/>
        <w:spacing w:after="0" w:line="240" w:lineRule="auto"/>
        <w:ind w:firstLine="210"/>
        <w:textAlignment w:val="auto"/>
        <w:rPr>
          <w:rFonts w:hint="eastAsia" w:ascii="仿宋" w:hAnsi="仿宋" w:eastAsia="仿宋" w:cs="仿宋"/>
          <w:sz w:val="21"/>
          <w:szCs w:val="21"/>
        </w:rPr>
      </w:pP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（二）</w:t>
      </w:r>
      <w:r>
        <w:rPr>
          <w:rFonts w:hint="eastAsia" w:ascii="楷体_GB2312" w:hAnsi="楷体_GB2312" w:eastAsia="楷体_GB2312" w:cs="楷体_GB2312"/>
          <w:sz w:val="30"/>
          <w:szCs w:val="30"/>
        </w:rPr>
        <w:t>竞赛软件平台——标准软件平台</w:t>
      </w:r>
    </w:p>
    <w:tbl>
      <w:tblPr>
        <w:tblStyle w:val="15"/>
        <w:tblW w:w="4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2498"/>
        <w:gridCol w:w="3240"/>
        <w:gridCol w:w="91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25"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类别</w:t>
            </w:r>
          </w:p>
        </w:tc>
        <w:tc>
          <w:tcPr>
            <w:tcW w:w="1370"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名称</w:t>
            </w:r>
          </w:p>
        </w:tc>
        <w:tc>
          <w:tcPr>
            <w:tcW w:w="1777"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版本</w:t>
            </w:r>
          </w:p>
        </w:tc>
        <w:tc>
          <w:tcPr>
            <w:tcW w:w="503"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单位</w:t>
            </w:r>
          </w:p>
        </w:tc>
        <w:tc>
          <w:tcPr>
            <w:tcW w:w="525" w:type="pct"/>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操作系统</w:t>
            </w: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Windows10</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Windows 10专业版（64位）</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开发工具</w:t>
            </w: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Adobe Photoshop</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2019</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Axure RP</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9.0</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IntelliJ IDEA </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2023.1</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Visual Studio Code</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1.77及以上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HBuilder X</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3.1.22</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前端开发</w:t>
            </w: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clipboard</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2.0.6</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core-js</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3.8.1</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file-saver</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2.0.4</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js-cookie</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2.2.1</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jsencrypt</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3.0.0-rc.1</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screenfull</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5.0.2</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axios</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0.21.0</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vue-router</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3.4.9</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vuex</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3.6.0</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connect</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3.6.6</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sass</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3.32.0</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Node.js</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14.18</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Vue</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2.6.12</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Element-ui</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2.14.1</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Echarts</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5.3.3</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vue-element-admin</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Version 4.4.0及以上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后端开发</w:t>
            </w: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Spring</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2.2.12</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Tomcat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color w:val="000000"/>
                <w:sz w:val="21"/>
                <w:szCs w:val="21"/>
              </w:rPr>
              <w:t>内嵌至Spring</w:t>
            </w:r>
            <w:r>
              <w:rPr>
                <w:rFonts w:hint="eastAsia" w:ascii="仿宋" w:hAnsi="仿宋" w:eastAsia="仿宋" w:cs="仿宋"/>
                <w:sz w:val="21"/>
                <w:szCs w:val="21"/>
              </w:rPr>
              <w:t>）</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9</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Mybatis</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3及以上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Spring Security</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5.0及以上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JDK</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8</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Jwt</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2.5.0</w:t>
            </w:r>
            <w:r>
              <w:rPr>
                <w:rFonts w:hint="eastAsia" w:ascii="仿宋" w:hAnsi="仿宋" w:eastAsia="仿宋" w:cs="仿宋"/>
                <w:color w:val="000000"/>
                <w:sz w:val="21"/>
                <w:szCs w:val="21"/>
              </w:rPr>
              <w:t>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数据库及管理工具</w:t>
            </w: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MySQL </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8.0</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Redis</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3.0及以上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Navicat Premium</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11.0及以上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MySQL Workbench</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8.0及以上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浏览器</w:t>
            </w: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Firefox</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112及以上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Chrome</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111及以上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其他辅助软件</w:t>
            </w:r>
          </w:p>
        </w:tc>
        <w:tc>
          <w:tcPr>
            <w:tcW w:w="1370" w:type="pct"/>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WPS</w:t>
            </w:r>
          </w:p>
        </w:tc>
        <w:tc>
          <w:tcPr>
            <w:tcW w:w="1777" w:type="pct"/>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Version 11.1.0</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GitStack</w:t>
            </w:r>
          </w:p>
        </w:tc>
        <w:tc>
          <w:tcPr>
            <w:tcW w:w="1777" w:type="pct"/>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2.3.11</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Postman</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Version </w:t>
            </w:r>
            <w:r>
              <w:rPr>
                <w:rFonts w:hint="eastAsia" w:ascii="仿宋" w:hAnsi="仿宋" w:eastAsia="仿宋" w:cs="仿宋"/>
                <w:sz w:val="21"/>
                <w:szCs w:val="21"/>
              </w:rPr>
              <w:t>10.5</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Office Visio</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Version 2022</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WinRAR</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Version 2022</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phpstudy</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sz w:val="21"/>
                <w:szCs w:val="21"/>
              </w:rPr>
              <w:t>Version 8.0</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JMeter</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Version 5.5</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p>
        </w:tc>
        <w:tc>
          <w:tcPr>
            <w:tcW w:w="1370"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Nginx</w:t>
            </w:r>
          </w:p>
        </w:tc>
        <w:tc>
          <w:tcPr>
            <w:tcW w:w="177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Version 1.5.1及以上</w:t>
            </w:r>
          </w:p>
        </w:tc>
        <w:tc>
          <w:tcPr>
            <w:tcW w:w="50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套</w:t>
            </w:r>
          </w:p>
        </w:tc>
        <w:tc>
          <w:tcPr>
            <w:tcW w:w="525"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r>
    </w:tbl>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（三）赛场内禁止自带使用的设备和材料</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禁带物品包括但不限于：电子设备，如平板、手机、多媒体播放器、录音器，照相机，摄影机等。</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十二、成绩评定</w:t>
      </w:r>
    </w:p>
    <w:p>
      <w:pPr>
        <w:snapToGrid w:val="0"/>
        <w:spacing w:line="560" w:lineRule="exact"/>
        <w:ind w:firstLine="602" w:firstLineChars="200"/>
        <w:rPr>
          <w:rFonts w:ascii="仿宋" w:hAnsi="仿宋" w:eastAsia="仿宋"/>
          <w:b/>
          <w:bCs/>
          <w:sz w:val="30"/>
          <w:szCs w:val="30"/>
        </w:rPr>
      </w:pPr>
      <w:r>
        <w:rPr>
          <w:rFonts w:ascii="仿宋" w:hAnsi="仿宋" w:eastAsia="仿宋"/>
          <w:b/>
          <w:bCs/>
          <w:sz w:val="30"/>
          <w:szCs w:val="30"/>
        </w:rPr>
        <w:t>1.结果评分原则</w:t>
      </w:r>
    </w:p>
    <w:p>
      <w:pPr>
        <w:snapToGrid w:val="0"/>
        <w:spacing w:line="560" w:lineRule="exact"/>
        <w:ind w:firstLine="600" w:firstLineChars="200"/>
        <w:rPr>
          <w:rFonts w:ascii="仿宋" w:hAnsi="仿宋" w:eastAsia="仿宋"/>
          <w:sz w:val="30"/>
          <w:szCs w:val="30"/>
        </w:rPr>
      </w:pPr>
      <w:r>
        <w:rPr>
          <w:rFonts w:ascii="仿宋" w:hAnsi="仿宋" w:eastAsia="仿宋"/>
          <w:sz w:val="30"/>
          <w:szCs w:val="30"/>
        </w:rPr>
        <w:t>评分裁判对参赛选手提交的竞赛成果物，依据赛项评价标准进行评分。</w:t>
      </w:r>
    </w:p>
    <w:p>
      <w:pPr>
        <w:snapToGrid w:val="0"/>
        <w:spacing w:line="560" w:lineRule="exact"/>
        <w:ind w:firstLine="602" w:firstLineChars="200"/>
        <w:rPr>
          <w:rFonts w:ascii="仿宋" w:hAnsi="仿宋" w:eastAsia="仿宋"/>
          <w:b/>
          <w:bCs/>
          <w:sz w:val="30"/>
          <w:szCs w:val="30"/>
        </w:rPr>
      </w:pPr>
      <w:r>
        <w:rPr>
          <w:rFonts w:ascii="仿宋" w:hAnsi="仿宋" w:eastAsia="仿宋"/>
          <w:b/>
          <w:bCs/>
          <w:sz w:val="30"/>
          <w:szCs w:val="30"/>
        </w:rPr>
        <w:t>2.独立评分原则</w:t>
      </w:r>
    </w:p>
    <w:p>
      <w:pPr>
        <w:snapToGrid w:val="0"/>
        <w:spacing w:line="560" w:lineRule="exact"/>
        <w:ind w:firstLine="600" w:firstLineChars="200"/>
        <w:rPr>
          <w:rFonts w:ascii="仿宋" w:hAnsi="仿宋" w:eastAsia="仿宋"/>
          <w:sz w:val="30"/>
          <w:szCs w:val="30"/>
        </w:rPr>
      </w:pPr>
      <w:r>
        <w:rPr>
          <w:rFonts w:ascii="仿宋" w:hAnsi="仿宋" w:eastAsia="仿宋"/>
          <w:sz w:val="30"/>
          <w:szCs w:val="30"/>
        </w:rPr>
        <w:t>根据裁判分工，负责相同模块评分工作的不同裁判采取随机抽签独立评分，确保成绩评定严谨、客观、准确。</w:t>
      </w:r>
    </w:p>
    <w:p>
      <w:pPr>
        <w:snapToGrid w:val="0"/>
        <w:spacing w:line="560" w:lineRule="exact"/>
        <w:ind w:firstLine="600" w:firstLineChars="200"/>
        <w:rPr>
          <w:rFonts w:ascii="仿宋" w:hAnsi="仿宋" w:eastAsia="仿宋"/>
          <w:sz w:val="30"/>
          <w:szCs w:val="30"/>
        </w:rPr>
      </w:pPr>
      <w:r>
        <w:rPr>
          <w:rFonts w:ascii="仿宋" w:hAnsi="仿宋" w:eastAsia="仿宋"/>
          <w:sz w:val="30"/>
          <w:szCs w:val="30"/>
        </w:rPr>
        <w:t>（1）裁判进行随机抽签分组，杜绝主观意愿组队，各自完全独立评分，裁判员间互不干涉。</w:t>
      </w:r>
    </w:p>
    <w:p>
      <w:pPr>
        <w:pStyle w:val="31"/>
        <w:snapToGrid w:val="0"/>
        <w:spacing w:line="560" w:lineRule="exact"/>
        <w:ind w:left="0" w:firstLine="600" w:firstLineChars="200"/>
        <w:rPr>
          <w:sz w:val="30"/>
          <w:szCs w:val="30"/>
        </w:rPr>
      </w:pPr>
      <w:r>
        <w:rPr>
          <w:sz w:val="30"/>
          <w:szCs w:val="30"/>
        </w:rPr>
        <w:t>（2）裁判统一安排在一间工作室评分，比赛监督人员可随机监督。</w:t>
      </w:r>
    </w:p>
    <w:p>
      <w:pPr>
        <w:snapToGrid w:val="0"/>
        <w:spacing w:line="560" w:lineRule="exact"/>
        <w:ind w:firstLine="602" w:firstLineChars="200"/>
        <w:rPr>
          <w:rFonts w:ascii="仿宋" w:hAnsi="仿宋" w:eastAsia="仿宋"/>
          <w:b/>
          <w:bCs/>
          <w:sz w:val="30"/>
          <w:szCs w:val="30"/>
        </w:rPr>
      </w:pPr>
      <w:r>
        <w:rPr>
          <w:rFonts w:ascii="仿宋" w:hAnsi="仿宋" w:eastAsia="仿宋"/>
          <w:b/>
          <w:bCs/>
          <w:sz w:val="30"/>
          <w:szCs w:val="30"/>
        </w:rPr>
        <w:t>3.错误不传递原则</w:t>
      </w:r>
    </w:p>
    <w:p>
      <w:pPr>
        <w:snapToGrid w:val="0"/>
        <w:spacing w:line="560" w:lineRule="exact"/>
        <w:ind w:firstLine="600" w:firstLineChars="200"/>
        <w:rPr>
          <w:rFonts w:ascii="仿宋" w:hAnsi="仿宋" w:eastAsia="仿宋"/>
          <w:sz w:val="30"/>
          <w:szCs w:val="30"/>
        </w:rPr>
      </w:pPr>
      <w:r>
        <w:rPr>
          <w:rFonts w:ascii="仿宋" w:hAnsi="仿宋" w:eastAsia="仿宋"/>
          <w:sz w:val="30"/>
          <w:szCs w:val="30"/>
        </w:rPr>
        <w:t>各环节分别计算得分，错误不传递，按规定比例计入总分。</w:t>
      </w:r>
    </w:p>
    <w:p>
      <w:pPr>
        <w:snapToGrid w:val="0"/>
        <w:spacing w:line="560" w:lineRule="exact"/>
        <w:ind w:firstLine="602" w:firstLineChars="200"/>
        <w:rPr>
          <w:rFonts w:ascii="仿宋" w:hAnsi="仿宋" w:eastAsia="仿宋"/>
          <w:b/>
          <w:bCs/>
          <w:sz w:val="30"/>
          <w:szCs w:val="30"/>
        </w:rPr>
      </w:pPr>
      <w:r>
        <w:rPr>
          <w:rFonts w:hint="eastAsia" w:ascii="仿宋" w:hAnsi="仿宋" w:eastAsia="仿宋"/>
          <w:b/>
          <w:bCs/>
          <w:sz w:val="30"/>
          <w:szCs w:val="30"/>
        </w:rPr>
        <w:t>4</w:t>
      </w:r>
      <w:r>
        <w:rPr>
          <w:rFonts w:ascii="仿宋" w:hAnsi="仿宋" w:eastAsia="仿宋"/>
          <w:b/>
          <w:bCs/>
          <w:sz w:val="30"/>
          <w:szCs w:val="30"/>
        </w:rPr>
        <w:t>.抽查复核原则</w:t>
      </w:r>
    </w:p>
    <w:p>
      <w:pPr>
        <w:snapToGrid w:val="0"/>
        <w:spacing w:line="560" w:lineRule="exact"/>
        <w:ind w:firstLine="600" w:firstLineChars="200"/>
        <w:rPr>
          <w:rFonts w:ascii="仿宋" w:hAnsi="仿宋" w:eastAsia="仿宋"/>
          <w:sz w:val="30"/>
          <w:szCs w:val="30"/>
        </w:rPr>
      </w:pPr>
      <w:r>
        <w:rPr>
          <w:rFonts w:ascii="仿宋" w:hAnsi="仿宋" w:eastAsia="仿宋"/>
          <w:sz w:val="30"/>
          <w:szCs w:val="30"/>
        </w:rPr>
        <w:t>（1）为保障成绩评判的准确性，监督组对赛项总成绩排名前30%的所有参赛队伍（选手）的成绩进行复核；对其余成绩进行抽检复核，抽检覆盖率不得低于15%。</w:t>
      </w:r>
    </w:p>
    <w:p>
      <w:pPr>
        <w:pStyle w:val="31"/>
        <w:snapToGrid w:val="0"/>
        <w:spacing w:line="560" w:lineRule="exact"/>
        <w:ind w:left="0" w:firstLine="600" w:firstLineChars="200"/>
        <w:rPr>
          <w:rFonts w:cs="Times New Roman"/>
          <w:kern w:val="2"/>
          <w:sz w:val="28"/>
          <w:szCs w:val="28"/>
          <w:lang w:val="en-US" w:bidi="ar-SA"/>
        </w:rPr>
      </w:pPr>
      <w:r>
        <w:rPr>
          <w:sz w:val="30"/>
          <w:szCs w:val="30"/>
        </w:rPr>
        <w:t>（2）监督组需将复检中发现的错误以书面方式及时告知裁判长，由</w:t>
      </w:r>
      <w:r>
        <w:rPr>
          <w:rFonts w:cs="Times New Roman"/>
          <w:kern w:val="2"/>
          <w:sz w:val="30"/>
          <w:szCs w:val="30"/>
          <w:lang w:val="en-US" w:bidi="ar-SA"/>
        </w:rPr>
        <w:t>裁判长更正成绩并签字确认。复核、抽检错误率超过5%的，则认定为非小概率事件，裁判组需对所有成绩进行复核。</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十三、奖项设定</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根据《河南省教育厅办公室关于举办2023年全国职业院校技能大赛河南省选拔赛的通知》（教职成函〔2023〕276号）要求，本次应用软件系统开发赛项省选拔赛不设置奖项。竞赛结果进行排名，推荐参加国赛。</w:t>
      </w:r>
    </w:p>
    <w:p>
      <w:pPr>
        <w:spacing w:line="560" w:lineRule="exact"/>
        <w:ind w:firstLine="600" w:firstLineChars="200"/>
        <w:rPr>
          <w:rFonts w:hint="eastAsia" w:ascii="仿宋_GB2312" w:hAnsi="仿宋_GB2312" w:eastAsia="仿宋_GB2312" w:cs="仿宋_GB2312"/>
          <w:sz w:val="30"/>
          <w:szCs w:val="30"/>
          <w:lang w:val="zh-TW"/>
        </w:rPr>
      </w:pPr>
      <w:r>
        <w:rPr>
          <w:rFonts w:hint="eastAsia" w:ascii="仿宋_GB2312" w:hAnsi="仿宋_GB2312" w:eastAsia="仿宋_GB2312" w:cs="仿宋_GB2312"/>
          <w:sz w:val="30"/>
          <w:szCs w:val="30"/>
          <w:lang w:val="zh-TW"/>
        </w:rPr>
        <w:t>如出现参赛队总分相同情况，按照模块分值权重顺序的得分高低排序，即总成绩相同的情况下比较模块二的成绩，模块二成绩高的排名优先；如果模块二成绩也相同，则按模块一、模块三的成绩进行排名，以此类推完成相同成绩的排序。如果所有模块分值相同，则查看文档撰写规范分值进行排序。</w:t>
      </w:r>
    </w:p>
    <w:p>
      <w:pPr>
        <w:spacing w:line="560" w:lineRule="exact"/>
        <w:ind w:left="560"/>
        <w:rPr>
          <w:rFonts w:eastAsia="黑体"/>
          <w:bCs/>
          <w:sz w:val="30"/>
          <w:szCs w:val="30"/>
          <w:lang w:val="zh-TW"/>
        </w:rPr>
      </w:pPr>
      <w:r>
        <w:rPr>
          <w:rFonts w:eastAsia="黑体"/>
          <w:bCs/>
          <w:sz w:val="30"/>
          <w:szCs w:val="30"/>
          <w:lang w:val="zh-TW"/>
        </w:rPr>
        <w:t>十</w:t>
      </w:r>
      <w:r>
        <w:rPr>
          <w:rFonts w:hint="eastAsia" w:eastAsia="黑体"/>
          <w:bCs/>
          <w:sz w:val="30"/>
          <w:szCs w:val="30"/>
          <w:lang w:val="zh-TW"/>
        </w:rPr>
        <w:t>四</w:t>
      </w:r>
      <w:r>
        <w:rPr>
          <w:rFonts w:eastAsia="黑体"/>
          <w:bCs/>
          <w:sz w:val="30"/>
          <w:szCs w:val="30"/>
          <w:lang w:val="zh-TW"/>
        </w:rPr>
        <w:t>、</w:t>
      </w:r>
      <w:r>
        <w:rPr>
          <w:rFonts w:hint="eastAsia" w:eastAsia="黑体"/>
          <w:bCs/>
          <w:sz w:val="30"/>
          <w:szCs w:val="30"/>
          <w:lang w:val="zh-TW"/>
        </w:rPr>
        <w:t>赛场预案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为确保应用软件系统开发赛项安全顺利进行，保障各地参赛队师生的人身安全，及时有效的处理大赛期间突发安全事故，保证大赛安全有序的进行，特制定以下方案及突发安全事故应急预案。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1.严格按照《高等学校实验室安全管理办法》的有关规定准备和开展赛项的竞赛活动。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2.成立竞赛安全工作组，分设安全用电、防火等安保人员，对赛场内所有设施设备进行安全检查，排除各种安全隐患。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3.对竞赛中可能出现的伤害事故，做好相应的应急准备，备好急救药品及车辆，确保及时实施救助。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4.制定赛场指示图，竞赛期间遇有突发或紧急情况，有关人员按赛场疏散图指标指示，有指定专人指引、带领及时做好疏散。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5.针对各个赛项的安全隐患，特做如下应急预案：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（1）加强赛场安保，与比赛无关人员禁止进入竞赛场地；</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（2）用到易燃试剂或气体的比赛场地加配灭火器材，并配备足够的安全员；</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十五、赛项安全</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赛事安全是技能竞赛一切工作顺利开展的先决条件，是赛事筹备和运行工作必须考虑的核心问题。赛项执委会采取切实有效措施保证大赛期间参赛选手、指导教师、裁判员、工作人员及观众的人身安全。</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执委会须在赛前组织专人对比赛现场、住宿场所和交通保障进行考察，并对安全工作提出明确要求。赛场的布置，赛场内的器材、设备，应符合国家有关安全规定。承办单位赛前须按照执委会要求排除安全隐患。</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赛场周围要设立警戒线，防止无关人员进入发生意外事件。比赛现场内应参照相关职业岗位的要求为选手提供必要的劳动保护。在具有危险性的操作环节，裁判员要严防选手出现错误操作。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执委会须会同承办单位制定赛场和体验区的人员疏导方案。赛场环境中存在人员密集、车流人流交错的区域，除了设置齐全的指示标志外，须增加引导人员，并开辟备用通道。</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大赛期间，承办单位须在赛场管理的关键岗位，增加力量，建立安全管理日志。</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（二）生活条件</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比赛期间，原则上由执委会统一安排参赛选手和指导教师食宿。承办单位须尊重少数民族的信仰及文化，根据国家相关的民族政策，安排好少数民族选手和教师的饮食起居。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比赛期间安排的住宿地应具有宾馆/住宿经营许可资质。大赛期间的住宿、卫生、饮食安全等由执委会和提供宿舍的学校共同负责。</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各赛项的安全管理，除了可以采取必要的安全隔离措施外，应严格遵守国家相关法律法规，保护个人隐私和人身自由。</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（三）组队责任</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 xml:space="preserve"> </w:t>
      </w:r>
      <w:r>
        <w:rPr>
          <w:rFonts w:hint="eastAsia" w:ascii="仿宋_GB2312" w:hAnsi="仿宋" w:eastAsia="仿宋_GB2312"/>
          <w:sz w:val="30"/>
          <w:szCs w:val="30"/>
        </w:rPr>
        <w:t>各学校组织代表队时，须安排为参赛选手购买大赛期间的人身意外伤害保险。</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 xml:space="preserve"> </w:t>
      </w:r>
      <w:r>
        <w:rPr>
          <w:rFonts w:hint="eastAsia" w:ascii="仿宋_GB2312" w:hAnsi="仿宋" w:eastAsia="仿宋_GB2312"/>
          <w:sz w:val="30"/>
          <w:szCs w:val="30"/>
        </w:rPr>
        <w:t>各学校代表队组成后，须制定相关管理制度，并对所有选手、指导教师进行安全教育。</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 xml:space="preserve"> </w:t>
      </w:r>
      <w:r>
        <w:rPr>
          <w:rFonts w:hint="eastAsia" w:ascii="仿宋_GB2312" w:hAnsi="仿宋" w:eastAsia="仿宋_GB2312"/>
          <w:sz w:val="30"/>
          <w:szCs w:val="30"/>
        </w:rPr>
        <w:t>各参赛队伍须加强对参与比赛人员的安全管理，实现与赛场安全管理的对接。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 xml:space="preserve"> </w:t>
      </w:r>
      <w:r>
        <w:rPr>
          <w:rFonts w:hint="eastAsia" w:ascii="仿宋_GB2312" w:hAnsi="仿宋" w:eastAsia="仿宋_GB2312"/>
          <w:sz w:val="30"/>
          <w:szCs w:val="30"/>
        </w:rPr>
        <w:t>按照疫情防控的要求，各学校代表队要保证比赛人员的身体健康。如比赛人员有发热等不适症状，要及时向组委会报告。</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（四）应急安全预案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比赛期间发生意外事故，发现者应第一时间报告大赛执委会，同时采取措施避免事态扩大。大赛执委会应立即启动预案予以解决并报告省大赛办。赛项出现重大安全问题可以停赛，是否停赛由省大赛办决定。事后，大赛执委会应向省大赛办报告详细情况。</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相关应急预案如下表所示。</w:t>
      </w:r>
    </w:p>
    <w:p>
      <w:pPr>
        <w:ind w:firstLine="281" w:firstLineChars="100"/>
        <w:jc w:val="center"/>
        <w:rPr>
          <w:rFonts w:hint="eastAsia" w:ascii="仿宋_GB2312" w:eastAsia="仿宋_GB2312"/>
          <w:b/>
          <w:color w:val="0D0D0D"/>
          <w:sz w:val="28"/>
          <w:szCs w:val="28"/>
        </w:rPr>
      </w:pPr>
      <w:r>
        <w:rPr>
          <w:rFonts w:hint="eastAsia" w:ascii="仿宋_GB2312" w:eastAsia="仿宋_GB2312"/>
          <w:b/>
          <w:color w:val="0D0D0D"/>
          <w:sz w:val="28"/>
          <w:szCs w:val="28"/>
        </w:rPr>
        <w:t>应急预案</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632"/>
        <w:gridCol w:w="3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突发事件</w:t>
            </w:r>
          </w:p>
        </w:tc>
        <w:tc>
          <w:tcPr>
            <w:tcW w:w="3632"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预防措施</w:t>
            </w:r>
          </w:p>
        </w:tc>
        <w:tc>
          <w:tcPr>
            <w:tcW w:w="3863"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ascii="黑体" w:hAnsi="黑体" w:eastAsia="黑体" w:cs="黑体"/>
                <w:color w:val="000000"/>
                <w:sz w:val="21"/>
                <w:szCs w:val="21"/>
              </w:rPr>
            </w:pPr>
            <w:r>
              <w:rPr>
                <w:rFonts w:hint="eastAsia" w:ascii="黑体" w:hAnsi="黑体" w:eastAsia="黑体" w:cs="黑体"/>
                <w:color w:val="000000"/>
                <w:sz w:val="21"/>
                <w:szCs w:val="21"/>
              </w:rPr>
              <w:t>事件发生后应对措施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参赛选手突发病或受伤</w:t>
            </w:r>
          </w:p>
        </w:tc>
        <w:tc>
          <w:tcPr>
            <w:tcW w:w="363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在各赛位张贴安全操作说明</w:t>
            </w:r>
          </w:p>
        </w:tc>
        <w:tc>
          <w:tcPr>
            <w:tcW w:w="386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医务人员应采取紧急救护措施，及时进行救治，如病情或伤势严重，应及时送往最近医院进行救治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人员发生食物中毒</w:t>
            </w:r>
          </w:p>
        </w:tc>
        <w:tc>
          <w:tcPr>
            <w:tcW w:w="363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比赛期间指定的住宿/餐饮场地符合国家相关资质要求。并协调地方卫生部门做好检查工作</w:t>
            </w:r>
          </w:p>
        </w:tc>
        <w:tc>
          <w:tcPr>
            <w:tcW w:w="386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立即组织对中毒人员进行救治，必要时送往最近医院进行检查治疗。同时对可疑的食品、饮水及其有关原料、工具设备和场所以及可能受污染的区域采取保留、控制措施，组织开展现场调查，迅速查明原因，并及时向大赛执委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设备损坏（如不能启动、反复重启等）</w:t>
            </w:r>
          </w:p>
        </w:tc>
        <w:tc>
          <w:tcPr>
            <w:tcW w:w="363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提前一天烤机，所有设备开机运行</w:t>
            </w:r>
            <w:r>
              <w:rPr>
                <w:rFonts w:hint="eastAsia" w:ascii="仿宋" w:hAnsi="仿宋" w:eastAsia="仿宋"/>
                <w:color w:val="0D0D0D"/>
                <w:sz w:val="21"/>
                <w:szCs w:val="21"/>
              </w:rPr>
              <w:t>，</w:t>
            </w:r>
            <w:r>
              <w:rPr>
                <w:rFonts w:ascii="仿宋" w:hAnsi="仿宋" w:eastAsia="仿宋"/>
                <w:color w:val="0D0D0D"/>
                <w:sz w:val="21"/>
                <w:szCs w:val="21"/>
              </w:rPr>
              <w:t>现场放置备机</w:t>
            </w:r>
          </w:p>
        </w:tc>
        <w:tc>
          <w:tcPr>
            <w:tcW w:w="386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参赛选手举手示意后，监考人员计时，裁判确认后更换备机，并由主裁判确定应计入延时</w:t>
            </w:r>
            <w:r>
              <w:rPr>
                <w:rFonts w:hint="eastAsia" w:ascii="仿宋" w:hAnsi="仿宋" w:eastAsia="仿宋"/>
                <w:color w:val="0D0D0D"/>
                <w:sz w:val="21"/>
                <w:szCs w:val="21"/>
              </w:rPr>
              <w:t>的</w:t>
            </w:r>
            <w:r>
              <w:rPr>
                <w:rFonts w:ascii="仿宋" w:hAnsi="仿宋" w:eastAsia="仿宋"/>
                <w:color w:val="0D0D0D"/>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设备掉电</w:t>
            </w:r>
          </w:p>
        </w:tc>
        <w:tc>
          <w:tcPr>
            <w:tcW w:w="363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竞赛前技术人员及监考人员检查所有电源插头，确保牢固；电源线尽量绑扎在参赛选手碰不到的地方，如桌子后面等；竞赛前提醒参赛选手注意尽量不要碰到电源，配置文件要随时保存</w:t>
            </w:r>
          </w:p>
        </w:tc>
        <w:tc>
          <w:tcPr>
            <w:tcW w:w="386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参赛选手举手示意后，监考人员计时，裁判确认后重启机器，并由主裁判确定应计入延时的时间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现场网络线缆故障</w:t>
            </w:r>
          </w:p>
        </w:tc>
        <w:tc>
          <w:tcPr>
            <w:tcW w:w="363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现场走线要规范，尽量走暗槽或现场人员接触不到的地方；对主要线路要在走线槽内留有备线</w:t>
            </w:r>
          </w:p>
        </w:tc>
        <w:tc>
          <w:tcPr>
            <w:tcW w:w="3863"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D0D0D"/>
                <w:sz w:val="21"/>
                <w:szCs w:val="21"/>
              </w:rPr>
            </w:pPr>
            <w:r>
              <w:rPr>
                <w:rFonts w:ascii="仿宋" w:hAnsi="仿宋" w:eastAsia="仿宋"/>
                <w:color w:val="0D0D0D"/>
                <w:sz w:val="21"/>
                <w:szCs w:val="21"/>
              </w:rPr>
              <w:t>启用备线</w:t>
            </w:r>
          </w:p>
        </w:tc>
      </w:tr>
    </w:tbl>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（五）处罚措施</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 因参赛队伍原因造成重大安全事故的，取消其获奖资格。</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 参赛队伍有发生重大安全事故隐患，经赛场工作人员提示、警告无效的，可取消其继续比赛的资格。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 赛事工作人员违规的，按照相应的制度追究责任。情节恶劣并造成重大安全事故的，由司法机关追究相应法律责任。</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十六、申诉与仲裁</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 xml:space="preserve">本赛项在比赛过程中若出现有失公正或有关人员违规等现象，参赛队领队可在比赛结束后2小时之内向仲裁组提出书面申诉。 </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书面申诉应对申诉事件的现象、发生时间、涉及人员、申诉依据等进行充分、实事求是的叙述，并由领队亲笔签名。非书面申诉不予受理。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赛项仲裁工作组在接到申诉报告后的2小时内组织复议，并及时将复议结果以书面形式告知申诉方。</w:t>
      </w: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rPr>
        <w:t>十七、赛项须知</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 xml:space="preserve"> </w:t>
      </w:r>
      <w:r>
        <w:rPr>
          <w:rFonts w:hint="eastAsia" w:ascii="仿宋_GB2312" w:hAnsi="仿宋" w:eastAsia="仿宋_GB2312"/>
          <w:sz w:val="30"/>
          <w:szCs w:val="30"/>
        </w:rPr>
        <w:t>参赛队名称。统一使用学校的名称；不接受跨校组队，同一学校相同项目报名参赛队不超过1支。</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 xml:space="preserve"> </w:t>
      </w:r>
      <w:r>
        <w:rPr>
          <w:rFonts w:hint="eastAsia" w:ascii="仿宋_GB2312" w:hAnsi="仿宋" w:eastAsia="仿宋_GB2312"/>
          <w:sz w:val="30"/>
          <w:szCs w:val="30"/>
        </w:rPr>
        <w:t>参赛队组成。每支参赛队由3名符合参赛资格学生组成，性别不限。</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 xml:space="preserve"> </w:t>
      </w:r>
      <w:r>
        <w:rPr>
          <w:rFonts w:hint="eastAsia" w:ascii="仿宋_GB2312" w:hAnsi="仿宋" w:eastAsia="仿宋_GB2312"/>
          <w:sz w:val="30"/>
          <w:szCs w:val="30"/>
        </w:rPr>
        <w:t>指导教师。每支参赛队可配指导教师2名，指导教师经报名并通过资格审查后确定。</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 xml:space="preserve"> </w:t>
      </w:r>
      <w:r>
        <w:rPr>
          <w:rFonts w:hint="eastAsia" w:ascii="仿宋_GB2312" w:hAnsi="仿宋" w:eastAsia="仿宋_GB2312"/>
          <w:sz w:val="30"/>
          <w:szCs w:val="30"/>
        </w:rPr>
        <w:t>参赛选手及指导教师在报名获得确认后，原则上不再更换。如在筹备过程中，参赛选手及指导教师因故不能参赛，参赛单位主管部门应在赛项开赛前5个工作日之前需出具书面说明和证明材料，经大赛执委会办公室核实后予以更换。竞赛开始前3个工作日内，参赛队不得更换参赛选手，允许队员缺席比赛。不允许更换新的指导教师，允许指导教师缺席。</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 xml:space="preserve"> </w:t>
      </w:r>
      <w:r>
        <w:rPr>
          <w:rFonts w:hint="eastAsia" w:ascii="仿宋_GB2312" w:hAnsi="仿宋" w:eastAsia="仿宋_GB2312"/>
          <w:sz w:val="30"/>
          <w:szCs w:val="30"/>
        </w:rPr>
        <w:t>各学校组织代表队时，须安排为参赛选手购买大赛期间的人身意外伤害保险。</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（二）指导教师须知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 xml:space="preserve"> </w:t>
      </w:r>
      <w:r>
        <w:rPr>
          <w:rFonts w:hint="eastAsia" w:ascii="仿宋_GB2312" w:hAnsi="仿宋" w:eastAsia="仿宋_GB2312"/>
          <w:sz w:val="30"/>
          <w:szCs w:val="30"/>
        </w:rPr>
        <w:t>指导教师应该根据专业教学计划和赛项规程合理制定训练方案，认真指导选手训练，培养选手的综合职业能力和良好的职业素养， 克服功利化思想，避免为赛而学、以赛代学。</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 xml:space="preserve"> </w:t>
      </w:r>
      <w:r>
        <w:rPr>
          <w:rFonts w:hint="eastAsia" w:ascii="仿宋_GB2312" w:hAnsi="仿宋" w:eastAsia="仿宋_GB2312"/>
          <w:sz w:val="30"/>
          <w:szCs w:val="30"/>
        </w:rPr>
        <w:t>指导老师应及时查看大赛专用网页有关赛项的通知和内容， 认真研究和掌握本赛项竞赛的规程、技术规范和赛场要求，指导选手做好赛前的一切技术准备和竞赛准备。</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 xml:space="preserve"> </w:t>
      </w:r>
      <w:r>
        <w:rPr>
          <w:rFonts w:hint="eastAsia" w:ascii="仿宋_GB2312" w:hAnsi="仿宋" w:eastAsia="仿宋_GB2312"/>
          <w:sz w:val="30"/>
          <w:szCs w:val="30"/>
        </w:rPr>
        <w:t>指导教师应该根据赛项规程要求做好参赛选手保险办理工作， 并积极做好选手的安全教育。</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 xml:space="preserve"> </w:t>
      </w:r>
      <w:r>
        <w:rPr>
          <w:rFonts w:hint="eastAsia" w:ascii="仿宋_GB2312" w:hAnsi="仿宋" w:eastAsia="仿宋_GB2312"/>
          <w:sz w:val="30"/>
          <w:szCs w:val="30"/>
        </w:rPr>
        <w:t>指导教师参加赛项观摩等活动，不得违反赛项规定进入赛场， 干扰比赛正常进行。</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 xml:space="preserve"> </w:t>
      </w:r>
      <w:r>
        <w:rPr>
          <w:rFonts w:hint="eastAsia" w:ascii="仿宋_GB2312" w:hAnsi="仿宋" w:eastAsia="仿宋_GB2312"/>
          <w:sz w:val="30"/>
          <w:szCs w:val="30"/>
        </w:rPr>
        <w:t>竞赛选手严格遵守赛场规章、操作规程和工艺准则，保证人身及设备安全，接受裁判员的监督和警示，文明竞赛。</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 xml:space="preserve"> </w:t>
      </w:r>
      <w:r>
        <w:rPr>
          <w:rFonts w:hint="eastAsia" w:ascii="仿宋_GB2312" w:hAnsi="仿宋" w:eastAsia="仿宋_GB2312"/>
          <w:sz w:val="30"/>
          <w:szCs w:val="30"/>
        </w:rPr>
        <w:t>参赛选手在检录时需将身份证、学生证、参赛证等身份证件交由检录人员统一保管，不得带入场内。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 xml:space="preserve"> </w:t>
      </w:r>
      <w:r>
        <w:rPr>
          <w:rFonts w:hint="eastAsia" w:ascii="仿宋_GB2312" w:hAnsi="仿宋" w:eastAsia="仿宋_GB2312"/>
          <w:sz w:val="30"/>
          <w:szCs w:val="30"/>
        </w:rPr>
        <w:t>参赛选手进入赛场，不允许携带任何书籍和其他纸质资料， 不允许携带通信工具和存储设备（如U 盘）。竞赛统一提供计算机以及应用软件。</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 xml:space="preserve"> </w:t>
      </w:r>
      <w:r>
        <w:rPr>
          <w:rFonts w:hint="eastAsia" w:ascii="仿宋_GB2312" w:hAnsi="仿宋" w:eastAsia="仿宋_GB2312"/>
          <w:sz w:val="30"/>
          <w:szCs w:val="30"/>
        </w:rPr>
        <w:t>各参赛队应在竞赛开始前一天规定的时间段，进入赛场熟悉环境，但不得触碰任何比赛设备及材料。</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 xml:space="preserve"> </w:t>
      </w:r>
      <w:r>
        <w:rPr>
          <w:rFonts w:hint="eastAsia" w:ascii="仿宋_GB2312" w:hAnsi="仿宋" w:eastAsia="仿宋_GB2312"/>
          <w:sz w:val="30"/>
          <w:szCs w:val="30"/>
        </w:rPr>
        <w:t>竞赛时，在收到开赛信号前不得启动操作，各参赛队自行决定分工、工作程序和时间安排，在指定赛位上完成竞赛项目，严禁作弊行为。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 xml:space="preserve"> </w:t>
      </w:r>
      <w:r>
        <w:rPr>
          <w:rFonts w:hint="eastAsia" w:ascii="仿宋_GB2312" w:hAnsi="仿宋" w:eastAsia="仿宋_GB2312"/>
          <w:sz w:val="30"/>
          <w:szCs w:val="30"/>
        </w:rPr>
        <w:t>竞赛过程中，因严重操作失误或安全事故不能进行比赛的（例如因综合布线发生短路导致赛场断电的、造成设备不能正常工作的），现场裁判员有权中止该队比赛。</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7.</w:t>
      </w:r>
      <w:r>
        <w:rPr>
          <w:rFonts w:ascii="仿宋_GB2312" w:hAnsi="仿宋" w:eastAsia="仿宋_GB2312"/>
          <w:sz w:val="30"/>
          <w:szCs w:val="30"/>
        </w:rPr>
        <w:t xml:space="preserve"> </w:t>
      </w:r>
      <w:r>
        <w:rPr>
          <w:rFonts w:hint="eastAsia" w:ascii="仿宋_GB2312" w:hAnsi="仿宋" w:eastAsia="仿宋_GB2312"/>
          <w:sz w:val="30"/>
          <w:szCs w:val="30"/>
        </w:rPr>
        <w:t>在一天的比赛期间，选手在7:30～15:30连续工作，食品、饮水等由赛场统一提供。选手休息、饮食或如厕时间均计算在比赛时间内。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8.</w:t>
      </w:r>
      <w:r>
        <w:rPr>
          <w:rFonts w:ascii="仿宋_GB2312" w:hAnsi="仿宋" w:eastAsia="仿宋_GB2312"/>
          <w:sz w:val="30"/>
          <w:szCs w:val="30"/>
        </w:rPr>
        <w:t xml:space="preserve"> </w:t>
      </w:r>
      <w:r>
        <w:rPr>
          <w:rFonts w:hint="eastAsia" w:ascii="仿宋_GB2312" w:hAnsi="仿宋" w:eastAsia="仿宋_GB2312"/>
          <w:sz w:val="30"/>
          <w:szCs w:val="30"/>
        </w:rPr>
        <w:t>凡在竞赛期间提前离开的选手，当天不得返回赛场。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9.</w:t>
      </w:r>
      <w:r>
        <w:rPr>
          <w:rFonts w:ascii="仿宋_GB2312" w:hAnsi="仿宋" w:eastAsia="仿宋_GB2312"/>
          <w:sz w:val="30"/>
          <w:szCs w:val="30"/>
        </w:rPr>
        <w:t xml:space="preserve"> </w:t>
      </w:r>
      <w:r>
        <w:rPr>
          <w:rFonts w:hint="eastAsia" w:ascii="仿宋_GB2312" w:hAnsi="仿宋" w:eastAsia="仿宋_GB2312"/>
          <w:sz w:val="30"/>
          <w:szCs w:val="30"/>
        </w:rPr>
        <w:t>为培养技能型人才的工作风格，在参赛期间，选手应当注意保持工作环境及设备摆放符合企业生产“6S”（即整理、整顿、清扫、清洁、素养和安全）的原则，如果过于脏乱，裁判员有权酌情扣分。在比赛中如遇非人为因素造成的设备故障，经裁判确认后，可向裁判长申请补足排除故障的时间。</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10.</w:t>
      </w:r>
      <w:r>
        <w:rPr>
          <w:rFonts w:ascii="仿宋_GB2312" w:hAnsi="仿宋" w:eastAsia="仿宋_GB2312"/>
          <w:sz w:val="30"/>
          <w:szCs w:val="30"/>
        </w:rPr>
        <w:t xml:space="preserve"> </w:t>
      </w:r>
      <w:r>
        <w:rPr>
          <w:rFonts w:hint="eastAsia" w:ascii="仿宋_GB2312" w:hAnsi="仿宋" w:eastAsia="仿宋_GB2312"/>
          <w:sz w:val="30"/>
          <w:szCs w:val="30"/>
        </w:rPr>
        <w:t>参赛队欲提前结束比赛，应向现场裁判员举手示意，记录比赛终止时间。比赛终止后，不得再进行任何与比赛有关的操作。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11.</w:t>
      </w:r>
      <w:r>
        <w:rPr>
          <w:rFonts w:ascii="仿宋_GB2312" w:hAnsi="仿宋" w:eastAsia="仿宋_GB2312"/>
          <w:sz w:val="30"/>
          <w:szCs w:val="30"/>
        </w:rPr>
        <w:t xml:space="preserve"> </w:t>
      </w:r>
      <w:r>
        <w:rPr>
          <w:rFonts w:hint="eastAsia" w:ascii="仿宋_GB2312" w:hAnsi="仿宋" w:eastAsia="仿宋_GB2312"/>
          <w:sz w:val="30"/>
          <w:szCs w:val="30"/>
        </w:rPr>
        <w:t>各竞赛队按照大赛要求和赛题要求提交竞赛成果，禁止在竞赛成果上做任何与竞赛无关的记号。</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12.</w:t>
      </w:r>
      <w:r>
        <w:rPr>
          <w:rFonts w:ascii="仿宋_GB2312" w:hAnsi="仿宋" w:eastAsia="仿宋_GB2312"/>
          <w:sz w:val="30"/>
          <w:szCs w:val="30"/>
        </w:rPr>
        <w:t xml:space="preserve"> </w:t>
      </w:r>
      <w:r>
        <w:rPr>
          <w:rFonts w:hint="eastAsia" w:ascii="仿宋_GB2312" w:hAnsi="仿宋" w:eastAsia="仿宋_GB2312"/>
          <w:sz w:val="30"/>
          <w:szCs w:val="30"/>
        </w:rPr>
        <w:t>竞赛操作结束后，参赛队要确认成功提交竞赛要求的文件， 裁判员在比赛结果的规定位置做标记，并与参赛队一起签字确认。</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 xml:space="preserve"> </w:t>
      </w:r>
      <w:r>
        <w:rPr>
          <w:rFonts w:hint="eastAsia" w:ascii="仿宋_GB2312" w:hAnsi="仿宋" w:eastAsia="仿宋_GB2312"/>
          <w:sz w:val="30"/>
          <w:szCs w:val="30"/>
        </w:rPr>
        <w:t>熟悉竞赛规则，服从管理，严格按照工作程序和有关规定办事。</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 xml:space="preserve"> </w:t>
      </w:r>
      <w:r>
        <w:rPr>
          <w:rFonts w:hint="eastAsia" w:ascii="仿宋_GB2312" w:hAnsi="仿宋" w:eastAsia="仿宋_GB2312"/>
          <w:sz w:val="30"/>
          <w:szCs w:val="30"/>
        </w:rPr>
        <w:t>树立服务观念，本着一切为参赛选手着想的原则，以高度负责的精神、严肃认真态度和严谨细致的作风，积极完成大赛工作任务。</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 xml:space="preserve"> </w:t>
      </w:r>
      <w:r>
        <w:rPr>
          <w:rFonts w:hint="eastAsia" w:ascii="仿宋_GB2312" w:hAnsi="仿宋" w:eastAsia="仿宋_GB2312"/>
          <w:sz w:val="30"/>
          <w:szCs w:val="30"/>
        </w:rPr>
        <w:t>按规定统一着装、佩戴胸卡，文明礼貌，保持良好形象。</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 xml:space="preserve"> </w:t>
      </w:r>
      <w:r>
        <w:rPr>
          <w:rFonts w:hint="eastAsia" w:ascii="仿宋_GB2312" w:hAnsi="仿宋" w:eastAsia="仿宋_GB2312"/>
          <w:sz w:val="30"/>
          <w:szCs w:val="30"/>
        </w:rPr>
        <w:t>坚守工作岗位，不迟到，不早退，不无故离岗，特殊情况向组长请假。</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 xml:space="preserve"> </w:t>
      </w:r>
      <w:r>
        <w:rPr>
          <w:rFonts w:hint="eastAsia" w:ascii="仿宋_GB2312" w:hAnsi="仿宋" w:eastAsia="仿宋_GB2312"/>
          <w:sz w:val="30"/>
          <w:szCs w:val="30"/>
        </w:rPr>
        <w:t>遇安全突发事件，按照工作预案及时组织疏散，确保人员安全。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 xml:space="preserve"> </w:t>
      </w:r>
      <w:r>
        <w:rPr>
          <w:rFonts w:hint="eastAsia" w:ascii="仿宋_GB2312" w:hAnsi="仿宋" w:eastAsia="仿宋_GB2312"/>
          <w:sz w:val="30"/>
          <w:szCs w:val="30"/>
        </w:rPr>
        <w:t>未经同意不得擅自发布关于比赛的言论，不得私自接受采访。</w:t>
      </w:r>
    </w:p>
    <w:sectPr>
      <w:footerReference r:id="rId3" w:type="default"/>
      <w:pgSz w:w="11906" w:h="16838"/>
      <w:pgMar w:top="1418" w:right="1247" w:bottom="1418" w:left="1361" w:header="851"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EAE689-04BE-4F17-8451-9E741E1783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CE92BC5B-E78E-4BF3-A4E1-31F7E60E302E}"/>
  </w:font>
  <w:font w:name="方正小标宋简体">
    <w:panose1 w:val="02000000000000000000"/>
    <w:charset w:val="86"/>
    <w:family w:val="script"/>
    <w:pitch w:val="default"/>
    <w:sig w:usb0="00000001" w:usb1="08000000" w:usb2="00000000" w:usb3="00000000" w:csb0="00040000" w:csb1="00000000"/>
    <w:embedRegular r:id="rId3" w:fontKey="{15E24063-9D08-44F8-9EEA-74D97370423A}"/>
  </w:font>
  <w:font w:name="仿宋_GB2312">
    <w:altName w:val="仿宋"/>
    <w:panose1 w:val="00000000000000000000"/>
    <w:charset w:val="86"/>
    <w:family w:val="modern"/>
    <w:pitch w:val="default"/>
    <w:sig w:usb0="00000000" w:usb1="00000000" w:usb2="00000000" w:usb3="00000000" w:csb0="00040000" w:csb1="00000000"/>
    <w:embedRegular r:id="rId4" w:fontKey="{8B9062B7-D80B-47C7-9EA0-10E52FBA5D33}"/>
  </w:font>
  <w:font w:name="楷体_GB2312">
    <w:altName w:val="楷体"/>
    <w:panose1 w:val="00000000000000000000"/>
    <w:charset w:val="86"/>
    <w:family w:val="modern"/>
    <w:pitch w:val="default"/>
    <w:sig w:usb0="00000000" w:usb1="00000000" w:usb2="00000000" w:usb3="00000000" w:csb0="00040000" w:csb1="00000000"/>
    <w:embedRegular r:id="rId5" w:fontKey="{47D8736B-E7F0-4D71-8C46-996F06A6053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 w:hAnsi="仿宋" w:eastAsia="仿宋"/>
        <w:sz w:val="24"/>
        <w:szCs w:val="24"/>
      </w:rPr>
    </w:pPr>
    <w:r>
      <w:fldChar w:fldCharType="begin"/>
    </w:r>
    <w:r>
      <w:instrText xml:space="preserve">PAGE   \* MERGEFORMAT</w:instrText>
    </w:r>
    <w:r>
      <w:fldChar w:fldCharType="separate"/>
    </w:r>
    <w:r>
      <w:rPr>
        <w:rFonts w:ascii="仿宋" w:hAnsi="仿宋" w:eastAsia="仿宋"/>
        <w:sz w:val="24"/>
        <w:szCs w:val="24"/>
        <w:lang w:val="zh-CN"/>
      </w:rPr>
      <w:t>-</w:t>
    </w:r>
    <w:r>
      <w:rPr>
        <w:rFonts w:ascii="仿宋" w:hAnsi="仿宋" w:eastAsia="仿宋"/>
        <w:sz w:val="24"/>
        <w:szCs w:val="24"/>
      </w:rPr>
      <w:t xml:space="preserve"> 8 -</w:t>
    </w:r>
    <w:r>
      <w:rPr>
        <w:rFonts w:hint="eastAsia" w:ascii="仿宋" w:hAnsi="仿宋" w:eastAsia="仿宋"/>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F63D1"/>
    <w:multiLevelType w:val="multilevel"/>
    <w:tmpl w:val="D44F63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DA00A9A"/>
    <w:multiLevelType w:val="multilevel"/>
    <w:tmpl w:val="FDA00A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B3B22C6"/>
    <w:multiLevelType w:val="multilevel"/>
    <w:tmpl w:val="0B3B22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768F827"/>
    <w:multiLevelType w:val="multilevel"/>
    <w:tmpl w:val="2768F8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277B45A"/>
    <w:multiLevelType w:val="singleLevel"/>
    <w:tmpl w:val="3277B45A"/>
    <w:lvl w:ilvl="0" w:tentative="0">
      <w:start w:val="1"/>
      <w:numFmt w:val="bullet"/>
      <w:suff w:val="space"/>
      <w:lvlText w:val=""/>
      <w:lvlJc w:val="left"/>
      <w:pPr>
        <w:ind w:left="420" w:hanging="420"/>
      </w:pPr>
      <w:rPr>
        <w:rFonts w:hint="default" w:ascii="Wingdings" w:hAnsi="Wingdings"/>
      </w:rPr>
    </w:lvl>
  </w:abstractNum>
  <w:abstractNum w:abstractNumId="5">
    <w:nsid w:val="41DA8046"/>
    <w:multiLevelType w:val="multilevel"/>
    <w:tmpl w:val="41DA80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72814906"/>
    <w:multiLevelType w:val="multilevel"/>
    <w:tmpl w:val="728149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00172A27"/>
    <w:rsid w:val="000017B3"/>
    <w:rsid w:val="00006C63"/>
    <w:rsid w:val="000156F1"/>
    <w:rsid w:val="00015D03"/>
    <w:rsid w:val="0001732E"/>
    <w:rsid w:val="00020E90"/>
    <w:rsid w:val="00026E36"/>
    <w:rsid w:val="0002774D"/>
    <w:rsid w:val="000426D3"/>
    <w:rsid w:val="00047B07"/>
    <w:rsid w:val="00047D2C"/>
    <w:rsid w:val="000572A2"/>
    <w:rsid w:val="00063A9F"/>
    <w:rsid w:val="00067159"/>
    <w:rsid w:val="00067614"/>
    <w:rsid w:val="00072D99"/>
    <w:rsid w:val="00074E7A"/>
    <w:rsid w:val="00091E58"/>
    <w:rsid w:val="000A1D1C"/>
    <w:rsid w:val="000A5491"/>
    <w:rsid w:val="000A6259"/>
    <w:rsid w:val="000B329B"/>
    <w:rsid w:val="000C02D5"/>
    <w:rsid w:val="000C3A77"/>
    <w:rsid w:val="000C429D"/>
    <w:rsid w:val="000D2655"/>
    <w:rsid w:val="000D2CA6"/>
    <w:rsid w:val="000E1A49"/>
    <w:rsid w:val="000E210A"/>
    <w:rsid w:val="000E5728"/>
    <w:rsid w:val="000E59F7"/>
    <w:rsid w:val="000E62C4"/>
    <w:rsid w:val="000E72EA"/>
    <w:rsid w:val="000F051D"/>
    <w:rsid w:val="000F0C19"/>
    <w:rsid w:val="000F0F5F"/>
    <w:rsid w:val="000F217C"/>
    <w:rsid w:val="000F3185"/>
    <w:rsid w:val="00106280"/>
    <w:rsid w:val="0011175D"/>
    <w:rsid w:val="001121AA"/>
    <w:rsid w:val="001263AC"/>
    <w:rsid w:val="00126EBA"/>
    <w:rsid w:val="001310D6"/>
    <w:rsid w:val="00135F80"/>
    <w:rsid w:val="0014192D"/>
    <w:rsid w:val="001467DE"/>
    <w:rsid w:val="0015142A"/>
    <w:rsid w:val="00156A78"/>
    <w:rsid w:val="001572F9"/>
    <w:rsid w:val="0016316F"/>
    <w:rsid w:val="00165319"/>
    <w:rsid w:val="00165802"/>
    <w:rsid w:val="001671AD"/>
    <w:rsid w:val="00173FFB"/>
    <w:rsid w:val="00177C25"/>
    <w:rsid w:val="00186A80"/>
    <w:rsid w:val="00186BCD"/>
    <w:rsid w:val="00190F51"/>
    <w:rsid w:val="00195EE6"/>
    <w:rsid w:val="001A5CFF"/>
    <w:rsid w:val="001B1A87"/>
    <w:rsid w:val="001B2B02"/>
    <w:rsid w:val="001D3DA2"/>
    <w:rsid w:val="001D4C65"/>
    <w:rsid w:val="001E2FAB"/>
    <w:rsid w:val="001E405B"/>
    <w:rsid w:val="001E4D60"/>
    <w:rsid w:val="001E7149"/>
    <w:rsid w:val="001E7B8C"/>
    <w:rsid w:val="001F1F6F"/>
    <w:rsid w:val="00202ECB"/>
    <w:rsid w:val="002056D9"/>
    <w:rsid w:val="00207ED0"/>
    <w:rsid w:val="0022180A"/>
    <w:rsid w:val="002279B0"/>
    <w:rsid w:val="0023526F"/>
    <w:rsid w:val="00241A27"/>
    <w:rsid w:val="002425FC"/>
    <w:rsid w:val="002442DA"/>
    <w:rsid w:val="002453AE"/>
    <w:rsid w:val="00245EE6"/>
    <w:rsid w:val="00251AA7"/>
    <w:rsid w:val="00263465"/>
    <w:rsid w:val="0026487C"/>
    <w:rsid w:val="00264DD0"/>
    <w:rsid w:val="0027528A"/>
    <w:rsid w:val="00275F5E"/>
    <w:rsid w:val="00281F98"/>
    <w:rsid w:val="00283925"/>
    <w:rsid w:val="00286514"/>
    <w:rsid w:val="00290270"/>
    <w:rsid w:val="00294F91"/>
    <w:rsid w:val="00297477"/>
    <w:rsid w:val="002A286F"/>
    <w:rsid w:val="002A48EC"/>
    <w:rsid w:val="002A5C25"/>
    <w:rsid w:val="002A7919"/>
    <w:rsid w:val="002A79CE"/>
    <w:rsid w:val="002B25E3"/>
    <w:rsid w:val="002C2D7B"/>
    <w:rsid w:val="002C7457"/>
    <w:rsid w:val="002D1956"/>
    <w:rsid w:val="002D26BB"/>
    <w:rsid w:val="002D3CBC"/>
    <w:rsid w:val="002D4550"/>
    <w:rsid w:val="002D72A5"/>
    <w:rsid w:val="002E15E0"/>
    <w:rsid w:val="002E32B8"/>
    <w:rsid w:val="002E386C"/>
    <w:rsid w:val="002E5D94"/>
    <w:rsid w:val="002F0C92"/>
    <w:rsid w:val="002F0EE7"/>
    <w:rsid w:val="002F41E1"/>
    <w:rsid w:val="002F454D"/>
    <w:rsid w:val="002F59E7"/>
    <w:rsid w:val="00302214"/>
    <w:rsid w:val="00312024"/>
    <w:rsid w:val="00314DAA"/>
    <w:rsid w:val="003226CF"/>
    <w:rsid w:val="00323EB4"/>
    <w:rsid w:val="0033008D"/>
    <w:rsid w:val="003311BE"/>
    <w:rsid w:val="00334FC8"/>
    <w:rsid w:val="003359F8"/>
    <w:rsid w:val="00337902"/>
    <w:rsid w:val="00353B49"/>
    <w:rsid w:val="00353BE1"/>
    <w:rsid w:val="003545A7"/>
    <w:rsid w:val="00356FEC"/>
    <w:rsid w:val="003647E1"/>
    <w:rsid w:val="003702C7"/>
    <w:rsid w:val="00373BFA"/>
    <w:rsid w:val="0037697A"/>
    <w:rsid w:val="00376E0B"/>
    <w:rsid w:val="00382AA4"/>
    <w:rsid w:val="003849B9"/>
    <w:rsid w:val="00385919"/>
    <w:rsid w:val="0039313B"/>
    <w:rsid w:val="00393E93"/>
    <w:rsid w:val="003945B8"/>
    <w:rsid w:val="00394C39"/>
    <w:rsid w:val="003A4387"/>
    <w:rsid w:val="003A4807"/>
    <w:rsid w:val="003A49A0"/>
    <w:rsid w:val="003B143D"/>
    <w:rsid w:val="003B2C79"/>
    <w:rsid w:val="003B2FBA"/>
    <w:rsid w:val="003B4ECC"/>
    <w:rsid w:val="003B5123"/>
    <w:rsid w:val="003C3466"/>
    <w:rsid w:val="003C4430"/>
    <w:rsid w:val="003D0970"/>
    <w:rsid w:val="003D3645"/>
    <w:rsid w:val="003D3BF9"/>
    <w:rsid w:val="003D5825"/>
    <w:rsid w:val="003E0EA2"/>
    <w:rsid w:val="003E1B5C"/>
    <w:rsid w:val="003E3A99"/>
    <w:rsid w:val="003E4187"/>
    <w:rsid w:val="003E4F4F"/>
    <w:rsid w:val="003E742C"/>
    <w:rsid w:val="004027FB"/>
    <w:rsid w:val="00404280"/>
    <w:rsid w:val="00404A50"/>
    <w:rsid w:val="00405CB8"/>
    <w:rsid w:val="004149DB"/>
    <w:rsid w:val="00415100"/>
    <w:rsid w:val="00424602"/>
    <w:rsid w:val="004324B3"/>
    <w:rsid w:val="00432AC7"/>
    <w:rsid w:val="0043491E"/>
    <w:rsid w:val="00437E75"/>
    <w:rsid w:val="004533C4"/>
    <w:rsid w:val="004600BE"/>
    <w:rsid w:val="00463592"/>
    <w:rsid w:val="004724A2"/>
    <w:rsid w:val="00474944"/>
    <w:rsid w:val="0047530A"/>
    <w:rsid w:val="0048235C"/>
    <w:rsid w:val="0048340D"/>
    <w:rsid w:val="00483CB2"/>
    <w:rsid w:val="00490158"/>
    <w:rsid w:val="004902AB"/>
    <w:rsid w:val="00493763"/>
    <w:rsid w:val="004947BC"/>
    <w:rsid w:val="004A1743"/>
    <w:rsid w:val="004A27DD"/>
    <w:rsid w:val="004A7CCC"/>
    <w:rsid w:val="004B5E7C"/>
    <w:rsid w:val="004C020B"/>
    <w:rsid w:val="004C3A0F"/>
    <w:rsid w:val="004C73CD"/>
    <w:rsid w:val="004D3138"/>
    <w:rsid w:val="004D76D6"/>
    <w:rsid w:val="004E047D"/>
    <w:rsid w:val="004E0DBD"/>
    <w:rsid w:val="004E4F5B"/>
    <w:rsid w:val="004E50BB"/>
    <w:rsid w:val="005003AD"/>
    <w:rsid w:val="00502800"/>
    <w:rsid w:val="00517D7A"/>
    <w:rsid w:val="0052068D"/>
    <w:rsid w:val="005264E2"/>
    <w:rsid w:val="00526E8A"/>
    <w:rsid w:val="00532F02"/>
    <w:rsid w:val="005402B5"/>
    <w:rsid w:val="00542B0B"/>
    <w:rsid w:val="005434CE"/>
    <w:rsid w:val="00563F57"/>
    <w:rsid w:val="005673C7"/>
    <w:rsid w:val="00567658"/>
    <w:rsid w:val="00573EBF"/>
    <w:rsid w:val="00574508"/>
    <w:rsid w:val="005810A3"/>
    <w:rsid w:val="00583AC0"/>
    <w:rsid w:val="00590AD3"/>
    <w:rsid w:val="00590C4A"/>
    <w:rsid w:val="00593752"/>
    <w:rsid w:val="00595279"/>
    <w:rsid w:val="005957E7"/>
    <w:rsid w:val="005A0383"/>
    <w:rsid w:val="005B3250"/>
    <w:rsid w:val="005B462D"/>
    <w:rsid w:val="005C2025"/>
    <w:rsid w:val="005C2C58"/>
    <w:rsid w:val="005C69F0"/>
    <w:rsid w:val="005D0B45"/>
    <w:rsid w:val="005D0F4A"/>
    <w:rsid w:val="005F2EF3"/>
    <w:rsid w:val="005F3B9B"/>
    <w:rsid w:val="005F48B4"/>
    <w:rsid w:val="005F5486"/>
    <w:rsid w:val="005F5974"/>
    <w:rsid w:val="005F5CF8"/>
    <w:rsid w:val="0060682B"/>
    <w:rsid w:val="006116A7"/>
    <w:rsid w:val="00614B04"/>
    <w:rsid w:val="006222F9"/>
    <w:rsid w:val="0062320E"/>
    <w:rsid w:val="00630D5B"/>
    <w:rsid w:val="00635785"/>
    <w:rsid w:val="00636CFD"/>
    <w:rsid w:val="00640183"/>
    <w:rsid w:val="0065305E"/>
    <w:rsid w:val="00654264"/>
    <w:rsid w:val="0065733F"/>
    <w:rsid w:val="00662125"/>
    <w:rsid w:val="00663146"/>
    <w:rsid w:val="00665724"/>
    <w:rsid w:val="006659DA"/>
    <w:rsid w:val="00666E7C"/>
    <w:rsid w:val="006677B4"/>
    <w:rsid w:val="00670A26"/>
    <w:rsid w:val="00675025"/>
    <w:rsid w:val="00691659"/>
    <w:rsid w:val="00691FEA"/>
    <w:rsid w:val="006936B0"/>
    <w:rsid w:val="00697FF6"/>
    <w:rsid w:val="006A2B18"/>
    <w:rsid w:val="006A3EBA"/>
    <w:rsid w:val="006A4B53"/>
    <w:rsid w:val="006A75EF"/>
    <w:rsid w:val="006A7D58"/>
    <w:rsid w:val="006B1F2F"/>
    <w:rsid w:val="006C309B"/>
    <w:rsid w:val="006C5D20"/>
    <w:rsid w:val="006C6270"/>
    <w:rsid w:val="006D2276"/>
    <w:rsid w:val="006E025C"/>
    <w:rsid w:val="006E1A17"/>
    <w:rsid w:val="006E490A"/>
    <w:rsid w:val="006E6037"/>
    <w:rsid w:val="006E71B5"/>
    <w:rsid w:val="006F3392"/>
    <w:rsid w:val="006F5B15"/>
    <w:rsid w:val="00700E5E"/>
    <w:rsid w:val="00701D0E"/>
    <w:rsid w:val="0070347F"/>
    <w:rsid w:val="00705D56"/>
    <w:rsid w:val="007062C6"/>
    <w:rsid w:val="007070E1"/>
    <w:rsid w:val="00714676"/>
    <w:rsid w:val="00715178"/>
    <w:rsid w:val="00721A46"/>
    <w:rsid w:val="00723035"/>
    <w:rsid w:val="007255AB"/>
    <w:rsid w:val="007303CC"/>
    <w:rsid w:val="007338B0"/>
    <w:rsid w:val="007439B6"/>
    <w:rsid w:val="0074404B"/>
    <w:rsid w:val="007443C0"/>
    <w:rsid w:val="00745786"/>
    <w:rsid w:val="00752700"/>
    <w:rsid w:val="00757299"/>
    <w:rsid w:val="00760CA3"/>
    <w:rsid w:val="0076526E"/>
    <w:rsid w:val="00794118"/>
    <w:rsid w:val="007A2C39"/>
    <w:rsid w:val="007A5366"/>
    <w:rsid w:val="007B6A65"/>
    <w:rsid w:val="007C2040"/>
    <w:rsid w:val="007C4AA5"/>
    <w:rsid w:val="007C5A74"/>
    <w:rsid w:val="007C68C0"/>
    <w:rsid w:val="007D15BB"/>
    <w:rsid w:val="007D7184"/>
    <w:rsid w:val="007E0C41"/>
    <w:rsid w:val="007F1B32"/>
    <w:rsid w:val="007F7ADC"/>
    <w:rsid w:val="007F7DBC"/>
    <w:rsid w:val="008009FE"/>
    <w:rsid w:val="00802496"/>
    <w:rsid w:val="008168DC"/>
    <w:rsid w:val="00823AC3"/>
    <w:rsid w:val="0082751E"/>
    <w:rsid w:val="00830B54"/>
    <w:rsid w:val="0083208C"/>
    <w:rsid w:val="0083385C"/>
    <w:rsid w:val="0083497C"/>
    <w:rsid w:val="00851137"/>
    <w:rsid w:val="0085474F"/>
    <w:rsid w:val="00855177"/>
    <w:rsid w:val="00860C11"/>
    <w:rsid w:val="00864F59"/>
    <w:rsid w:val="00881FC8"/>
    <w:rsid w:val="00885C01"/>
    <w:rsid w:val="00886A4D"/>
    <w:rsid w:val="008B075A"/>
    <w:rsid w:val="008B22A2"/>
    <w:rsid w:val="008B491E"/>
    <w:rsid w:val="008B63A6"/>
    <w:rsid w:val="008C01BC"/>
    <w:rsid w:val="008C21C2"/>
    <w:rsid w:val="008C52D0"/>
    <w:rsid w:val="008D09A9"/>
    <w:rsid w:val="008D18FF"/>
    <w:rsid w:val="008D200B"/>
    <w:rsid w:val="008D425F"/>
    <w:rsid w:val="008D5296"/>
    <w:rsid w:val="008D5B7E"/>
    <w:rsid w:val="008E3B1C"/>
    <w:rsid w:val="009035F1"/>
    <w:rsid w:val="009240A3"/>
    <w:rsid w:val="00927E84"/>
    <w:rsid w:val="00930084"/>
    <w:rsid w:val="00930963"/>
    <w:rsid w:val="00932B76"/>
    <w:rsid w:val="00941984"/>
    <w:rsid w:val="00943AC6"/>
    <w:rsid w:val="00945AF4"/>
    <w:rsid w:val="009462EC"/>
    <w:rsid w:val="00951E2A"/>
    <w:rsid w:val="0095287D"/>
    <w:rsid w:val="00953134"/>
    <w:rsid w:val="00956905"/>
    <w:rsid w:val="0096170F"/>
    <w:rsid w:val="0096171A"/>
    <w:rsid w:val="009638EC"/>
    <w:rsid w:val="00964BB1"/>
    <w:rsid w:val="00964E26"/>
    <w:rsid w:val="00965A77"/>
    <w:rsid w:val="00970189"/>
    <w:rsid w:val="0097029C"/>
    <w:rsid w:val="00971C88"/>
    <w:rsid w:val="00971EA2"/>
    <w:rsid w:val="00974D37"/>
    <w:rsid w:val="00975641"/>
    <w:rsid w:val="00975650"/>
    <w:rsid w:val="0098758B"/>
    <w:rsid w:val="00991073"/>
    <w:rsid w:val="009A5562"/>
    <w:rsid w:val="009B3222"/>
    <w:rsid w:val="009C2192"/>
    <w:rsid w:val="009C5392"/>
    <w:rsid w:val="009D7FA6"/>
    <w:rsid w:val="009E0108"/>
    <w:rsid w:val="009E5DC6"/>
    <w:rsid w:val="009E5EE1"/>
    <w:rsid w:val="009F19CD"/>
    <w:rsid w:val="00A015D3"/>
    <w:rsid w:val="00A030CD"/>
    <w:rsid w:val="00A10558"/>
    <w:rsid w:val="00A15726"/>
    <w:rsid w:val="00A17612"/>
    <w:rsid w:val="00A2023C"/>
    <w:rsid w:val="00A21263"/>
    <w:rsid w:val="00A22951"/>
    <w:rsid w:val="00A2312F"/>
    <w:rsid w:val="00A23246"/>
    <w:rsid w:val="00A278BC"/>
    <w:rsid w:val="00A3609E"/>
    <w:rsid w:val="00A374E4"/>
    <w:rsid w:val="00A41EF3"/>
    <w:rsid w:val="00A47718"/>
    <w:rsid w:val="00A50F95"/>
    <w:rsid w:val="00A5233D"/>
    <w:rsid w:val="00A54AD3"/>
    <w:rsid w:val="00A55CBD"/>
    <w:rsid w:val="00A62CBB"/>
    <w:rsid w:val="00A6330D"/>
    <w:rsid w:val="00A70C62"/>
    <w:rsid w:val="00A7733A"/>
    <w:rsid w:val="00A91121"/>
    <w:rsid w:val="00A95A89"/>
    <w:rsid w:val="00AA3CC1"/>
    <w:rsid w:val="00AA596A"/>
    <w:rsid w:val="00AA796C"/>
    <w:rsid w:val="00AB5948"/>
    <w:rsid w:val="00AD415C"/>
    <w:rsid w:val="00AD6845"/>
    <w:rsid w:val="00AD702C"/>
    <w:rsid w:val="00AE1067"/>
    <w:rsid w:val="00AE14EF"/>
    <w:rsid w:val="00AE47A4"/>
    <w:rsid w:val="00AE7F69"/>
    <w:rsid w:val="00AF1598"/>
    <w:rsid w:val="00AF6733"/>
    <w:rsid w:val="00B014CF"/>
    <w:rsid w:val="00B03425"/>
    <w:rsid w:val="00B05F2D"/>
    <w:rsid w:val="00B07177"/>
    <w:rsid w:val="00B07992"/>
    <w:rsid w:val="00B13A42"/>
    <w:rsid w:val="00B1504D"/>
    <w:rsid w:val="00B15C6B"/>
    <w:rsid w:val="00B17A2C"/>
    <w:rsid w:val="00B17C40"/>
    <w:rsid w:val="00B2354A"/>
    <w:rsid w:val="00B24B78"/>
    <w:rsid w:val="00B27339"/>
    <w:rsid w:val="00B2757F"/>
    <w:rsid w:val="00B30725"/>
    <w:rsid w:val="00B32A76"/>
    <w:rsid w:val="00B3322E"/>
    <w:rsid w:val="00B360B0"/>
    <w:rsid w:val="00B42306"/>
    <w:rsid w:val="00B51541"/>
    <w:rsid w:val="00B52395"/>
    <w:rsid w:val="00B53383"/>
    <w:rsid w:val="00B54D76"/>
    <w:rsid w:val="00B54E81"/>
    <w:rsid w:val="00B57320"/>
    <w:rsid w:val="00B5785F"/>
    <w:rsid w:val="00B661B5"/>
    <w:rsid w:val="00B667FD"/>
    <w:rsid w:val="00B6693D"/>
    <w:rsid w:val="00B70E06"/>
    <w:rsid w:val="00B73EEF"/>
    <w:rsid w:val="00B777B8"/>
    <w:rsid w:val="00B8225A"/>
    <w:rsid w:val="00B836E5"/>
    <w:rsid w:val="00B85153"/>
    <w:rsid w:val="00B855E5"/>
    <w:rsid w:val="00B935CE"/>
    <w:rsid w:val="00B93F9F"/>
    <w:rsid w:val="00B94DAA"/>
    <w:rsid w:val="00BA0289"/>
    <w:rsid w:val="00BB17A6"/>
    <w:rsid w:val="00BB30F1"/>
    <w:rsid w:val="00BB6E70"/>
    <w:rsid w:val="00BC314A"/>
    <w:rsid w:val="00BD3124"/>
    <w:rsid w:val="00BF289A"/>
    <w:rsid w:val="00BF2949"/>
    <w:rsid w:val="00BF6B2C"/>
    <w:rsid w:val="00BF79B5"/>
    <w:rsid w:val="00C03ACD"/>
    <w:rsid w:val="00C03F74"/>
    <w:rsid w:val="00C06543"/>
    <w:rsid w:val="00C0689D"/>
    <w:rsid w:val="00C07B60"/>
    <w:rsid w:val="00C16695"/>
    <w:rsid w:val="00C16DAE"/>
    <w:rsid w:val="00C1732F"/>
    <w:rsid w:val="00C21E5E"/>
    <w:rsid w:val="00C2563D"/>
    <w:rsid w:val="00C4280F"/>
    <w:rsid w:val="00C43868"/>
    <w:rsid w:val="00C56920"/>
    <w:rsid w:val="00C61444"/>
    <w:rsid w:val="00C63B70"/>
    <w:rsid w:val="00C63E96"/>
    <w:rsid w:val="00C7130D"/>
    <w:rsid w:val="00C7180C"/>
    <w:rsid w:val="00C730F9"/>
    <w:rsid w:val="00C8377A"/>
    <w:rsid w:val="00C870D6"/>
    <w:rsid w:val="00C93BB7"/>
    <w:rsid w:val="00C94DBA"/>
    <w:rsid w:val="00CA0027"/>
    <w:rsid w:val="00CA2CDA"/>
    <w:rsid w:val="00CA48EB"/>
    <w:rsid w:val="00CB16C4"/>
    <w:rsid w:val="00CD0F99"/>
    <w:rsid w:val="00CD1058"/>
    <w:rsid w:val="00CD426E"/>
    <w:rsid w:val="00CE12C0"/>
    <w:rsid w:val="00CE5B31"/>
    <w:rsid w:val="00CE6A04"/>
    <w:rsid w:val="00CE774A"/>
    <w:rsid w:val="00CF31BC"/>
    <w:rsid w:val="00CF7144"/>
    <w:rsid w:val="00CF75C7"/>
    <w:rsid w:val="00D01051"/>
    <w:rsid w:val="00D02981"/>
    <w:rsid w:val="00D02B04"/>
    <w:rsid w:val="00D10125"/>
    <w:rsid w:val="00D102E2"/>
    <w:rsid w:val="00D13895"/>
    <w:rsid w:val="00D15013"/>
    <w:rsid w:val="00D1537D"/>
    <w:rsid w:val="00D22AE4"/>
    <w:rsid w:val="00D24139"/>
    <w:rsid w:val="00D370FE"/>
    <w:rsid w:val="00D4136B"/>
    <w:rsid w:val="00D43D51"/>
    <w:rsid w:val="00D50258"/>
    <w:rsid w:val="00D52C78"/>
    <w:rsid w:val="00D57F19"/>
    <w:rsid w:val="00D60A97"/>
    <w:rsid w:val="00D60BD7"/>
    <w:rsid w:val="00D62171"/>
    <w:rsid w:val="00D65568"/>
    <w:rsid w:val="00D75D22"/>
    <w:rsid w:val="00D7685F"/>
    <w:rsid w:val="00D801F6"/>
    <w:rsid w:val="00D80AD1"/>
    <w:rsid w:val="00D860C0"/>
    <w:rsid w:val="00D92097"/>
    <w:rsid w:val="00D924DB"/>
    <w:rsid w:val="00D976EF"/>
    <w:rsid w:val="00DA2A33"/>
    <w:rsid w:val="00DA7F92"/>
    <w:rsid w:val="00DB12AD"/>
    <w:rsid w:val="00DB3DAD"/>
    <w:rsid w:val="00DB65F6"/>
    <w:rsid w:val="00DB6B03"/>
    <w:rsid w:val="00DC788B"/>
    <w:rsid w:val="00DD0675"/>
    <w:rsid w:val="00DD08C3"/>
    <w:rsid w:val="00DD3EC7"/>
    <w:rsid w:val="00DD4261"/>
    <w:rsid w:val="00DD797C"/>
    <w:rsid w:val="00DE0990"/>
    <w:rsid w:val="00DF3122"/>
    <w:rsid w:val="00E07A2C"/>
    <w:rsid w:val="00E10F08"/>
    <w:rsid w:val="00E1424F"/>
    <w:rsid w:val="00E15800"/>
    <w:rsid w:val="00E210BA"/>
    <w:rsid w:val="00E25897"/>
    <w:rsid w:val="00E35850"/>
    <w:rsid w:val="00E44E6A"/>
    <w:rsid w:val="00E46224"/>
    <w:rsid w:val="00E4625D"/>
    <w:rsid w:val="00E46285"/>
    <w:rsid w:val="00E50B01"/>
    <w:rsid w:val="00E50D59"/>
    <w:rsid w:val="00E5149A"/>
    <w:rsid w:val="00E55008"/>
    <w:rsid w:val="00E55AF5"/>
    <w:rsid w:val="00E577F6"/>
    <w:rsid w:val="00E624A6"/>
    <w:rsid w:val="00E63A96"/>
    <w:rsid w:val="00E6776B"/>
    <w:rsid w:val="00E70FEB"/>
    <w:rsid w:val="00E758FE"/>
    <w:rsid w:val="00E77772"/>
    <w:rsid w:val="00E80889"/>
    <w:rsid w:val="00E8275F"/>
    <w:rsid w:val="00E862FD"/>
    <w:rsid w:val="00E86E01"/>
    <w:rsid w:val="00E925D5"/>
    <w:rsid w:val="00E93AD7"/>
    <w:rsid w:val="00EA008A"/>
    <w:rsid w:val="00EA0C22"/>
    <w:rsid w:val="00EA3C5C"/>
    <w:rsid w:val="00EA6531"/>
    <w:rsid w:val="00EA7231"/>
    <w:rsid w:val="00EA7F2C"/>
    <w:rsid w:val="00EB0637"/>
    <w:rsid w:val="00EB5D58"/>
    <w:rsid w:val="00EB77A6"/>
    <w:rsid w:val="00EB78B0"/>
    <w:rsid w:val="00ED040F"/>
    <w:rsid w:val="00ED1F74"/>
    <w:rsid w:val="00ED302D"/>
    <w:rsid w:val="00ED328A"/>
    <w:rsid w:val="00ED50D4"/>
    <w:rsid w:val="00ED5DB7"/>
    <w:rsid w:val="00EE2765"/>
    <w:rsid w:val="00EE5263"/>
    <w:rsid w:val="00EE5DA3"/>
    <w:rsid w:val="00EF0EE5"/>
    <w:rsid w:val="00EF1935"/>
    <w:rsid w:val="00EF4822"/>
    <w:rsid w:val="00EF6F5B"/>
    <w:rsid w:val="00EF72E4"/>
    <w:rsid w:val="00F0145E"/>
    <w:rsid w:val="00F243EC"/>
    <w:rsid w:val="00F2554F"/>
    <w:rsid w:val="00F3004F"/>
    <w:rsid w:val="00F30A5A"/>
    <w:rsid w:val="00F34A5E"/>
    <w:rsid w:val="00F475E5"/>
    <w:rsid w:val="00F478FA"/>
    <w:rsid w:val="00F47DFD"/>
    <w:rsid w:val="00F53152"/>
    <w:rsid w:val="00F551F8"/>
    <w:rsid w:val="00F56DA1"/>
    <w:rsid w:val="00F70076"/>
    <w:rsid w:val="00F7758D"/>
    <w:rsid w:val="00F9174A"/>
    <w:rsid w:val="00F92681"/>
    <w:rsid w:val="00FA4A20"/>
    <w:rsid w:val="00FB1A65"/>
    <w:rsid w:val="00FB258D"/>
    <w:rsid w:val="00FB73A7"/>
    <w:rsid w:val="00FC1B37"/>
    <w:rsid w:val="00FC5DC0"/>
    <w:rsid w:val="00FC614A"/>
    <w:rsid w:val="00FD1681"/>
    <w:rsid w:val="00FD2E52"/>
    <w:rsid w:val="00FD333F"/>
    <w:rsid w:val="00FE084A"/>
    <w:rsid w:val="00FE7705"/>
    <w:rsid w:val="00FF1463"/>
    <w:rsid w:val="02247EDE"/>
    <w:rsid w:val="02D36A79"/>
    <w:rsid w:val="036B1407"/>
    <w:rsid w:val="036E19F2"/>
    <w:rsid w:val="04671EC9"/>
    <w:rsid w:val="05911616"/>
    <w:rsid w:val="06956455"/>
    <w:rsid w:val="06E61639"/>
    <w:rsid w:val="087C6BD8"/>
    <w:rsid w:val="0B963CEA"/>
    <w:rsid w:val="0D2A3ABE"/>
    <w:rsid w:val="0D3D0CE5"/>
    <w:rsid w:val="0E037A45"/>
    <w:rsid w:val="0F20429B"/>
    <w:rsid w:val="12822B54"/>
    <w:rsid w:val="144E5132"/>
    <w:rsid w:val="14C10055"/>
    <w:rsid w:val="150F75FA"/>
    <w:rsid w:val="16343DDD"/>
    <w:rsid w:val="16F806A6"/>
    <w:rsid w:val="17997B2B"/>
    <w:rsid w:val="18264416"/>
    <w:rsid w:val="1AF72E8B"/>
    <w:rsid w:val="1B9D332B"/>
    <w:rsid w:val="217108A6"/>
    <w:rsid w:val="21E408A8"/>
    <w:rsid w:val="22DC32BE"/>
    <w:rsid w:val="237F3439"/>
    <w:rsid w:val="25337FB9"/>
    <w:rsid w:val="26776C4B"/>
    <w:rsid w:val="2C1F7341"/>
    <w:rsid w:val="2C7C1A14"/>
    <w:rsid w:val="2ED71DD8"/>
    <w:rsid w:val="2F8B2ED7"/>
    <w:rsid w:val="313935BA"/>
    <w:rsid w:val="32745873"/>
    <w:rsid w:val="333D4C74"/>
    <w:rsid w:val="342F4A44"/>
    <w:rsid w:val="34862773"/>
    <w:rsid w:val="36614B43"/>
    <w:rsid w:val="379E1B7A"/>
    <w:rsid w:val="39014FCB"/>
    <w:rsid w:val="3AC53842"/>
    <w:rsid w:val="3C7937A7"/>
    <w:rsid w:val="3D574307"/>
    <w:rsid w:val="3D87417C"/>
    <w:rsid w:val="3DE91E4B"/>
    <w:rsid w:val="3FEB51AC"/>
    <w:rsid w:val="40F24513"/>
    <w:rsid w:val="41462A4D"/>
    <w:rsid w:val="4AD02F51"/>
    <w:rsid w:val="4BC914C9"/>
    <w:rsid w:val="4C6949CE"/>
    <w:rsid w:val="4C703160"/>
    <w:rsid w:val="4CED357B"/>
    <w:rsid w:val="4F786A15"/>
    <w:rsid w:val="4FA570B2"/>
    <w:rsid w:val="4FBE07EB"/>
    <w:rsid w:val="50234483"/>
    <w:rsid w:val="5039786D"/>
    <w:rsid w:val="514314C8"/>
    <w:rsid w:val="516731AD"/>
    <w:rsid w:val="52332D01"/>
    <w:rsid w:val="53282CB9"/>
    <w:rsid w:val="53DD5FA1"/>
    <w:rsid w:val="56D93FDD"/>
    <w:rsid w:val="56EF64B6"/>
    <w:rsid w:val="574C76AE"/>
    <w:rsid w:val="581A1F01"/>
    <w:rsid w:val="59187BE6"/>
    <w:rsid w:val="5A23248D"/>
    <w:rsid w:val="5A860A79"/>
    <w:rsid w:val="5AB239F4"/>
    <w:rsid w:val="5EDA5B64"/>
    <w:rsid w:val="5EFF1C82"/>
    <w:rsid w:val="60105084"/>
    <w:rsid w:val="60586FF5"/>
    <w:rsid w:val="60865D0A"/>
    <w:rsid w:val="60EE6FBB"/>
    <w:rsid w:val="628D6103"/>
    <w:rsid w:val="637A7FCD"/>
    <w:rsid w:val="64E13CD4"/>
    <w:rsid w:val="689D17ED"/>
    <w:rsid w:val="6AB46EF4"/>
    <w:rsid w:val="6B6A0843"/>
    <w:rsid w:val="6BBF694B"/>
    <w:rsid w:val="6C0168A9"/>
    <w:rsid w:val="6C6228D5"/>
    <w:rsid w:val="6EF54AA1"/>
    <w:rsid w:val="6F3B17E4"/>
    <w:rsid w:val="6F8D7FF8"/>
    <w:rsid w:val="6FC922F1"/>
    <w:rsid w:val="7070637C"/>
    <w:rsid w:val="754E52C6"/>
    <w:rsid w:val="75AB63B2"/>
    <w:rsid w:val="7DA53683"/>
    <w:rsid w:val="7DB231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link w:val="21"/>
    <w:qFormat/>
    <w:uiPriority w:val="0"/>
    <w:pPr>
      <w:ind w:firstLine="420" w:firstLineChars="100"/>
    </w:pPr>
    <w:rPr>
      <w:rFonts w:ascii="Calibri" w:hAnsi="Calibri"/>
    </w:rPr>
  </w:style>
  <w:style w:type="paragraph" w:styleId="3">
    <w:name w:val="Body Text"/>
    <w:basedOn w:val="1"/>
    <w:next w:val="4"/>
    <w:link w:val="19"/>
    <w:qFormat/>
    <w:uiPriority w:val="0"/>
    <w:pPr>
      <w:spacing w:after="120"/>
    </w:pPr>
  </w:style>
  <w:style w:type="paragraph" w:styleId="4">
    <w:name w:val="footer"/>
    <w:basedOn w:val="1"/>
    <w:next w:val="5"/>
    <w:link w:val="20"/>
    <w:uiPriority w:val="99"/>
    <w:pPr>
      <w:tabs>
        <w:tab w:val="center" w:pos="4153"/>
        <w:tab w:val="right" w:pos="8306"/>
      </w:tabs>
      <w:snapToGrid w:val="0"/>
      <w:jc w:val="left"/>
    </w:pPr>
    <w:rPr>
      <w:sz w:val="18"/>
      <w:szCs w:val="18"/>
    </w:rPr>
  </w:style>
  <w:style w:type="paragraph" w:styleId="5">
    <w:name w:val="index 5"/>
    <w:basedOn w:val="1"/>
    <w:next w:val="1"/>
    <w:qFormat/>
    <w:uiPriority w:val="2"/>
    <w:pPr>
      <w:ind w:left="1680"/>
    </w:pPr>
  </w:style>
  <w:style w:type="paragraph" w:styleId="6">
    <w:name w:val="index 6"/>
    <w:basedOn w:val="1"/>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9">
    <w:name w:val="Normal Indent"/>
    <w:basedOn w:val="1"/>
    <w:qFormat/>
    <w:uiPriority w:val="0"/>
    <w:pPr>
      <w:ind w:firstLine="420"/>
    </w:pPr>
    <w:rPr>
      <w:sz w:val="28"/>
      <w:szCs w:val="20"/>
    </w:rPr>
  </w:style>
  <w:style w:type="paragraph" w:styleId="10">
    <w:name w:val="annotation text"/>
    <w:basedOn w:val="1"/>
    <w:link w:val="22"/>
    <w:qFormat/>
    <w:uiPriority w:val="99"/>
    <w:pPr>
      <w:jc w:val="left"/>
    </w:pPr>
  </w:style>
  <w:style w:type="paragraph" w:styleId="11">
    <w:name w:val="Plain Text"/>
    <w:basedOn w:val="1"/>
    <w:link w:val="23"/>
    <w:qFormat/>
    <w:uiPriority w:val="0"/>
    <w:rPr>
      <w:rFonts w:ascii="宋体" w:hAnsi="Courier New"/>
      <w:szCs w:val="21"/>
    </w:rPr>
  </w:style>
  <w:style w:type="paragraph" w:styleId="12">
    <w:name w:val="Balloon Text"/>
    <w:basedOn w:val="1"/>
    <w:link w:val="24"/>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customStyle="1" w:styleId="19">
    <w:name w:val="正文文本 字符"/>
    <w:link w:val="3"/>
    <w:qFormat/>
    <w:uiPriority w:val="0"/>
    <w:rPr>
      <w:kern w:val="2"/>
      <w:sz w:val="21"/>
      <w:szCs w:val="24"/>
    </w:rPr>
  </w:style>
  <w:style w:type="character" w:customStyle="1" w:styleId="20">
    <w:name w:val="页脚 字符"/>
    <w:link w:val="4"/>
    <w:qFormat/>
    <w:uiPriority w:val="99"/>
    <w:rPr>
      <w:kern w:val="2"/>
      <w:sz w:val="18"/>
      <w:szCs w:val="18"/>
    </w:rPr>
  </w:style>
  <w:style w:type="character" w:customStyle="1" w:styleId="21">
    <w:name w:val="正文首行缩进 字符"/>
    <w:link w:val="2"/>
    <w:qFormat/>
    <w:uiPriority w:val="0"/>
    <w:rPr>
      <w:rFonts w:ascii="Calibri" w:hAnsi="Calibri"/>
      <w:kern w:val="2"/>
      <w:sz w:val="21"/>
      <w:szCs w:val="24"/>
    </w:rPr>
  </w:style>
  <w:style w:type="character" w:customStyle="1" w:styleId="22">
    <w:name w:val="批注文字 字符"/>
    <w:link w:val="10"/>
    <w:qFormat/>
    <w:uiPriority w:val="99"/>
    <w:rPr>
      <w:kern w:val="2"/>
      <w:sz w:val="21"/>
      <w:szCs w:val="24"/>
    </w:rPr>
  </w:style>
  <w:style w:type="character" w:customStyle="1" w:styleId="23">
    <w:name w:val="纯文本 字符"/>
    <w:link w:val="11"/>
    <w:qFormat/>
    <w:uiPriority w:val="0"/>
    <w:rPr>
      <w:rFonts w:ascii="宋体" w:hAnsi="Courier New" w:cs="Courier New"/>
      <w:kern w:val="2"/>
      <w:sz w:val="21"/>
      <w:szCs w:val="21"/>
    </w:rPr>
  </w:style>
  <w:style w:type="character" w:customStyle="1" w:styleId="24">
    <w:name w:val="批注框文本 字符"/>
    <w:link w:val="12"/>
    <w:qFormat/>
    <w:uiPriority w:val="0"/>
    <w:rPr>
      <w:kern w:val="2"/>
      <w:sz w:val="18"/>
      <w:szCs w:val="18"/>
    </w:rPr>
  </w:style>
  <w:style w:type="character" w:customStyle="1" w:styleId="25">
    <w:name w:val="纯文本 Char1"/>
    <w:qFormat/>
    <w:uiPriority w:val="0"/>
    <w:rPr>
      <w:rFonts w:ascii="宋体" w:hAnsi="Courier New" w:cs="Courier New"/>
      <w:kern w:val="2"/>
      <w:sz w:val="21"/>
      <w:szCs w:val="21"/>
    </w:rPr>
  </w:style>
  <w:style w:type="paragraph" w:customStyle="1" w:styleId="26">
    <w:name w:val="p16"/>
    <w:basedOn w:val="1"/>
    <w:qFormat/>
    <w:uiPriority w:val="0"/>
    <w:pPr>
      <w:widowControl/>
      <w:spacing w:before="100" w:beforeLines="0" w:after="100" w:afterLines="0"/>
      <w:jc w:val="left"/>
    </w:pPr>
    <w:rPr>
      <w:rFonts w:ascii="宋体" w:hAnsi="宋体" w:cs="宋体"/>
      <w:kern w:val="0"/>
      <w:sz w:val="24"/>
    </w:rPr>
  </w:style>
  <w:style w:type="paragraph" w:customStyle="1" w:styleId="27">
    <w:name w:val="彩色列表 - 着色 11"/>
    <w:basedOn w:val="1"/>
    <w:qFormat/>
    <w:uiPriority w:val="34"/>
    <w:pPr>
      <w:ind w:firstLine="420" w:firstLineChars="200"/>
    </w:pPr>
  </w:style>
  <w:style w:type="paragraph" w:customStyle="1" w:styleId="28">
    <w:name w:val="p0"/>
    <w:basedOn w:val="1"/>
    <w:qFormat/>
    <w:uiPriority w:val="0"/>
    <w:pPr>
      <w:widowControl/>
    </w:pPr>
    <w:rPr>
      <w:kern w:val="0"/>
      <w:szCs w:val="21"/>
    </w:rPr>
  </w:style>
  <w:style w:type="paragraph" w:customStyle="1" w:styleId="29">
    <w:name w:val="列出段落1"/>
    <w:basedOn w:val="1"/>
    <w:qFormat/>
    <w:uiPriority w:val="34"/>
    <w:pPr>
      <w:ind w:firstLine="420" w:firstLineChars="200"/>
    </w:pPr>
    <w:rPr>
      <w:rFonts w:ascii="Calibri" w:hAnsi="Calibri"/>
    </w:rPr>
  </w:style>
  <w:style w:type="paragraph" w:customStyle="1" w:styleId="30">
    <w:name w:val="表"/>
    <w:basedOn w:val="1"/>
    <w:qFormat/>
    <w:uiPriority w:val="0"/>
    <w:pPr>
      <w:adjustRightInd w:val="0"/>
      <w:snapToGrid w:val="0"/>
      <w:spacing w:line="360" w:lineRule="auto"/>
      <w:jc w:val="center"/>
    </w:pPr>
    <w:rPr>
      <w:sz w:val="24"/>
      <w:lang w:val="zh-CN"/>
    </w:rPr>
  </w:style>
  <w:style w:type="paragraph" w:styleId="31">
    <w:name w:val="List Paragraph"/>
    <w:basedOn w:val="1"/>
    <w:qFormat/>
    <w:uiPriority w:val="1"/>
    <w:pPr>
      <w:autoSpaceDE w:val="0"/>
      <w:autoSpaceDN w:val="0"/>
      <w:ind w:left="357" w:hanging="421"/>
      <w:jc w:val="left"/>
    </w:pPr>
    <w:rPr>
      <w:rFonts w:ascii="仿宋" w:hAnsi="仿宋" w:eastAsia="仿宋" w:cs="仿宋"/>
      <w:kern w:val="0"/>
      <w:sz w:val="22"/>
      <w:szCs w:val="22"/>
      <w:lang w:val="zh-CN" w:bidi="zh-CN"/>
    </w:rPr>
  </w:style>
  <w:style w:type="paragraph" w:customStyle="1" w:styleId="32">
    <w:name w:val="Table Paragraph"/>
    <w:basedOn w:val="1"/>
    <w:qFormat/>
    <w:uiPriority w:val="1"/>
    <w:pPr>
      <w:ind w:left="643"/>
    </w:pPr>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惠普(中国)股份有限公司</Company>
  <Pages>21</Pages>
  <Words>10064</Words>
  <Characters>11606</Characters>
  <Lines>106</Lines>
  <Paragraphs>29</Paragraphs>
  <TotalTime>19</TotalTime>
  <ScaleCrop>false</ScaleCrop>
  <LinksUpToDate>false</LinksUpToDate>
  <CharactersWithSpaces>11779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2023-05-16T12:13:00Z</dcterms:created>
  <dc:creator>苏少林</dc:creator>
  <cp:lastModifiedBy>刘东洋</cp:lastModifiedBy>
  <cp:lastPrinted>2020-11-30T04:19:00Z</cp:lastPrinted>
  <dcterms:modified xsi:type="dcterms:W3CDTF">2023-05-20T12:05:44Z</dcterms:modified>
  <dc:title>技能大赛实施方案（环保教研室）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E59B1222A56E4756B90747F977B5F104_13</vt:lpwstr>
  </property>
</Properties>
</file>