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highlight w:val="none"/>
        </w:rPr>
        <w:t>202</w:t>
      </w:r>
      <w:r>
        <w:rPr>
          <w:rFonts w:hint="eastAsia" w:ascii="方正小标宋_GBK" w:hAnsi="方正小标宋_GBK" w:eastAsia="方正小标宋_GBK" w:cs="方正小标宋_GBK"/>
          <w:sz w:val="44"/>
          <w:szCs w:val="44"/>
          <w:highlight w:val="none"/>
          <w:lang w:val="en-US" w:eastAsia="zh-CN"/>
        </w:rPr>
        <w:t>4</w:t>
      </w:r>
      <w:r>
        <w:rPr>
          <w:rFonts w:hint="eastAsia" w:ascii="方正小标宋_GBK" w:hAnsi="方正小标宋_GBK" w:eastAsia="方正小标宋_GBK" w:cs="方正小标宋_GBK"/>
          <w:sz w:val="44"/>
          <w:szCs w:val="44"/>
        </w:rPr>
        <w:t>年河南省高等职业教育技能大赛</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现代化工HSE技能赛项竞赛方案</w:t>
      </w:r>
    </w:p>
    <w:p>
      <w:pPr>
        <w:adjustRightInd w:val="0"/>
        <w:snapToGrid w:val="0"/>
        <w:jc w:val="center"/>
        <w:textAlignment w:val="auto"/>
        <w:rPr>
          <w:rFonts w:hint="eastAsia" w:ascii="仿宋_GB2312" w:hAnsi="仿宋_GB2312" w:eastAsia="仿宋_GB2312" w:cs="仿宋_GB2312"/>
          <w:color w:val="FF0000"/>
          <w:sz w:val="30"/>
        </w:rPr>
      </w:pP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rPr>
        <w:t>一、</w:t>
      </w:r>
      <w:r>
        <w:rPr>
          <w:rFonts w:eastAsia="黑体"/>
          <w:sz w:val="32"/>
          <w:szCs w:val="32"/>
        </w:rPr>
        <w:t>赛项信息</w:t>
      </w:r>
    </w:p>
    <w:p>
      <w:pPr>
        <w:widowControl/>
        <w:spacing w:line="56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赛项名称：现代化工HSE技能</w:t>
      </w:r>
    </w:p>
    <w:p>
      <w:pPr>
        <w:widowControl/>
        <w:spacing w:line="560" w:lineRule="exact"/>
        <w:ind w:firstLine="640" w:firstLineChars="200"/>
        <w:rPr>
          <w:rFonts w:hint="eastAsia" w:ascii="仿宋_GB2312" w:hAnsi="仿宋" w:eastAsia="仿宋_GB2312" w:cs="Times New Roman"/>
          <w:sz w:val="32"/>
          <w:szCs w:val="32"/>
          <w:lang w:val="en-US"/>
        </w:rPr>
      </w:pPr>
      <w:r>
        <w:rPr>
          <w:rFonts w:hint="eastAsia" w:ascii="仿宋_GB2312" w:hAnsi="仿宋" w:eastAsia="仿宋_GB2312" w:cs="Times New Roman"/>
          <w:sz w:val="32"/>
          <w:szCs w:val="32"/>
          <w:lang w:val="en-US"/>
        </w:rPr>
        <w:t>赛项编号：</w:t>
      </w:r>
      <w:r>
        <w:rPr>
          <w:rFonts w:hint="eastAsia" w:ascii="仿宋_GB2312" w:hAnsi="仿宋" w:eastAsia="仿宋_GB2312" w:cs="Times New Roman"/>
          <w:sz w:val="32"/>
          <w:szCs w:val="32"/>
        </w:rPr>
        <w:t>GZ010</w:t>
      </w:r>
    </w:p>
    <w:p>
      <w:pPr>
        <w:widowControl/>
        <w:spacing w:line="560" w:lineRule="exact"/>
        <w:ind w:firstLine="640" w:firstLineChars="200"/>
        <w:rPr>
          <w:rFonts w:hint="eastAsia" w:ascii="仿宋_GB2312" w:hAnsi="仿宋" w:eastAsia="仿宋_GB2312" w:cs="Times New Roman"/>
          <w:sz w:val="32"/>
          <w:szCs w:val="32"/>
          <w:lang w:val="en-US"/>
        </w:rPr>
      </w:pPr>
      <w:r>
        <w:rPr>
          <w:rFonts w:hint="eastAsia" w:ascii="仿宋_GB2312" w:hAnsi="仿宋" w:eastAsia="仿宋_GB2312" w:cs="Times New Roman"/>
          <w:sz w:val="32"/>
          <w:szCs w:val="32"/>
          <w:lang w:val="en-US"/>
        </w:rPr>
        <w:t>赛项组别：赛道小组赛</w:t>
      </w:r>
    </w:p>
    <w:p>
      <w:pPr>
        <w:widowControl/>
        <w:spacing w:line="560" w:lineRule="exact"/>
        <w:ind w:firstLine="640" w:firstLineChars="200"/>
        <w:rPr>
          <w:rFonts w:hint="eastAsia" w:ascii="仿宋_GB2312" w:hAnsi="仿宋" w:eastAsia="仿宋_GB2312" w:cs="Times New Roman"/>
          <w:sz w:val="32"/>
          <w:szCs w:val="32"/>
          <w:lang w:val="en-US"/>
        </w:rPr>
      </w:pPr>
      <w:r>
        <w:rPr>
          <w:rFonts w:hint="eastAsia" w:ascii="仿宋_GB2312" w:hAnsi="仿宋" w:eastAsia="仿宋_GB2312" w:cs="Times New Roman"/>
          <w:sz w:val="32"/>
          <w:szCs w:val="32"/>
          <w:lang w:val="en-US"/>
        </w:rPr>
        <w:t>专业大类：</w:t>
      </w:r>
      <w:r>
        <w:rPr>
          <w:rFonts w:hint="eastAsia" w:ascii="仿宋_GB2312" w:hAnsi="仿宋" w:eastAsia="仿宋_GB2312" w:cs="Times New Roman"/>
          <w:sz w:val="32"/>
          <w:szCs w:val="32"/>
        </w:rPr>
        <w:t>生物与化工</w:t>
      </w:r>
    </w:p>
    <w:p>
      <w:pPr>
        <w:widowControl/>
        <w:spacing w:line="560" w:lineRule="exact"/>
        <w:ind w:firstLine="640" w:firstLineChars="200"/>
        <w:rPr>
          <w:rFonts w:hint="eastAsia" w:ascii="仿宋_GB2312" w:hAnsi="仿宋" w:eastAsia="仿宋_GB2312" w:cs="Times New Roman"/>
          <w:sz w:val="32"/>
          <w:szCs w:val="32"/>
          <w:lang w:val="en-US"/>
        </w:rPr>
      </w:pPr>
      <w:r>
        <w:rPr>
          <w:rFonts w:hint="eastAsia" w:ascii="仿宋_GB2312" w:hAnsi="仿宋" w:eastAsia="仿宋_GB2312" w:cs="Times New Roman"/>
          <w:sz w:val="32"/>
          <w:szCs w:val="32"/>
        </w:rPr>
        <w:t>竞赛形式：</w:t>
      </w:r>
      <w:r>
        <w:rPr>
          <w:rFonts w:hint="eastAsia" w:ascii="仿宋_GB2312" w:hAnsi="仿宋" w:eastAsia="仿宋_GB2312" w:cs="Times New Roman"/>
          <w:sz w:val="32"/>
          <w:szCs w:val="32"/>
          <w:lang w:val="en-US"/>
        </w:rPr>
        <w:t>团体赛</w:t>
      </w:r>
    </w:p>
    <w:p>
      <w:pPr>
        <w:widowControl/>
        <w:spacing w:line="56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主办单位：河南省教育厅</w:t>
      </w:r>
    </w:p>
    <w:p>
      <w:pPr>
        <w:widowControl/>
        <w:spacing w:line="560" w:lineRule="exact"/>
        <w:ind w:firstLine="640" w:firstLineChars="200"/>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rPr>
        <w:t>承办单位：河南应用技术职业学院</w:t>
      </w:r>
    </w:p>
    <w:p>
      <w:pPr>
        <w:widowControl/>
        <w:spacing w:line="560" w:lineRule="exact"/>
        <w:ind w:firstLine="640" w:firstLineChars="200"/>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报到及推荐住宿地点：另行通知</w:t>
      </w:r>
    </w:p>
    <w:p>
      <w:pPr>
        <w:widowControl/>
        <w:adjustRightInd w:val="0"/>
        <w:snapToGrid w:val="0"/>
        <w:spacing w:line="560" w:lineRule="exact"/>
        <w:ind w:firstLine="640" w:firstLineChars="200"/>
        <w:jc w:val="left"/>
        <w:rPr>
          <w:rFonts w:eastAsia="黑体"/>
          <w:sz w:val="32"/>
          <w:szCs w:val="32"/>
        </w:rPr>
      </w:pPr>
      <w:r>
        <w:rPr>
          <w:rFonts w:eastAsia="黑体"/>
          <w:sz w:val="32"/>
          <w:szCs w:val="32"/>
        </w:rPr>
        <w:t>二、竞赛目标</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现代化工产业的快速发展对 </w:t>
      </w:r>
      <w:r>
        <w:rPr>
          <w:rFonts w:ascii="仿宋_GB2312" w:hAnsi="仿宋" w:eastAsia="仿宋_GB2312"/>
          <w:sz w:val="32"/>
          <w:szCs w:val="32"/>
        </w:rPr>
        <w:t>HSE</w:t>
      </w:r>
      <w:r>
        <w:rPr>
          <w:rFonts w:hint="eastAsia" w:ascii="仿宋_GB2312" w:hAnsi="仿宋" w:eastAsia="仿宋_GB2312"/>
          <w:sz w:val="32"/>
          <w:szCs w:val="32"/>
        </w:rPr>
        <w:t>（健康、安全、环境）管理提出了更高要求。</w:t>
      </w:r>
      <w:r>
        <w:rPr>
          <w:rFonts w:ascii="仿宋_GB2312" w:hAnsi="仿宋" w:eastAsia="仿宋_GB2312"/>
          <w:sz w:val="32"/>
          <w:szCs w:val="32"/>
        </w:rPr>
        <w:t xml:space="preserve">HSE </w:t>
      </w:r>
      <w:r>
        <w:rPr>
          <w:rFonts w:hint="eastAsia" w:ascii="仿宋_GB2312" w:hAnsi="仿宋" w:eastAsia="仿宋_GB2312"/>
          <w:sz w:val="32"/>
          <w:szCs w:val="32"/>
        </w:rPr>
        <w:t>体现了以人为本、预防为主、可持续发展和全员参与的理念，不仅可有效保护员工的身心安全与健康，而且影响其价值观和行为模式。</w:t>
      </w:r>
    </w:p>
    <w:p>
      <w:pPr>
        <w:widowControl/>
        <w:spacing w:line="560" w:lineRule="exact"/>
        <w:ind w:firstLine="640" w:firstLineChars="200"/>
        <w:rPr>
          <w:rFonts w:hint="eastAsia" w:ascii="仿宋" w:hAnsi="仿宋" w:eastAsia="仿宋"/>
          <w:spacing w:val="2"/>
          <w:sz w:val="32"/>
          <w:szCs w:val="32"/>
        </w:rPr>
      </w:pPr>
      <w:r>
        <w:rPr>
          <w:rFonts w:hint="eastAsia" w:ascii="仿宋_GB2312" w:hAnsi="仿宋" w:eastAsia="仿宋_GB2312"/>
          <w:sz w:val="32"/>
          <w:szCs w:val="32"/>
        </w:rPr>
        <w:t>通过考核与展示参赛选手职业健康、化工安全和环境保护等方面的知识、技能和职业素养，检验化工职业教育教学成果，进而推进产教深度融合、</w:t>
      </w:r>
      <w:r>
        <w:rPr>
          <w:rFonts w:ascii="仿宋_GB2312" w:hAnsi="仿宋" w:eastAsia="仿宋_GB2312"/>
          <w:sz w:val="32"/>
          <w:szCs w:val="32"/>
        </w:rPr>
        <w:t>“</w:t>
      </w:r>
      <w:r>
        <w:rPr>
          <w:rFonts w:hint="eastAsia" w:ascii="仿宋_GB2312" w:hAnsi="仿宋" w:eastAsia="仿宋_GB2312"/>
          <w:sz w:val="32"/>
          <w:szCs w:val="32"/>
        </w:rPr>
        <w:t>岗课赛证</w:t>
      </w:r>
      <w:r>
        <w:rPr>
          <w:rFonts w:ascii="仿宋_GB2312" w:hAnsi="仿宋" w:eastAsia="仿宋_GB2312"/>
          <w:sz w:val="32"/>
          <w:szCs w:val="32"/>
        </w:rPr>
        <w:t>”</w:t>
      </w:r>
      <w:r>
        <w:rPr>
          <w:rFonts w:hint="eastAsia" w:ascii="仿宋_GB2312" w:hAnsi="仿宋" w:eastAsia="仿宋_GB2312"/>
          <w:sz w:val="32"/>
          <w:szCs w:val="32"/>
        </w:rPr>
        <w:t xml:space="preserve">综合育人，促进化工行业生产和管理新技术的交流，实现专业与产业对接、课程内容与职业标准对接、教学过程与生产过程对接，培养适应化工产业转型发展急需的具有 </w:t>
      </w:r>
      <w:r>
        <w:rPr>
          <w:rFonts w:ascii="仿宋_GB2312" w:hAnsi="仿宋" w:eastAsia="仿宋_GB2312"/>
          <w:sz w:val="32"/>
          <w:szCs w:val="32"/>
        </w:rPr>
        <w:t xml:space="preserve">HSE </w:t>
      </w:r>
      <w:r>
        <w:rPr>
          <w:rFonts w:hint="eastAsia" w:ascii="仿宋_GB2312" w:hAnsi="仿宋" w:eastAsia="仿宋_GB2312"/>
          <w:sz w:val="32"/>
          <w:szCs w:val="32"/>
        </w:rPr>
        <w:t>实践能力、创新能力和工匠精神的复合型技术技能才，实现</w:t>
      </w:r>
      <w:r>
        <w:rPr>
          <w:rFonts w:hint="eastAsia" w:ascii="仿宋" w:hAnsi="仿宋" w:eastAsia="仿宋"/>
          <w:spacing w:val="-8"/>
          <w:sz w:val="32"/>
          <w:szCs w:val="32"/>
        </w:rPr>
        <w:t>以高水平赛事引领化工职业教育高质量发展、发挥树旗、</w:t>
      </w:r>
      <w:r>
        <w:rPr>
          <w:rFonts w:hint="eastAsia" w:ascii="仿宋" w:hAnsi="仿宋" w:eastAsia="仿宋"/>
          <w:spacing w:val="2"/>
          <w:sz w:val="32"/>
          <w:szCs w:val="32"/>
        </w:rPr>
        <w:t>导航、定标催化作用。</w:t>
      </w:r>
    </w:p>
    <w:p>
      <w:pPr>
        <w:widowControl/>
        <w:adjustRightInd w:val="0"/>
        <w:snapToGrid w:val="0"/>
        <w:spacing w:line="560" w:lineRule="exact"/>
        <w:ind w:firstLine="640" w:firstLineChars="200"/>
        <w:jc w:val="left"/>
        <w:rPr>
          <w:rFonts w:eastAsia="黑体"/>
          <w:sz w:val="32"/>
          <w:szCs w:val="32"/>
        </w:rPr>
      </w:pPr>
      <w:r>
        <w:rPr>
          <w:rFonts w:eastAsia="黑体"/>
          <w:sz w:val="32"/>
          <w:szCs w:val="32"/>
        </w:rPr>
        <w:t>三、竞赛内容</w:t>
      </w:r>
    </w:p>
    <w:p>
      <w:pPr>
        <w:adjustRightInd w:val="0"/>
        <w:snapToGrid w:val="0"/>
        <w:spacing w:line="560" w:lineRule="exact"/>
        <w:ind w:right="210" w:rightChars="100" w:firstLine="640" w:firstLineChars="200"/>
        <w:jc w:val="left"/>
        <w:rPr>
          <w:rFonts w:hint="eastAsia" w:eastAsia="楷体_GB2312" w:cs="楷体"/>
          <w:sz w:val="32"/>
          <w:szCs w:val="32"/>
        </w:rPr>
      </w:pPr>
      <w:r>
        <w:rPr>
          <w:rFonts w:hint="eastAsia" w:eastAsia="楷体_GB2312" w:cs="楷体"/>
          <w:sz w:val="32"/>
          <w:szCs w:val="32"/>
        </w:rPr>
        <w:t>（一）竞赛内容设计</w:t>
      </w:r>
    </w:p>
    <w:p>
      <w:pPr>
        <w:widowControl/>
        <w:spacing w:line="560" w:lineRule="exact"/>
        <w:ind w:firstLine="640" w:firstLineChars="200"/>
        <w:rPr>
          <w:rFonts w:hint="eastAsia"/>
          <w:sz w:val="32"/>
          <w:szCs w:val="32"/>
        </w:rPr>
      </w:pPr>
      <w:r>
        <w:rPr>
          <w:rFonts w:hint="eastAsia" w:ascii="仿宋_GB2312" w:hAnsi="仿宋" w:eastAsia="仿宋_GB2312"/>
          <w:sz w:val="32"/>
          <w:szCs w:val="32"/>
        </w:rPr>
        <w:t>为全面考查选手的现代化工HSE理论知识、隐患排查与事故处置能力、化工安全生产事故应急救援能力，本赛项依据国家职业标准要求和现代化工企业相关岗位职业特性设置竞赛模块，分别为“现代化工 HSE 理论知识”(模块一)、“化工过程安全分析技术”(模块二)和“化工生产应急处置技能”(模块三)。通过竞赛，考查选手在典型化工生产操作岗位上的风险分析，隐患排查，防灾、减灾和救灾，安全、环保和职业健康管理等知识、技能以及良好的职业信念、行为习惯和团队</w:t>
      </w:r>
      <w:r>
        <w:rPr>
          <w:rFonts w:hint="eastAsia" w:ascii="仿宋_GB2312" w:hAnsi="仿宋" w:eastAsia="仿宋_GB2312" w:cs="Times New Roman"/>
          <w:sz w:val="32"/>
          <w:szCs w:val="32"/>
        </w:rPr>
        <w:t>协作</w:t>
      </w:r>
      <w:r>
        <w:rPr>
          <w:rFonts w:hint="eastAsia" w:ascii="仿宋_GB2312" w:hAnsi="仿宋" w:eastAsia="仿宋_GB2312"/>
          <w:sz w:val="32"/>
          <w:szCs w:val="32"/>
        </w:rPr>
        <w:t>精神等职业素养。具体竞赛内容及其考核知识点与技能要求如下：</w:t>
      </w:r>
    </w:p>
    <w:p>
      <w:pPr>
        <w:numPr>
          <w:ilvl w:val="0"/>
          <w:numId w:val="1"/>
        </w:numPr>
        <w:adjustRightInd w:val="0"/>
        <w:snapToGrid w:val="0"/>
        <w:spacing w:line="560" w:lineRule="exact"/>
        <w:ind w:right="210" w:rightChars="100" w:firstLine="640" w:firstLineChars="200"/>
        <w:jc w:val="left"/>
        <w:rPr>
          <w:rFonts w:hint="eastAsia" w:eastAsia="楷体_GB2312" w:cs="楷体"/>
          <w:sz w:val="32"/>
          <w:szCs w:val="32"/>
        </w:rPr>
      </w:pPr>
      <w:r>
        <w:rPr>
          <w:rFonts w:hint="eastAsia" w:eastAsia="楷体_GB2312" w:cs="楷体"/>
          <w:sz w:val="32"/>
          <w:szCs w:val="32"/>
        </w:rPr>
        <w:t>赛项模块内容</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w:t>
      </w:r>
      <w:r>
        <w:rPr>
          <w:rFonts w:hint="eastAsia" w:ascii="仿宋_GB2312" w:hAnsi="仿宋" w:eastAsia="仿宋_GB2312"/>
          <w:sz w:val="32"/>
          <w:szCs w:val="32"/>
        </w:rPr>
        <w:t xml:space="preserve">模块一：现代化工 </w:t>
      </w:r>
      <w:r>
        <w:rPr>
          <w:rFonts w:ascii="仿宋_GB2312" w:hAnsi="仿宋" w:eastAsia="仿宋_GB2312"/>
          <w:sz w:val="32"/>
          <w:szCs w:val="32"/>
        </w:rPr>
        <w:t xml:space="preserve">HSE </w:t>
      </w:r>
      <w:r>
        <w:rPr>
          <w:rFonts w:hint="eastAsia" w:ascii="仿宋_GB2312" w:hAnsi="仿宋" w:eastAsia="仿宋_GB2312"/>
          <w:sz w:val="32"/>
          <w:szCs w:val="32"/>
        </w:rPr>
        <w:t xml:space="preserve">理论知识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本模块主要考核选手对在安全知识与文化、化工技术、职业卫生与管理、环境保护等方面知识的掌握程度，具体包括公共安全、安全技术、安全管理、安全法规、安全案例、化学基础、化工基础、化工工艺、化工分析、化工仪表、化工设备、职业危害、职业卫生防护、环保基础、环保技术、危险与可操作性分析（</w:t>
      </w:r>
      <w:r>
        <w:rPr>
          <w:rFonts w:ascii="仿宋_GB2312" w:hAnsi="仿宋" w:eastAsia="仿宋_GB2312"/>
          <w:sz w:val="32"/>
          <w:szCs w:val="32"/>
        </w:rPr>
        <w:t>HAZOP</w:t>
      </w:r>
      <w:r>
        <w:rPr>
          <w:rFonts w:hint="eastAsia" w:ascii="仿宋_GB2312" w:hAnsi="仿宋" w:eastAsia="仿宋_GB2312"/>
          <w:sz w:val="32"/>
          <w:szCs w:val="32"/>
        </w:rPr>
        <w:t>）、</w:t>
      </w:r>
      <w:r>
        <w:rPr>
          <w:rFonts w:ascii="仿宋_GB2312" w:hAnsi="仿宋" w:eastAsia="仿宋_GB2312"/>
          <w:sz w:val="32"/>
          <w:szCs w:val="32"/>
        </w:rPr>
        <w:t xml:space="preserve">HSE </w:t>
      </w:r>
      <w:r>
        <w:rPr>
          <w:rFonts w:hint="eastAsia" w:ascii="仿宋_GB2312" w:hAnsi="仿宋" w:eastAsia="仿宋_GB2312"/>
          <w:sz w:val="32"/>
          <w:szCs w:val="32"/>
        </w:rPr>
        <w:t>案例等知识。按照赛前公开题库（</w:t>
      </w:r>
      <w:r>
        <w:rPr>
          <w:rFonts w:ascii="仿宋_GB2312" w:hAnsi="仿宋" w:eastAsia="仿宋_GB2312"/>
          <w:sz w:val="32"/>
          <w:szCs w:val="32"/>
        </w:rPr>
        <w:t>70%</w:t>
      </w:r>
      <w:r>
        <w:rPr>
          <w:rFonts w:hint="eastAsia" w:ascii="仿宋_GB2312" w:hAnsi="仿宋" w:eastAsia="仿宋_GB2312"/>
          <w:sz w:val="32"/>
          <w:szCs w:val="32"/>
        </w:rPr>
        <w:t>）和应变题库（</w:t>
      </w:r>
      <w:r>
        <w:rPr>
          <w:rFonts w:ascii="仿宋_GB2312" w:hAnsi="仿宋" w:eastAsia="仿宋_GB2312"/>
          <w:sz w:val="32"/>
          <w:szCs w:val="32"/>
        </w:rPr>
        <w:t>30%</w:t>
      </w:r>
      <w:r>
        <w:rPr>
          <w:rFonts w:hint="eastAsia" w:ascii="仿宋_GB2312" w:hAnsi="仿宋" w:eastAsia="仿宋_GB2312"/>
          <w:sz w:val="32"/>
          <w:szCs w:val="32"/>
        </w:rPr>
        <w:t xml:space="preserve">）抽题组卷，试卷题型为单选题、多选题和是非题三种题型，其中单选题 </w:t>
      </w:r>
      <w:r>
        <w:rPr>
          <w:rFonts w:ascii="仿宋_GB2312" w:hAnsi="仿宋" w:eastAsia="仿宋_GB2312"/>
          <w:sz w:val="32"/>
          <w:szCs w:val="32"/>
        </w:rPr>
        <w:t xml:space="preserve">60 </w:t>
      </w:r>
      <w:r>
        <w:rPr>
          <w:rFonts w:hint="eastAsia" w:ascii="仿宋_GB2312" w:hAnsi="仿宋" w:eastAsia="仿宋_GB2312"/>
          <w:sz w:val="32"/>
          <w:szCs w:val="32"/>
        </w:rPr>
        <w:t>题（</w:t>
      </w:r>
      <w:r>
        <w:rPr>
          <w:rFonts w:ascii="仿宋_GB2312" w:hAnsi="仿宋" w:eastAsia="仿宋_GB2312"/>
          <w:sz w:val="32"/>
          <w:szCs w:val="32"/>
        </w:rPr>
        <w:t xml:space="preserve">0.5 </w:t>
      </w:r>
      <w:r>
        <w:rPr>
          <w:rFonts w:hint="eastAsia" w:ascii="仿宋_GB2312" w:hAnsi="仿宋" w:eastAsia="仿宋_GB2312"/>
          <w:sz w:val="32"/>
          <w:szCs w:val="32"/>
        </w:rPr>
        <w:t>分</w:t>
      </w:r>
      <w:r>
        <w:rPr>
          <w:rFonts w:ascii="仿宋_GB2312" w:hAnsi="仿宋" w:eastAsia="仿宋_GB2312"/>
          <w:sz w:val="32"/>
          <w:szCs w:val="32"/>
        </w:rPr>
        <w:t>/</w:t>
      </w:r>
      <w:r>
        <w:rPr>
          <w:rFonts w:hint="eastAsia" w:ascii="仿宋_GB2312" w:hAnsi="仿宋" w:eastAsia="仿宋_GB2312"/>
          <w:sz w:val="32"/>
          <w:szCs w:val="32"/>
        </w:rPr>
        <w:t xml:space="preserve">题）、多选题 </w:t>
      </w:r>
      <w:r>
        <w:rPr>
          <w:rFonts w:ascii="仿宋_GB2312" w:hAnsi="仿宋" w:eastAsia="仿宋_GB2312"/>
          <w:sz w:val="32"/>
          <w:szCs w:val="32"/>
        </w:rPr>
        <w:t xml:space="preserve">40 </w:t>
      </w:r>
      <w:r>
        <w:rPr>
          <w:rFonts w:hint="eastAsia" w:ascii="仿宋_GB2312" w:hAnsi="仿宋" w:eastAsia="仿宋_GB2312"/>
          <w:sz w:val="32"/>
          <w:szCs w:val="32"/>
        </w:rPr>
        <w:t>题（</w:t>
      </w:r>
      <w:r>
        <w:rPr>
          <w:rFonts w:ascii="仿宋_GB2312" w:hAnsi="仿宋" w:eastAsia="仿宋_GB2312"/>
          <w:sz w:val="32"/>
          <w:szCs w:val="32"/>
        </w:rPr>
        <w:t xml:space="preserve">1 </w:t>
      </w:r>
      <w:r>
        <w:rPr>
          <w:rFonts w:hint="eastAsia" w:ascii="仿宋_GB2312" w:hAnsi="仿宋" w:eastAsia="仿宋_GB2312"/>
          <w:sz w:val="32"/>
          <w:szCs w:val="32"/>
        </w:rPr>
        <w:t>分</w:t>
      </w:r>
      <w:r>
        <w:rPr>
          <w:rFonts w:ascii="仿宋_GB2312" w:hAnsi="仿宋" w:eastAsia="仿宋_GB2312"/>
          <w:sz w:val="32"/>
          <w:szCs w:val="32"/>
        </w:rPr>
        <w:t>/</w:t>
      </w:r>
      <w:r>
        <w:rPr>
          <w:rFonts w:hint="eastAsia" w:ascii="仿宋_GB2312" w:hAnsi="仿宋" w:eastAsia="仿宋_GB2312"/>
          <w:sz w:val="32"/>
          <w:szCs w:val="32"/>
        </w:rPr>
        <w:t xml:space="preserve">题）、是非题 </w:t>
      </w:r>
      <w:r>
        <w:rPr>
          <w:rFonts w:ascii="仿宋_GB2312" w:hAnsi="仿宋" w:eastAsia="仿宋_GB2312"/>
          <w:sz w:val="32"/>
          <w:szCs w:val="32"/>
        </w:rPr>
        <w:t xml:space="preserve">60 </w:t>
      </w:r>
      <w:r>
        <w:rPr>
          <w:rFonts w:hint="eastAsia" w:ascii="仿宋_GB2312" w:hAnsi="仿宋" w:eastAsia="仿宋_GB2312"/>
          <w:sz w:val="32"/>
          <w:szCs w:val="32"/>
        </w:rPr>
        <w:t>题（</w:t>
      </w:r>
      <w:r>
        <w:rPr>
          <w:rFonts w:ascii="仿宋_GB2312" w:hAnsi="仿宋" w:eastAsia="仿宋_GB2312"/>
          <w:sz w:val="32"/>
          <w:szCs w:val="32"/>
        </w:rPr>
        <w:t xml:space="preserve">0.5 </w:t>
      </w:r>
      <w:r>
        <w:rPr>
          <w:rFonts w:hint="eastAsia" w:ascii="仿宋_GB2312" w:hAnsi="仿宋" w:eastAsia="仿宋_GB2312"/>
          <w:sz w:val="32"/>
          <w:szCs w:val="32"/>
        </w:rPr>
        <w:t>分</w:t>
      </w:r>
      <w:r>
        <w:rPr>
          <w:rFonts w:ascii="仿宋_GB2312" w:hAnsi="仿宋" w:eastAsia="仿宋_GB2312"/>
          <w:sz w:val="32"/>
          <w:szCs w:val="32"/>
        </w:rPr>
        <w:t>/</w:t>
      </w:r>
      <w:r>
        <w:rPr>
          <w:rFonts w:hint="eastAsia" w:ascii="仿宋_GB2312" w:hAnsi="仿宋" w:eastAsia="仿宋_GB2312"/>
          <w:sz w:val="32"/>
          <w:szCs w:val="32"/>
        </w:rPr>
        <w:t xml:space="preserve">题）。本模块比赛采用机考形式，选手独立答题，竞赛时间 </w:t>
      </w:r>
      <w:r>
        <w:rPr>
          <w:rFonts w:ascii="仿宋_GB2312" w:hAnsi="仿宋" w:eastAsia="仿宋_GB2312"/>
          <w:sz w:val="32"/>
          <w:szCs w:val="32"/>
        </w:rPr>
        <w:t xml:space="preserve">60 </w:t>
      </w:r>
      <w:r>
        <w:rPr>
          <w:rFonts w:hint="eastAsia" w:ascii="仿宋_GB2312" w:hAnsi="仿宋" w:eastAsia="仿宋_GB2312"/>
          <w:sz w:val="32"/>
          <w:szCs w:val="32"/>
        </w:rPr>
        <w:t>分钟，选手操作完成后由计算机自动评分，每位参赛选手所得成绩将汇总到团队总成绩中。模块一成绩占赛项总成绩的</w:t>
      </w:r>
      <w:r>
        <w:rPr>
          <w:rFonts w:ascii="仿宋_GB2312" w:hAnsi="仿宋" w:eastAsia="仿宋_GB2312"/>
          <w:sz w:val="32"/>
          <w:szCs w:val="32"/>
        </w:rPr>
        <w:t>20%</w:t>
      </w:r>
      <w:r>
        <w:rPr>
          <w:rFonts w:hint="eastAsia" w:ascii="仿宋_GB2312" w:hAnsi="仿宋"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 xml:space="preserve">模块二：化工过程安全分析技术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仿宋_GB2312" w:hAnsi="仿宋" w:eastAsia="仿宋_GB2312"/>
          <w:sz w:val="32"/>
          <w:szCs w:val="32"/>
        </w:rPr>
        <w:t xml:space="preserve">本模块为团队和个人结合项目，包括综合事故应急处置推演（三人联机操作）、化工过程 </w:t>
      </w:r>
      <w:r>
        <w:rPr>
          <w:rFonts w:ascii="仿宋_GB2312" w:hAnsi="仿宋" w:eastAsia="仿宋_GB2312"/>
          <w:sz w:val="32"/>
          <w:szCs w:val="32"/>
        </w:rPr>
        <w:t xml:space="preserve">HAZOP </w:t>
      </w:r>
      <w:r>
        <w:rPr>
          <w:rFonts w:hint="eastAsia" w:ascii="仿宋_GB2312" w:hAnsi="仿宋" w:eastAsia="仿宋_GB2312"/>
          <w:sz w:val="32"/>
          <w:szCs w:val="32"/>
        </w:rPr>
        <w:t>分析（单人操作项目）和化工过程安全分析演练（单人操作项目）。</w:t>
      </w:r>
      <w:r>
        <w:rPr>
          <w:rFonts w:hint="eastAsia" w:ascii="仿宋" w:hAnsi="仿宋" w:eastAsia="仿宋" w:cs="仿宋"/>
          <w:color w:val="000000"/>
          <w:kern w:val="0"/>
          <w:sz w:val="32"/>
          <w:szCs w:val="32"/>
          <w:lang w:bidi="ar"/>
        </w:rPr>
        <w:t xml:space="preserve">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①综合事故应急处置推演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选取精馏、丙烯酸甲酯、甲醇、乙烯、合成氨等典型化工生产工艺，根据不同的处置工况，设置多种组合方案，随机抽取 </w:t>
      </w:r>
      <w:r>
        <w:rPr>
          <w:rFonts w:ascii="仿宋_GB2312" w:hAnsi="仿宋" w:eastAsia="仿宋_GB2312"/>
          <w:sz w:val="32"/>
          <w:szCs w:val="32"/>
        </w:rPr>
        <w:t xml:space="preserve">3 </w:t>
      </w:r>
      <w:r>
        <w:rPr>
          <w:rFonts w:hint="eastAsia" w:ascii="仿宋_GB2312" w:hAnsi="仿宋" w:eastAsia="仿宋_GB2312"/>
          <w:sz w:val="32"/>
          <w:szCs w:val="32"/>
        </w:rPr>
        <w:t>道题目进行组合作为考核内容，包括应急处置团队配合、应急处置指令发送、人为判断错误指令并驳回、灭火器使用、个人防护、心肺复苏及随机生成的健康、安全、环保情景分析题。</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②化工过程 </w:t>
      </w:r>
      <w:r>
        <w:rPr>
          <w:rFonts w:ascii="仿宋_GB2312" w:hAnsi="仿宋" w:eastAsia="仿宋_GB2312"/>
          <w:sz w:val="32"/>
          <w:szCs w:val="32"/>
        </w:rPr>
        <w:t xml:space="preserve">HAZOP </w:t>
      </w:r>
      <w:r>
        <w:rPr>
          <w:rFonts w:hint="eastAsia" w:ascii="仿宋_GB2312" w:hAnsi="仿宋" w:eastAsia="仿宋_GB2312"/>
          <w:sz w:val="32"/>
          <w:szCs w:val="32"/>
        </w:rPr>
        <w:t xml:space="preserve">分析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主要考核加氢工艺，设置多个偏离分析项目，随机抽取</w:t>
      </w:r>
      <w:r>
        <w:rPr>
          <w:rFonts w:ascii="仿宋_GB2312" w:hAnsi="仿宋" w:eastAsia="仿宋_GB2312"/>
          <w:sz w:val="32"/>
          <w:szCs w:val="32"/>
        </w:rPr>
        <w:t>1</w:t>
      </w:r>
      <w:r>
        <w:rPr>
          <w:rFonts w:hint="eastAsia" w:ascii="仿宋_GB2312" w:hAnsi="仿宋" w:eastAsia="仿宋_GB2312"/>
          <w:sz w:val="32"/>
          <w:szCs w:val="32"/>
        </w:rPr>
        <w:t xml:space="preserve">个偏离分析作为考核内容，用 </w:t>
      </w:r>
      <w:r>
        <w:rPr>
          <w:rFonts w:ascii="仿宋_GB2312" w:hAnsi="仿宋" w:eastAsia="仿宋_GB2312"/>
          <w:sz w:val="32"/>
          <w:szCs w:val="32"/>
        </w:rPr>
        <w:t xml:space="preserve">HAZOP </w:t>
      </w:r>
      <w:r>
        <w:rPr>
          <w:rFonts w:hint="eastAsia" w:ascii="仿宋_GB2312" w:hAnsi="仿宋" w:eastAsia="仿宋_GB2312"/>
          <w:sz w:val="32"/>
          <w:szCs w:val="32"/>
        </w:rPr>
        <w:t xml:space="preserve">分析方法进行事故后果分析、原因查找、保护措施分析和风险分析等。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③化工过程安全分析演练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设置多个偏离分析演练项目，随机抽取 </w:t>
      </w:r>
      <w:r>
        <w:rPr>
          <w:rFonts w:ascii="仿宋_GB2312" w:hAnsi="仿宋" w:eastAsia="仿宋_GB2312"/>
          <w:sz w:val="32"/>
          <w:szCs w:val="32"/>
        </w:rPr>
        <w:t xml:space="preserve">1 </w:t>
      </w:r>
      <w:r>
        <w:rPr>
          <w:rFonts w:hint="eastAsia" w:ascii="仿宋_GB2312" w:hAnsi="仿宋" w:eastAsia="仿宋_GB2312"/>
          <w:sz w:val="32"/>
          <w:szCs w:val="32"/>
        </w:rPr>
        <w:t xml:space="preserve">个偏离分析演练作为考核内容，重点考核 </w:t>
      </w:r>
      <w:r>
        <w:rPr>
          <w:rFonts w:ascii="仿宋_GB2312" w:hAnsi="仿宋" w:eastAsia="仿宋_GB2312"/>
          <w:sz w:val="32"/>
          <w:szCs w:val="32"/>
        </w:rPr>
        <w:t xml:space="preserve">PID </w:t>
      </w:r>
      <w:r>
        <w:rPr>
          <w:rFonts w:hint="eastAsia" w:ascii="仿宋_GB2312" w:hAnsi="仿宋" w:eastAsia="仿宋_GB2312"/>
          <w:sz w:val="32"/>
          <w:szCs w:val="32"/>
        </w:rPr>
        <w:t xml:space="preserve">读图、事故情景构建、原因分析、后果判断、保护措施查找、风险识别以及 </w:t>
      </w:r>
      <w:r>
        <w:rPr>
          <w:rFonts w:ascii="仿宋_GB2312" w:hAnsi="仿宋" w:eastAsia="仿宋_GB2312"/>
          <w:sz w:val="32"/>
          <w:szCs w:val="32"/>
        </w:rPr>
        <w:t xml:space="preserve">HAZOP </w:t>
      </w:r>
      <w:r>
        <w:rPr>
          <w:rFonts w:hint="eastAsia" w:ascii="仿宋_GB2312" w:hAnsi="仿宋" w:eastAsia="仿宋_GB2312"/>
          <w:sz w:val="32"/>
          <w:szCs w:val="32"/>
        </w:rPr>
        <w:t>报告审查要点。</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本模块比赛采用上机仿真操作形式，竞赛时间 </w:t>
      </w:r>
      <w:r>
        <w:rPr>
          <w:rFonts w:ascii="仿宋_GB2312" w:hAnsi="仿宋" w:eastAsia="仿宋_GB2312"/>
          <w:sz w:val="32"/>
          <w:szCs w:val="32"/>
        </w:rPr>
        <w:t xml:space="preserve">60 </w:t>
      </w:r>
      <w:r>
        <w:rPr>
          <w:rFonts w:hint="eastAsia" w:ascii="仿宋_GB2312" w:hAnsi="仿宋" w:eastAsia="仿宋_GB2312"/>
          <w:sz w:val="32"/>
          <w:szCs w:val="32"/>
        </w:rPr>
        <w:t xml:space="preserve">分钟，选手操作完成后由计算机自动评分，模块二成绩占赛项总成绩的 </w:t>
      </w:r>
      <w:r>
        <w:rPr>
          <w:rFonts w:ascii="仿宋_GB2312" w:hAnsi="仿宋" w:eastAsia="仿宋_GB2312"/>
          <w:sz w:val="32"/>
          <w:szCs w:val="32"/>
        </w:rPr>
        <w:t>35%</w:t>
      </w:r>
      <w:r>
        <w:rPr>
          <w:rFonts w:hint="eastAsia" w:ascii="仿宋_GB2312" w:hAnsi="仿宋" w:eastAsia="仿宋_GB2312"/>
          <w:sz w:val="32"/>
          <w:szCs w:val="32"/>
        </w:rPr>
        <w:t xml:space="preserve">。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lang w:val="en-US" w:eastAsia="zh-CN"/>
        </w:rPr>
        <w:t>3.</w:t>
      </w:r>
      <w:r>
        <w:rPr>
          <w:rFonts w:hint="eastAsia" w:ascii="仿宋_GB2312" w:hAnsi="仿宋" w:eastAsia="仿宋_GB2312"/>
          <w:sz w:val="32"/>
          <w:szCs w:val="32"/>
        </w:rPr>
        <w:t xml:space="preserve">模块三：化工生产应急处置技能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rPr>
        <w:t>本赛项模块</w:t>
      </w:r>
      <w:r>
        <w:rPr>
          <w:rFonts w:hint="eastAsia" w:ascii="仿宋_GB2312" w:hAnsi="仿宋" w:eastAsia="仿宋_GB2312" w:cs="Times New Roman"/>
          <w:sz w:val="32"/>
          <w:szCs w:val="32"/>
          <w:lang w:val="en-US" w:eastAsia="zh-CN"/>
        </w:rPr>
        <w:t>考核PVC聚合</w:t>
      </w:r>
      <w:r>
        <w:rPr>
          <w:rFonts w:hint="eastAsia" w:ascii="仿宋_GB2312" w:hAnsi="仿宋" w:eastAsia="仿宋_GB2312" w:cs="Times New Roman"/>
          <w:sz w:val="32"/>
          <w:szCs w:val="32"/>
        </w:rPr>
        <w:t>工艺、柴油加氢工艺、煤制甲醇工艺3种典型产品生产工艺生产涉及到的中毒、着火、大面积泄漏、超温超压等事故的应急处置</w:t>
      </w:r>
      <w:r>
        <w:rPr>
          <w:rFonts w:hint="eastAsia" w:ascii="仿宋_GB2312" w:hAnsi="仿宋"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28"/>
          <w:szCs w:val="28"/>
        </w:rPr>
      </w:pPr>
      <w:r>
        <w:rPr>
          <w:rFonts w:hint="eastAsia" w:ascii="仿宋_GB2312" w:hAnsi="仿宋" w:eastAsia="仿宋_GB2312"/>
          <w:sz w:val="32"/>
          <w:szCs w:val="32"/>
        </w:rPr>
        <w:t xml:space="preserve">本模块为团体成员协作性项目，每个团队需自行指定 </w:t>
      </w:r>
      <w:r>
        <w:rPr>
          <w:rFonts w:ascii="仿宋_GB2312" w:hAnsi="仿宋" w:eastAsia="仿宋_GB2312"/>
          <w:sz w:val="32"/>
          <w:szCs w:val="32"/>
        </w:rPr>
        <w:t xml:space="preserve">1 </w:t>
      </w:r>
      <w:r>
        <w:rPr>
          <w:rFonts w:hint="eastAsia" w:ascii="仿宋_GB2312" w:hAnsi="仿宋" w:eastAsia="仿宋_GB2312"/>
          <w:sz w:val="32"/>
          <w:szCs w:val="32"/>
        </w:rPr>
        <w:t xml:space="preserve">名选手作为内操，另外 </w:t>
      </w:r>
      <w:r>
        <w:rPr>
          <w:rFonts w:ascii="仿宋_GB2312" w:hAnsi="仿宋" w:eastAsia="仿宋_GB2312"/>
          <w:sz w:val="32"/>
          <w:szCs w:val="32"/>
        </w:rPr>
        <w:t>2</w:t>
      </w:r>
      <w:r>
        <w:rPr>
          <w:rFonts w:hint="eastAsia" w:ascii="仿宋_GB2312" w:hAnsi="仿宋" w:eastAsia="仿宋_GB2312"/>
          <w:sz w:val="32"/>
          <w:szCs w:val="32"/>
        </w:rPr>
        <w:t xml:space="preserve">名队员作为班长及外操，竞赛时间 </w:t>
      </w:r>
      <w:r>
        <w:rPr>
          <w:rFonts w:ascii="仿宋_GB2312" w:hAnsi="仿宋" w:eastAsia="仿宋_GB2312"/>
          <w:sz w:val="32"/>
          <w:szCs w:val="32"/>
        </w:rPr>
        <w:t xml:space="preserve">60 </w:t>
      </w:r>
      <w:r>
        <w:rPr>
          <w:rFonts w:hint="eastAsia" w:ascii="仿宋_GB2312" w:hAnsi="仿宋" w:eastAsia="仿宋_GB2312"/>
          <w:sz w:val="32"/>
          <w:szCs w:val="32"/>
        </w:rPr>
        <w:t xml:space="preserve">分钟。每场比赛抽签选择三种危险工艺的2个事故处置操作进行考核，操作考核现场按 </w:t>
      </w:r>
      <w:r>
        <w:rPr>
          <w:rFonts w:ascii="仿宋_GB2312" w:hAnsi="仿宋" w:eastAsia="仿宋_GB2312"/>
          <w:sz w:val="32"/>
          <w:szCs w:val="32"/>
        </w:rPr>
        <w:t>HSE</w:t>
      </w:r>
      <w:r>
        <w:rPr>
          <w:rFonts w:hint="eastAsia" w:ascii="仿宋_GB2312" w:hAnsi="仿宋" w:eastAsia="仿宋_GB2312"/>
          <w:sz w:val="32"/>
          <w:szCs w:val="32"/>
        </w:rPr>
        <w:t xml:space="preserve">职业要求布置，要求 </w:t>
      </w:r>
      <w:r>
        <w:rPr>
          <w:rFonts w:ascii="仿宋_GB2312" w:hAnsi="仿宋" w:eastAsia="仿宋_GB2312"/>
          <w:sz w:val="32"/>
          <w:szCs w:val="32"/>
        </w:rPr>
        <w:t xml:space="preserve">3 </w:t>
      </w:r>
      <w:r>
        <w:rPr>
          <w:rFonts w:hint="eastAsia" w:ascii="仿宋_GB2312" w:hAnsi="仿宋" w:eastAsia="仿宋_GB2312"/>
          <w:sz w:val="32"/>
          <w:szCs w:val="32"/>
        </w:rPr>
        <w:t xml:space="preserve">位选手相互配合在规定时间内完成初期事故处置操作。参赛队员操作性考核为机考；装置操作由计算机自动记录评分，考核过程中队员的个体防护、规范操作和安全文明生产等情况由裁判跟踪评分。模块三成绩占赛项总成绩的 </w:t>
      </w:r>
      <w:r>
        <w:rPr>
          <w:rFonts w:ascii="仿宋_GB2312" w:hAnsi="仿宋" w:eastAsia="仿宋_GB2312"/>
          <w:sz w:val="32"/>
          <w:szCs w:val="32"/>
        </w:rPr>
        <w:t>45%</w:t>
      </w:r>
      <w:r>
        <w:rPr>
          <w:rFonts w:hint="eastAsia" w:ascii="仿宋_GB2312" w:hAnsi="仿宋" w:eastAsia="仿宋_GB2312"/>
          <w:sz w:val="32"/>
          <w:szCs w:val="32"/>
        </w:rPr>
        <w:t xml:space="preserve">。 </w:t>
      </w:r>
    </w:p>
    <w:p>
      <w:pPr>
        <w:widowControl/>
        <w:spacing w:line="560" w:lineRule="exact"/>
        <w:ind w:firstLine="480" w:firstLineChars="200"/>
        <w:jc w:val="center"/>
        <w:rPr>
          <w:rFonts w:hint="eastAsia" w:ascii="黑体" w:hAnsi="黑体" w:eastAsia="黑体" w:cs="黑体"/>
          <w:sz w:val="24"/>
          <w:szCs w:val="24"/>
        </w:rPr>
      </w:pPr>
      <w:r>
        <w:rPr>
          <w:rFonts w:hint="eastAsia" w:ascii="黑体" w:hAnsi="黑体" w:eastAsia="黑体" w:cs="黑体"/>
          <w:sz w:val="24"/>
          <w:szCs w:val="24"/>
        </w:rPr>
        <w:t>表 1 赛项模块、竞赛时长、分值及配比</w:t>
      </w:r>
    </w:p>
    <w:tbl>
      <w:tblPr>
        <w:tblStyle w:val="14"/>
        <w:tblW w:w="9316" w:type="dxa"/>
        <w:tblInd w:w="102" w:type="dxa"/>
        <w:tblLayout w:type="autofit"/>
        <w:tblCellMar>
          <w:top w:w="0" w:type="dxa"/>
          <w:left w:w="108" w:type="dxa"/>
          <w:bottom w:w="0" w:type="dxa"/>
          <w:right w:w="108" w:type="dxa"/>
        </w:tblCellMar>
      </w:tblPr>
      <w:tblGrid>
        <w:gridCol w:w="962"/>
        <w:gridCol w:w="1292"/>
        <w:gridCol w:w="4162"/>
        <w:gridCol w:w="1250"/>
        <w:gridCol w:w="750"/>
        <w:gridCol w:w="900"/>
      </w:tblGrid>
      <w:tr>
        <w:tblPrEx>
          <w:tblCellMar>
            <w:top w:w="0" w:type="dxa"/>
            <w:left w:w="108" w:type="dxa"/>
            <w:bottom w:w="0" w:type="dxa"/>
            <w:right w:w="108" w:type="dxa"/>
          </w:tblCellMar>
        </w:tblPrEx>
        <w:trPr>
          <w:trHeight w:val="567" w:hRule="atLeast"/>
        </w:trPr>
        <w:tc>
          <w:tcPr>
            <w:tcW w:w="225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赛项</w:t>
            </w:r>
          </w:p>
        </w:tc>
        <w:tc>
          <w:tcPr>
            <w:tcW w:w="4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主要内容</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比赛时长</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分值</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配比</w:t>
            </w:r>
          </w:p>
        </w:tc>
      </w:tr>
      <w:tr>
        <w:tblPrEx>
          <w:tblCellMar>
            <w:top w:w="0" w:type="dxa"/>
            <w:left w:w="108" w:type="dxa"/>
            <w:bottom w:w="0" w:type="dxa"/>
            <w:right w:w="108" w:type="dxa"/>
          </w:tblCellMar>
        </w:tblPrEx>
        <w:trPr>
          <w:trHeight w:val="567" w:hRule="atLeast"/>
        </w:trPr>
        <w:tc>
          <w:tcPr>
            <w:tcW w:w="962" w:type="dxa"/>
            <w:tcBorders>
              <w:top w:val="single" w:color="000000" w:sz="4" w:space="0"/>
              <w:left w:val="single" w:color="000000" w:sz="4" w:space="0"/>
              <w:bottom w:val="nil"/>
              <w:right w:val="nil"/>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 xml:space="preserve">模块一 </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现代化工</w:t>
            </w:r>
            <w:r>
              <w:rPr>
                <w:rFonts w:hint="eastAsia" w:ascii="仿宋_GB2312" w:hAnsi="仿宋" w:eastAsia="仿宋_GB2312" w:cs="Times New Roman"/>
                <w:sz w:val="21"/>
                <w:szCs w:val="21"/>
              </w:rPr>
              <w:br w:type="textWrapping"/>
            </w:r>
            <w:r>
              <w:rPr>
                <w:rFonts w:hint="eastAsia" w:ascii="仿宋_GB2312" w:hAnsi="仿宋" w:eastAsia="仿宋_GB2312" w:cs="Times New Roman"/>
                <w:sz w:val="21"/>
                <w:szCs w:val="21"/>
              </w:rPr>
              <w:t xml:space="preserve">HSE理论知识 </w:t>
            </w:r>
          </w:p>
        </w:tc>
        <w:tc>
          <w:tcPr>
            <w:tcW w:w="4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公共安全、安全技术、安全管理、安全文化、安全法规、消防法规、安全案例、化学基础、化工基础、化工工艺、化工分析、化工仪表、化工设备、职业危害、职业卫生防护、环保基础、环保技术、危险与可操作性分析（HAZOP）、HSE 案例等知识。</w:t>
            </w:r>
            <w:r>
              <w:rPr>
                <w:rFonts w:hint="eastAsia" w:ascii="Times New Roman" w:hAnsi="Times New Roman" w:eastAsia="仿宋_GB2312" w:cs="Times New Roman"/>
                <w:sz w:val="21"/>
                <w:szCs w:val="21"/>
                <w:lang w:bidi="ar"/>
              </w:rPr>
              <w:t>具体出题范围见表</w:t>
            </w:r>
            <w:r>
              <w:rPr>
                <w:rFonts w:hint="default" w:ascii="Times New Roman" w:hAnsi="Times New Roman" w:eastAsia="仿宋_GB2312" w:cs="Times New Roman"/>
                <w:sz w:val="21"/>
                <w:szCs w:val="21"/>
                <w:lang w:bidi="ar"/>
              </w:rPr>
              <w:t xml:space="preserve"> </w:t>
            </w:r>
            <w:r>
              <w:rPr>
                <w:rFonts w:hint="eastAsia" w:ascii="Times New Roman" w:hAnsi="Times New Roman" w:eastAsia="仿宋_GB2312" w:cs="Times New Roman"/>
                <w:sz w:val="21"/>
                <w:szCs w:val="21"/>
                <w:lang w:bidi="ar"/>
              </w:rPr>
              <w:t>2</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 w:eastAsia="仿宋_GB2312" w:cs="Times New Roman"/>
                <w:sz w:val="21"/>
                <w:szCs w:val="21"/>
              </w:rPr>
            </w:pPr>
            <w:r>
              <w:rPr>
                <w:rFonts w:hint="default" w:ascii="仿宋_GB2312" w:hAnsi="仿宋" w:eastAsia="仿宋_GB2312" w:cs="Times New Roman"/>
                <w:sz w:val="21"/>
                <w:szCs w:val="21"/>
              </w:rPr>
              <w:t>60分钟</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100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20%</w:t>
            </w:r>
          </w:p>
        </w:tc>
      </w:tr>
      <w:tr>
        <w:tblPrEx>
          <w:tblCellMar>
            <w:top w:w="0" w:type="dxa"/>
            <w:left w:w="108" w:type="dxa"/>
            <w:bottom w:w="0" w:type="dxa"/>
            <w:right w:w="108" w:type="dxa"/>
          </w:tblCellMar>
        </w:tblPrEx>
        <w:trPr>
          <w:trHeight w:val="567" w:hRule="atLeast"/>
        </w:trPr>
        <w:tc>
          <w:tcPr>
            <w:tcW w:w="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 xml:space="preserve">模块二 </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 xml:space="preserve">化工过程安全分析技术 </w:t>
            </w:r>
          </w:p>
        </w:tc>
        <w:tc>
          <w:tcPr>
            <w:tcW w:w="4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 xml:space="preserve">典型化工工艺事故应急处置推演、典型化工工艺单元过程安全分析、典型化工工艺单元过程安全分析演练。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60分钟</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100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35%</w:t>
            </w:r>
          </w:p>
        </w:tc>
      </w:tr>
      <w:tr>
        <w:tblPrEx>
          <w:tblCellMar>
            <w:top w:w="0" w:type="dxa"/>
            <w:left w:w="108" w:type="dxa"/>
            <w:bottom w:w="0" w:type="dxa"/>
            <w:right w:w="108" w:type="dxa"/>
          </w:tblCellMar>
        </w:tblPrEx>
        <w:trPr>
          <w:trHeight w:val="567" w:hRule="atLeast"/>
        </w:trPr>
        <w:tc>
          <w:tcPr>
            <w:tcW w:w="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 xml:space="preserve">模块三 </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 xml:space="preserve">化工生产应急处置技能 </w:t>
            </w:r>
          </w:p>
        </w:tc>
        <w:tc>
          <w:tcPr>
            <w:tcW w:w="4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sz w:val="21"/>
                <w:szCs w:val="21"/>
              </w:rPr>
            </w:pPr>
            <w:r>
              <w:rPr>
                <w:rFonts w:hint="eastAsia" w:ascii="仿宋_GB2312" w:hAnsi="仿宋" w:eastAsia="仿宋_GB2312" w:cs="Times New Roman"/>
                <w:sz w:val="21"/>
                <w:szCs w:val="21"/>
              </w:rPr>
              <w:t>本赛项模块选择聚</w:t>
            </w:r>
            <w:r>
              <w:rPr>
                <w:rFonts w:hint="eastAsia" w:ascii="仿宋_GB2312" w:hAnsi="仿宋" w:eastAsia="仿宋_GB2312" w:cs="Times New Roman"/>
                <w:sz w:val="21"/>
                <w:szCs w:val="21"/>
                <w:lang w:val="en-US" w:eastAsia="zh-CN"/>
              </w:rPr>
              <w:t>PVC聚合</w:t>
            </w:r>
            <w:r>
              <w:rPr>
                <w:rFonts w:hint="eastAsia" w:ascii="仿宋_GB2312" w:hAnsi="仿宋" w:eastAsia="仿宋_GB2312" w:cs="Times New Roman"/>
                <w:sz w:val="21"/>
                <w:szCs w:val="21"/>
              </w:rPr>
              <w:t xml:space="preserve">工艺、柴油加氢工艺、煤制甲醇工艺3种典型产品生产工艺，每个产品工艺中均设置中毒、着火、大面积泄漏、超温超压等事故。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60分钟</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100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仿宋" w:eastAsia="仿宋_GB2312" w:cs="Times New Roman"/>
                <w:sz w:val="21"/>
                <w:szCs w:val="21"/>
              </w:rPr>
            </w:pPr>
            <w:r>
              <w:rPr>
                <w:rFonts w:hint="default" w:ascii="仿宋_GB2312" w:hAnsi="仿宋" w:eastAsia="仿宋_GB2312" w:cs="Times New Roman"/>
                <w:sz w:val="21"/>
                <w:szCs w:val="21"/>
              </w:rPr>
              <w:t>45%</w:t>
            </w:r>
          </w:p>
        </w:tc>
      </w:tr>
    </w:tbl>
    <w:p>
      <w:pPr>
        <w:widowControl/>
        <w:spacing w:line="560" w:lineRule="exact"/>
        <w:ind w:firstLine="480" w:firstLineChars="200"/>
        <w:jc w:val="center"/>
        <w:rPr>
          <w:rFonts w:hint="eastAsia" w:ascii="黑体" w:hAnsi="黑体" w:eastAsia="黑体" w:cs="黑体"/>
          <w:sz w:val="24"/>
          <w:szCs w:val="24"/>
        </w:rPr>
      </w:pPr>
      <w:r>
        <w:rPr>
          <w:rFonts w:hint="eastAsia" w:ascii="黑体" w:hAnsi="黑体" w:eastAsia="黑体" w:cs="黑体"/>
          <w:sz w:val="24"/>
          <w:szCs w:val="24"/>
        </w:rPr>
        <w:t>表 2 现代化工 HSE 理论知识（模块一）命题范围与试卷组成</w:t>
      </w:r>
    </w:p>
    <w:tbl>
      <w:tblPr>
        <w:tblStyle w:val="14"/>
        <w:tblW w:w="4919" w:type="pct"/>
        <w:jc w:val="center"/>
        <w:tblLayout w:type="autofit"/>
        <w:tblCellMar>
          <w:top w:w="0" w:type="dxa"/>
          <w:left w:w="108" w:type="dxa"/>
          <w:bottom w:w="0" w:type="dxa"/>
          <w:right w:w="108" w:type="dxa"/>
        </w:tblCellMar>
      </w:tblPr>
      <w:tblGrid>
        <w:gridCol w:w="3680"/>
        <w:gridCol w:w="1942"/>
        <w:gridCol w:w="1943"/>
        <w:gridCol w:w="1795"/>
      </w:tblGrid>
      <w:tr>
        <w:tblPrEx>
          <w:tblCellMar>
            <w:top w:w="0" w:type="dxa"/>
            <w:left w:w="108" w:type="dxa"/>
            <w:bottom w:w="0" w:type="dxa"/>
            <w:right w:w="108" w:type="dxa"/>
          </w:tblCellMar>
        </w:tblPrEx>
        <w:trPr>
          <w:cantSplit/>
          <w:trHeight w:val="454" w:hRule="exact"/>
          <w:jc w:val="center"/>
        </w:trPr>
        <w:tc>
          <w:tcPr>
            <w:tcW w:w="1965" w:type="pct"/>
            <w:tcBorders>
              <w:top w:val="single" w:color="474747"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命题范围</w:t>
            </w:r>
          </w:p>
        </w:tc>
        <w:tc>
          <w:tcPr>
            <w:tcW w:w="1037" w:type="pct"/>
            <w:tcBorders>
              <w:top w:val="single" w:color="474747"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单选题</w:t>
            </w:r>
          </w:p>
        </w:tc>
        <w:tc>
          <w:tcPr>
            <w:tcW w:w="1037" w:type="pct"/>
            <w:tcBorders>
              <w:top w:val="single" w:color="474747"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多选题</w:t>
            </w:r>
          </w:p>
        </w:tc>
        <w:tc>
          <w:tcPr>
            <w:tcW w:w="958" w:type="pct"/>
            <w:tcBorders>
              <w:top w:val="single" w:color="474747"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是非题</w:t>
            </w: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安全知识</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18</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8</w:t>
            </w:r>
          </w:p>
        </w:tc>
        <w:tc>
          <w:tcPr>
            <w:tcW w:w="95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18</w:t>
            </w: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化工知识</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18</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8</w:t>
            </w:r>
          </w:p>
        </w:tc>
        <w:tc>
          <w:tcPr>
            <w:tcW w:w="95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18</w:t>
            </w: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职业卫生知识</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9</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4</w:t>
            </w:r>
          </w:p>
        </w:tc>
        <w:tc>
          <w:tcPr>
            <w:tcW w:w="95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9</w:t>
            </w: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环保知识</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9</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4</w:t>
            </w:r>
          </w:p>
        </w:tc>
        <w:tc>
          <w:tcPr>
            <w:tcW w:w="95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9</w:t>
            </w: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HAZOP知识</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6</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4</w:t>
            </w:r>
          </w:p>
        </w:tc>
        <w:tc>
          <w:tcPr>
            <w:tcW w:w="95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6</w:t>
            </w: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HSE案例</w:t>
            </w: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037"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12</w:t>
            </w:r>
          </w:p>
        </w:tc>
        <w:tc>
          <w:tcPr>
            <w:tcW w:w="95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r>
      <w:tr>
        <w:tblPrEx>
          <w:tblCellMar>
            <w:top w:w="0" w:type="dxa"/>
            <w:left w:w="108" w:type="dxa"/>
            <w:bottom w:w="0" w:type="dxa"/>
            <w:right w:w="108" w:type="dxa"/>
          </w:tblCellMar>
        </w:tblPrEx>
        <w:trPr>
          <w:cantSplit/>
          <w:trHeight w:val="454" w:hRule="exact"/>
          <w:jc w:val="center"/>
        </w:trPr>
        <w:tc>
          <w:tcPr>
            <w:tcW w:w="1965" w:type="pct"/>
            <w:tcBorders>
              <w:top w:val="single" w:color="888E93" w:sz="8" w:space="0"/>
              <w:left w:val="single" w:color="474747" w:sz="8" w:space="0"/>
              <w:bottom w:val="single" w:color="474747"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合计</w:t>
            </w:r>
          </w:p>
        </w:tc>
        <w:tc>
          <w:tcPr>
            <w:tcW w:w="1037"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60</w:t>
            </w:r>
          </w:p>
        </w:tc>
        <w:tc>
          <w:tcPr>
            <w:tcW w:w="1037"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40</w:t>
            </w:r>
          </w:p>
        </w:tc>
        <w:tc>
          <w:tcPr>
            <w:tcW w:w="958" w:type="pct"/>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60</w:t>
            </w:r>
          </w:p>
        </w:tc>
      </w:tr>
    </w:tbl>
    <w:p>
      <w:pPr>
        <w:widowControl/>
        <w:adjustRightInd w:val="0"/>
        <w:snapToGrid w:val="0"/>
        <w:spacing w:line="560" w:lineRule="exact"/>
        <w:ind w:firstLine="640" w:firstLineChars="200"/>
        <w:jc w:val="left"/>
        <w:rPr>
          <w:rFonts w:eastAsia="黑体"/>
          <w:sz w:val="32"/>
          <w:szCs w:val="32"/>
        </w:rPr>
      </w:pPr>
      <w:r>
        <w:rPr>
          <w:rFonts w:eastAsia="黑体"/>
          <w:sz w:val="32"/>
          <w:szCs w:val="32"/>
        </w:rPr>
        <w:t>四、竞赛方式</w:t>
      </w:r>
    </w:p>
    <w:p>
      <w:pPr>
        <w:widowControl/>
        <w:spacing w:line="56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rPr>
        <w:t>1.本次竞赛为团</w:t>
      </w:r>
      <w:r>
        <w:rPr>
          <w:rFonts w:hint="eastAsia" w:ascii="仿宋_GB2312" w:hAnsi="仿宋" w:eastAsia="仿宋_GB2312"/>
          <w:sz w:val="32"/>
          <w:szCs w:val="32"/>
          <w:highlight w:val="none"/>
        </w:rPr>
        <w:t>体赛。以学校为单位组队参赛，每校限报</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rPr>
        <w:t>支参赛队。每个参赛队3 名选手和 1-2 名指导教师组成。</w:t>
      </w:r>
    </w:p>
    <w:p>
      <w:pPr>
        <w:widowControl/>
        <w:spacing w:line="560" w:lineRule="exact"/>
        <w:ind w:firstLine="640" w:firstLineChars="200"/>
        <w:rPr>
          <w:rFonts w:hint="eastAsia"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2.参赛选手须为202</w:t>
      </w:r>
      <w:r>
        <w:rPr>
          <w:rFonts w:hint="eastAsia" w:ascii="仿宋_GB2312" w:hAnsi="仿宋" w:eastAsia="仿宋_GB2312" w:cs="Times New Roman"/>
          <w:sz w:val="32"/>
          <w:szCs w:val="32"/>
          <w:highlight w:val="none"/>
          <w:lang w:val="en-US" w:eastAsia="zh-CN"/>
        </w:rPr>
        <w:t>4</w:t>
      </w:r>
      <w:r>
        <w:rPr>
          <w:rFonts w:hint="eastAsia" w:ascii="仿宋_GB2312" w:hAnsi="仿宋" w:eastAsia="仿宋_GB2312" w:cs="Times New Roman"/>
          <w:sz w:val="32"/>
          <w:szCs w:val="32"/>
          <w:highlight w:val="none"/>
        </w:rPr>
        <w:t>年在籍全日制高等职业学校（含本科职业院校）学生，资格以报名时所具有的在校学籍为准，指导老师和学生须为同校在籍。</w:t>
      </w:r>
    </w:p>
    <w:p>
      <w:pPr>
        <w:widowControl/>
        <w:spacing w:line="560" w:lineRule="exact"/>
        <w:ind w:firstLine="640" w:firstLineChars="200"/>
        <w:rPr>
          <w:rFonts w:hint="default"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3.</w:t>
      </w:r>
      <w:r>
        <w:rPr>
          <w:rFonts w:hint="eastAsia" w:ascii="仿宋_GB2312" w:hAnsi="仿宋" w:eastAsia="仿宋_GB2312" w:cs="Times New Roman"/>
          <w:sz w:val="32"/>
          <w:szCs w:val="32"/>
          <w:highlight w:val="none"/>
        </w:rPr>
        <w:t>凡在往届全国职业院校技能大赛、世界职业院校技能大赛中获一等奖的选手，不能再参加今年同一专业类赛项的比赛。</w:t>
      </w: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rPr>
        <w:t>五</w:t>
      </w:r>
      <w:r>
        <w:rPr>
          <w:rFonts w:eastAsia="黑体"/>
          <w:sz w:val="32"/>
          <w:szCs w:val="32"/>
        </w:rPr>
        <w:t>、</w:t>
      </w:r>
      <w:r>
        <w:rPr>
          <w:rFonts w:hint="eastAsia" w:eastAsia="黑体"/>
          <w:sz w:val="32"/>
          <w:szCs w:val="32"/>
        </w:rPr>
        <w:t>参赛报名</w:t>
      </w:r>
    </w:p>
    <w:p>
      <w:pPr>
        <w:widowControl/>
        <w:spacing w:line="560" w:lineRule="exact"/>
        <w:ind w:firstLine="640" w:firstLineChars="200"/>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1.参赛院校须于</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12月12日</w:t>
      </w:r>
      <w:r>
        <w:rPr>
          <w:rFonts w:hint="eastAsia" w:ascii="仿宋_GB2312" w:hAnsi="仿宋" w:eastAsia="仿宋_GB2312"/>
          <w:color w:val="000000" w:themeColor="text1"/>
          <w:sz w:val="32"/>
          <w:szCs w:val="32"/>
          <w:highlight w:val="none"/>
          <w14:textFill>
            <w14:solidFill>
              <w14:schemeClr w14:val="tx1"/>
            </w14:solidFill>
          </w14:textFill>
        </w:rPr>
        <w:t>前登录河南省高职院校技能大赛报名系统（http://39.105.49.188/），按要求填报并提交参赛信息。</w:t>
      </w:r>
    </w:p>
    <w:p>
      <w:pPr>
        <w:widowControl/>
        <w:spacing w:line="560" w:lineRule="exact"/>
        <w:ind w:firstLine="640" w:firstLineChars="200"/>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2.各参赛校以学校为单位注册报名平台，专人负责报名工作。</w:t>
      </w:r>
    </w:p>
    <w:p>
      <w:pPr>
        <w:widowControl/>
        <w:spacing w:line="560" w:lineRule="exact"/>
        <w:ind w:firstLine="640" w:firstLineChars="200"/>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3.提交报名信息后，参赛院校从系统导出参赛选手报名表、参赛信息汇总表后，连同参赛选手身份证复印件和学信网“教育部学籍在线验证报告”或省招办录取名册复印件各1份并加盖院校公章，报送或邮寄到赛项协办院校（河南应用技术职业学院）。纸质报名材料接收截止时间为</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12月13日</w:t>
      </w:r>
      <w:r>
        <w:rPr>
          <w:rFonts w:hint="eastAsia" w:ascii="仿宋_GB2312" w:hAnsi="仿宋" w:eastAsia="仿宋_GB2312"/>
          <w:color w:val="000000" w:themeColor="text1"/>
          <w:sz w:val="32"/>
          <w:szCs w:val="32"/>
          <w:highlight w:val="none"/>
          <w14:textFill>
            <w14:solidFill>
              <w14:schemeClr w14:val="tx1"/>
            </w14:solidFill>
          </w14:textFill>
        </w:rPr>
        <w:t>，以邮戳时间为准。</w:t>
      </w:r>
    </w:p>
    <w:p>
      <w:pPr>
        <w:widowControl/>
        <w:spacing w:line="560" w:lineRule="exact"/>
        <w:ind w:firstLine="640" w:firstLineChars="200"/>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邮寄地址：河南省郑州市建设西路548号；</w:t>
      </w:r>
    </w:p>
    <w:p>
      <w:pPr>
        <w:widowControl/>
        <w:spacing w:line="560" w:lineRule="exact"/>
        <w:ind w:firstLine="640" w:firstLineChars="200"/>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rPr>
        <w:t>收件人：</w:t>
      </w:r>
      <w:r>
        <w:rPr>
          <w:rFonts w:hint="eastAsia" w:ascii="仿宋_GB2312" w:hAnsi="仿宋" w:eastAsia="仿宋_GB2312"/>
          <w:sz w:val="32"/>
          <w:szCs w:val="32"/>
          <w:highlight w:val="none"/>
          <w:lang w:val="en-US" w:eastAsia="zh-CN"/>
        </w:rPr>
        <w:t>张黎君</w:t>
      </w:r>
    </w:p>
    <w:p>
      <w:pPr>
        <w:widowControl/>
        <w:spacing w:line="56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联系方式：</w:t>
      </w:r>
      <w:r>
        <w:rPr>
          <w:rFonts w:hint="eastAsia" w:ascii="仿宋_GB2312" w:hAnsi="仿宋" w:eastAsia="仿宋_GB2312"/>
          <w:sz w:val="32"/>
          <w:szCs w:val="32"/>
          <w:highlight w:val="none"/>
          <w:lang w:val="en-US" w:eastAsia="zh-CN"/>
        </w:rPr>
        <w:t>18336307752</w:t>
      </w:r>
      <w:r>
        <w:rPr>
          <w:rFonts w:hint="eastAsia" w:ascii="仿宋_GB2312" w:hAnsi="仿宋" w:eastAsia="仿宋_GB2312"/>
          <w:sz w:val="32"/>
          <w:szCs w:val="32"/>
          <w:highlight w:val="none"/>
        </w:rPr>
        <w:t>；邮箱：</w:t>
      </w:r>
      <w:r>
        <w:rPr>
          <w:rFonts w:hint="eastAsia" w:ascii="仿宋_GB2312" w:hAnsi="仿宋" w:eastAsia="仿宋_GB2312"/>
          <w:sz w:val="32"/>
          <w:szCs w:val="32"/>
          <w:highlight w:val="none"/>
          <w:lang w:val="en-US" w:eastAsia="zh-CN"/>
        </w:rPr>
        <w:t>370096813</w:t>
      </w:r>
      <w:r>
        <w:rPr>
          <w:rFonts w:hint="eastAsia" w:ascii="仿宋_GB2312" w:hAnsi="仿宋" w:eastAsia="仿宋_GB2312"/>
          <w:sz w:val="32"/>
          <w:szCs w:val="32"/>
          <w:highlight w:val="none"/>
        </w:rPr>
        <w:t>@qq.com</w:t>
      </w:r>
    </w:p>
    <w:p>
      <w:pPr>
        <w:widowControl/>
        <w:spacing w:line="560" w:lineRule="exact"/>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4.承办学校收到纸质报名材料，按参赛条件的要求认真审核参赛选手和指导教师资格，审核通过报名成功。</w:t>
      </w:r>
    </w:p>
    <w:p>
      <w:pPr>
        <w:spacing w:line="560" w:lineRule="exact"/>
        <w:ind w:firstLine="640" w:firstLineChars="200"/>
        <w:rPr>
          <w:rFonts w:hint="eastAsia" w:eastAsia="黑体"/>
          <w:bCs/>
          <w:sz w:val="32"/>
          <w:szCs w:val="32"/>
        </w:rPr>
      </w:pPr>
      <w:r>
        <w:rPr>
          <w:rFonts w:hint="eastAsia" w:eastAsia="黑体"/>
          <w:bCs/>
          <w:sz w:val="32"/>
          <w:szCs w:val="32"/>
        </w:rPr>
        <w:t>六、竞赛流程</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如有变动以《赛项指南》为准。</w:t>
      </w:r>
    </w:p>
    <w:p>
      <w:pPr>
        <w:pStyle w:val="2"/>
        <w:rPr>
          <w:rFonts w:hint="eastAsia"/>
          <w:lang w:val="zh-TW" w:eastAsia="zh-TW"/>
        </w:rPr>
      </w:pPr>
    </w:p>
    <w:p>
      <w:pPr>
        <w:widowControl/>
        <w:spacing w:line="560" w:lineRule="exact"/>
        <w:ind w:firstLine="562" w:firstLineChars="200"/>
        <w:jc w:val="center"/>
        <w:rPr>
          <w:rFonts w:hint="eastAsia" w:ascii="仿宋_GB2312" w:hAnsi="仿宋" w:eastAsia="仿宋_GB2312"/>
          <w:b/>
          <w:bCs/>
          <w:sz w:val="28"/>
          <w:szCs w:val="28"/>
          <w:highlight w:val="yellow"/>
        </w:rPr>
      </w:pPr>
      <w:r>
        <w:rPr>
          <w:rFonts w:hint="eastAsia" w:ascii="仿宋_GB2312" w:hAnsi="仿宋" w:eastAsia="仿宋_GB2312"/>
          <w:b/>
          <w:bCs/>
          <w:sz w:val="28"/>
          <w:szCs w:val="28"/>
          <w:highlight w:val="none"/>
        </w:rPr>
        <w:t>表3竞赛日程具体安排</w:t>
      </w:r>
    </w:p>
    <w:tbl>
      <w:tblPr>
        <w:tblStyle w:val="14"/>
        <w:tblW w:w="9310"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07"/>
        <w:gridCol w:w="1699"/>
        <w:gridCol w:w="3287"/>
        <w:gridCol w:w="3017"/>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日期</w:t>
            </w:r>
          </w:p>
        </w:tc>
        <w:tc>
          <w:tcPr>
            <w:tcW w:w="1699"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时间</w:t>
            </w:r>
          </w:p>
        </w:tc>
        <w:tc>
          <w:tcPr>
            <w:tcW w:w="3287"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项目</w:t>
            </w:r>
          </w:p>
        </w:tc>
        <w:tc>
          <w:tcPr>
            <w:tcW w:w="3017"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地点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vMerge w:val="restart"/>
            <w:noWrap w:val="0"/>
            <w:vAlign w:val="center"/>
          </w:tcPr>
          <w:p>
            <w:pPr>
              <w:keepNext w:val="0"/>
              <w:keepLines w:val="0"/>
              <w:suppressLineNumbers w:val="0"/>
              <w:spacing w:before="0" w:beforeAutospacing="0" w:after="0" w:afterAutospacing="0" w:line="540" w:lineRule="exact"/>
              <w:ind w:left="0" w:right="0"/>
              <w:jc w:val="center"/>
              <w:rPr>
                <w:rFonts w:hint="default"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12月19日</w:t>
            </w: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上</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1"/>
                <w:szCs w:val="21"/>
                <w14:textFill>
                  <w14:solidFill>
                    <w14:schemeClr w14:val="tx1"/>
                  </w14:solidFill>
                </w14:textFill>
              </w:rPr>
              <w:t>午</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裁判员报到，参赛代表队报到</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住宿宾馆大厅</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vMerge w:val="continue"/>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14:textFill>
                  <w14:solidFill>
                    <w14:schemeClr w14:val="tx1"/>
                  </w14:solidFill>
                </w14:textFill>
              </w:rPr>
            </w:pP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14</w:t>
            </w:r>
            <w:r>
              <w:rPr>
                <w:rFonts w:hint="eastAsia" w:ascii="方正仿宋_GBK" w:hAnsi="方正仿宋_GBK" w:eastAsia="方正仿宋_GBK" w:cs="方正仿宋_GBK"/>
                <w:color w:val="000000" w:themeColor="text1"/>
                <w:spacing w:val="-14"/>
                <w:sz w:val="21"/>
                <w:szCs w:val="21"/>
                <w14:textFill>
                  <w14:solidFill>
                    <w14:schemeClr w14:val="tx1"/>
                  </w14:solidFill>
                </w14:textFill>
              </w:rPr>
              <w:t>:</w:t>
            </w:r>
            <w:r>
              <w:rPr>
                <w:rFonts w:hint="eastAsia" w:ascii="方正仿宋_GBK" w:hAnsi="方正仿宋_GBK" w:eastAsia="方正仿宋_GBK" w:cs="方正仿宋_GBK"/>
                <w:color w:val="000000" w:themeColor="text1"/>
                <w:sz w:val="21"/>
                <w:szCs w:val="21"/>
                <w14:textFill>
                  <w14:solidFill>
                    <w14:schemeClr w14:val="tx1"/>
                  </w14:solidFill>
                </w14:textFill>
              </w:rPr>
              <w:t>00</w:t>
            </w:r>
            <w:r>
              <w:rPr>
                <w:rFonts w:hint="eastAsia" w:ascii="方正仿宋_GBK" w:hAnsi="方正仿宋_GBK" w:eastAsia="方正仿宋_GBK" w:cs="方正仿宋_GBK"/>
                <w:color w:val="000000" w:themeColor="text1"/>
                <w:spacing w:val="-14"/>
                <w:sz w:val="21"/>
                <w:szCs w:val="21"/>
                <w14:textFill>
                  <w14:solidFill>
                    <w14:schemeClr w14:val="tx1"/>
                  </w14:solidFill>
                </w14:textFill>
              </w:rPr>
              <w:t>～1</w:t>
            </w:r>
            <w:r>
              <w:rPr>
                <w:rFonts w:hint="eastAsia" w:ascii="方正仿宋_GBK" w:hAnsi="方正仿宋_GBK" w:eastAsia="方正仿宋_GBK" w:cs="方正仿宋_GBK"/>
                <w:color w:val="000000" w:themeColor="text1"/>
                <w:spacing w:val="-14"/>
                <w:sz w:val="21"/>
                <w:szCs w:val="21"/>
                <w:lang w:val="en-US" w:eastAsia="zh-CN"/>
                <w14:textFill>
                  <w14:solidFill>
                    <w14:schemeClr w14:val="tx1"/>
                  </w14:solidFill>
                </w14:textFill>
              </w:rPr>
              <w:t>6</w:t>
            </w:r>
            <w:r>
              <w:rPr>
                <w:rFonts w:hint="eastAsia" w:ascii="方正仿宋_GBK" w:hAnsi="方正仿宋_GBK" w:eastAsia="方正仿宋_GBK" w:cs="方正仿宋_GBK"/>
                <w:color w:val="000000" w:themeColor="text1"/>
                <w:spacing w:val="-14"/>
                <w:sz w:val="21"/>
                <w:szCs w:val="21"/>
                <w14:textFill>
                  <w14:solidFill>
                    <w14:schemeClr w14:val="tx1"/>
                  </w14:solidFill>
                </w14:textFill>
              </w:rPr>
              <w:t>:00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裁判员会议</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图书馆楼303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vMerge w:val="continue"/>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14:textFill>
                  <w14:solidFill>
                    <w14:schemeClr w14:val="tx1"/>
                  </w14:solidFill>
                </w14:textFill>
              </w:rPr>
            </w:pP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1</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1"/>
                <w:szCs w:val="21"/>
                <w14:textFill>
                  <w14:solidFill>
                    <w14:schemeClr w14:val="tx1"/>
                  </w14:solidFill>
                </w14:textFill>
              </w:rPr>
              <w:t>:00～15:</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1"/>
                <w:szCs w:val="21"/>
                <w14:textFill>
                  <w14:solidFill>
                    <w14:schemeClr w14:val="tx1"/>
                  </w14:solidFill>
                </w14:textFill>
              </w:rPr>
              <w:t>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大赛开幕式</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二号教学楼202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vMerge w:val="continue"/>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14:textFill>
                  <w14:solidFill>
                    <w14:schemeClr w14:val="tx1"/>
                  </w14:solidFill>
                </w14:textFill>
              </w:rPr>
            </w:pP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15:</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1"/>
                <w:szCs w:val="21"/>
                <w14:textFill>
                  <w14:solidFill>
                    <w14:schemeClr w14:val="tx1"/>
                  </w14:solidFill>
                </w14:textFill>
              </w:rPr>
              <w:t>0～16:00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参赛代表队熟悉比赛场地</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二号实训楼1楼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化工综合实训中心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vMerge w:val="continue"/>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14:textFill>
                  <w14:solidFill>
                    <w14:schemeClr w14:val="tx1"/>
                  </w14:solidFill>
                </w14:textFill>
              </w:rPr>
            </w:pP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15:</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1"/>
                <w:szCs w:val="21"/>
                <w14:textFill>
                  <w14:solidFill>
                    <w14:schemeClr w14:val="tx1"/>
                  </w14:solidFill>
                </w14:textFill>
              </w:rPr>
              <w:t>0～1</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1"/>
                <w:szCs w:val="21"/>
                <w14:textFill>
                  <w14:solidFill>
                    <w14:schemeClr w14:val="tx1"/>
                  </w14:solidFill>
                </w14:textFill>
              </w:rPr>
              <w:t>:</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1"/>
                <w:szCs w:val="21"/>
                <w14:textFill>
                  <w14:solidFill>
                    <w14:schemeClr w14:val="tx1"/>
                  </w14:solidFill>
                </w14:textFill>
              </w:rPr>
              <w:t>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领队会</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二号实训楼创意馆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vMerge w:val="continue"/>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14:textFill>
                  <w14:solidFill>
                    <w14:schemeClr w14:val="tx1"/>
                  </w14:solidFill>
                </w14:textFill>
              </w:rPr>
            </w:pP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18:00～19:00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比赛</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二号实训楼411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化工综合实训中心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noWrap w:val="0"/>
            <w:vAlign w:val="center"/>
          </w:tcPr>
          <w:p>
            <w:pPr>
              <w:keepNext w:val="0"/>
              <w:keepLines w:val="0"/>
              <w:suppressLineNumbers w:val="0"/>
              <w:spacing w:before="0" w:beforeAutospacing="0" w:after="0" w:afterAutospacing="0" w:line="540" w:lineRule="exact"/>
              <w:ind w:left="0" w:right="0"/>
              <w:jc w:val="center"/>
              <w:rPr>
                <w:rFonts w:hint="default"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12月20日-21日</w:t>
            </w: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1"/>
                <w:szCs w:val="21"/>
                <w14:textFill>
                  <w14:solidFill>
                    <w14:schemeClr w14:val="tx1"/>
                  </w14:solidFill>
                </w14:textFill>
              </w:rPr>
              <w:t>:00～</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22</w:t>
            </w:r>
            <w:r>
              <w:rPr>
                <w:rFonts w:hint="eastAsia" w:ascii="方正仿宋_GBK" w:hAnsi="方正仿宋_GBK" w:eastAsia="方正仿宋_GBK" w:cs="方正仿宋_GBK"/>
                <w:color w:val="000000" w:themeColor="text1"/>
                <w:sz w:val="21"/>
                <w:szCs w:val="21"/>
                <w14:textFill>
                  <w14:solidFill>
                    <w14:schemeClr w14:val="tx1"/>
                  </w14:solidFill>
                </w14:textFill>
              </w:rPr>
              <w:t>:00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比赛</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二号实训楼1楼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化工综合实训中心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二号实训楼411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12月22日</w:t>
            </w: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1"/>
                <w:szCs w:val="21"/>
                <w14:textFill>
                  <w14:solidFill>
                    <w14:schemeClr w14:val="tx1"/>
                  </w14:solidFill>
                </w14:textFill>
              </w:rPr>
              <w:t>:00～</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1"/>
                <w:szCs w:val="21"/>
                <w14:textFill>
                  <w14:solidFill>
                    <w14:schemeClr w14:val="tx1"/>
                  </w14:solidFill>
                </w14:textFill>
              </w:rPr>
              <w:t>:00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比赛</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二号实训楼1楼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化工综合实训中心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07" w:type="dxa"/>
            <w:noWrap w:val="0"/>
            <w:vAlign w:val="center"/>
          </w:tcPr>
          <w:p>
            <w:pPr>
              <w:keepNext w:val="0"/>
              <w:keepLines w:val="0"/>
              <w:suppressLineNumbers w:val="0"/>
              <w:spacing w:before="0" w:beforeAutospacing="0" w:after="0" w:afterAutospacing="0" w:line="540" w:lineRule="exact"/>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12月22日</w:t>
            </w:r>
          </w:p>
        </w:tc>
        <w:tc>
          <w:tcPr>
            <w:tcW w:w="16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14:textFill>
                  <w14:solidFill>
                    <w14:schemeClr w14:val="tx1"/>
                  </w14:solidFill>
                </w14:textFill>
              </w:rPr>
            </w:pPr>
            <w:r>
              <w:rPr>
                <w:rFonts w:hint="eastAsia" w:ascii="方正仿宋_GBK" w:hAnsi="方正仿宋_GBK" w:eastAsia="方正仿宋_GBK" w:cs="方正仿宋_GBK"/>
                <w:color w:val="000000" w:themeColor="text1"/>
                <w:sz w:val="21"/>
                <w:szCs w:val="21"/>
                <w14:textFill>
                  <w14:solidFill>
                    <w14:schemeClr w14:val="tx1"/>
                  </w14:solidFill>
                </w14:textFill>
              </w:rPr>
              <w:t>1</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1"/>
                <w:szCs w:val="21"/>
                <w14:textFill>
                  <w14:solidFill>
                    <w14:schemeClr w14:val="tx1"/>
                  </w14:solidFill>
                </w14:textFill>
              </w:rPr>
              <w:t>:</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1"/>
                <w:szCs w:val="21"/>
                <w14:textFill>
                  <w14:solidFill>
                    <w14:schemeClr w14:val="tx1"/>
                  </w14:solidFill>
                </w14:textFill>
              </w:rPr>
              <w:t>0～1</w:t>
            </w: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1"/>
                <w:szCs w:val="21"/>
                <w14:textFill>
                  <w14:solidFill>
                    <w14:schemeClr w14:val="tx1"/>
                  </w14:solidFill>
                </w14:textFill>
              </w:rPr>
              <w:t>:00</w:t>
            </w:r>
          </w:p>
        </w:tc>
        <w:tc>
          <w:tcPr>
            <w:tcW w:w="32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成绩公示</w:t>
            </w:r>
          </w:p>
        </w:tc>
        <w:tc>
          <w:tcPr>
            <w:tcW w:w="30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二号实训楼1楼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lang w:val="en-US" w:eastAsia="zh-CN" w:bidi="ar-SA"/>
                <w14:textFill>
                  <w14:solidFill>
                    <w14:schemeClr w14:val="tx1"/>
                  </w14:solidFill>
                </w14:textFill>
              </w:rPr>
              <w:t>化工综合实训中心门口</w:t>
            </w:r>
          </w:p>
        </w:tc>
      </w:tr>
    </w:tbl>
    <w:p>
      <w:pPr>
        <w:adjustRightInd w:val="0"/>
        <w:snapToGrid w:val="0"/>
        <w:spacing w:line="360" w:lineRule="auto"/>
        <w:ind w:firstLine="240" w:firstLineChars="100"/>
        <w:jc w:val="left"/>
        <w:rPr>
          <w:rFonts w:hint="eastAsia" w:ascii="仿宋" w:hAnsi="仿宋" w:eastAsia="仿宋" w:cs="宋体"/>
          <w:b/>
          <w:bCs/>
          <w:kern w:val="0"/>
          <w:sz w:val="24"/>
          <w:szCs w:val="24"/>
          <w:lang w:val="en-US" w:eastAsia="zh-CN"/>
        </w:rPr>
      </w:pPr>
      <w:r>
        <w:rPr>
          <w:rFonts w:hint="eastAsia" w:ascii="仿宋" w:hAnsi="仿宋" w:eastAsia="仿宋" w:cs="宋体"/>
          <w:b/>
          <w:bCs/>
          <w:color w:val="000000" w:themeColor="text1"/>
          <w:kern w:val="0"/>
          <w:sz w:val="24"/>
          <w:szCs w:val="24"/>
          <w14:textFill>
            <w14:solidFill>
              <w14:schemeClr w14:val="tx1"/>
            </w14:solidFill>
          </w14:textFill>
        </w:rPr>
        <w:t>备注：1.</w:t>
      </w:r>
      <w:r>
        <w:rPr>
          <w:rFonts w:hint="eastAsia" w:ascii="仿宋" w:hAnsi="仿宋" w:eastAsia="仿宋" w:cs="仿宋"/>
          <w:b/>
          <w:bCs/>
          <w:color w:val="000000" w:themeColor="text1"/>
          <w:sz w:val="24"/>
          <w:szCs w:val="24"/>
          <w:lang w:val="en-US" w:eastAsia="zh-CN"/>
          <w14:textFill>
            <w14:solidFill>
              <w14:schemeClr w14:val="tx1"/>
            </w14:solidFill>
          </w14:textFill>
        </w:rPr>
        <w:t>三个比赛项目的具体详细安排以《赛项指南》为准</w:t>
      </w:r>
      <w:r>
        <w:rPr>
          <w:rFonts w:hint="eastAsia" w:ascii="仿宋" w:hAnsi="仿宋" w:eastAsia="仿宋" w:cs="宋体"/>
          <w:b/>
          <w:bCs/>
          <w:color w:val="000000" w:themeColor="text1"/>
          <w:kern w:val="0"/>
          <w:sz w:val="24"/>
          <w:szCs w:val="24"/>
          <w14:textFill>
            <w14:solidFill>
              <w14:schemeClr w14:val="tx1"/>
            </w14:solidFill>
          </w14:textFill>
        </w:rPr>
        <w:t>；2.赛项实施</w:t>
      </w:r>
      <w:r>
        <w:rPr>
          <w:rFonts w:hint="eastAsia" w:ascii="仿宋" w:hAnsi="仿宋" w:eastAsia="仿宋" w:cs="宋体"/>
          <w:b/>
          <w:bCs/>
          <w:kern w:val="0"/>
          <w:sz w:val="24"/>
          <w:szCs w:val="24"/>
        </w:rPr>
        <w:t>二次加密</w:t>
      </w:r>
      <w:r>
        <w:rPr>
          <w:rFonts w:hint="eastAsia" w:ascii="仿宋" w:hAnsi="仿宋" w:eastAsia="仿宋" w:cs="宋体"/>
          <w:b/>
          <w:bCs/>
          <w:kern w:val="0"/>
          <w:sz w:val="24"/>
          <w:szCs w:val="24"/>
          <w:lang w:eastAsia="zh-CN"/>
        </w:rPr>
        <w:t>；</w:t>
      </w:r>
      <w:r>
        <w:rPr>
          <w:rFonts w:hint="eastAsia" w:ascii="仿宋" w:hAnsi="仿宋" w:eastAsia="仿宋" w:cs="宋体"/>
          <w:b/>
          <w:bCs/>
          <w:kern w:val="0"/>
          <w:sz w:val="24"/>
          <w:szCs w:val="24"/>
          <w:lang w:val="en-US" w:eastAsia="zh-CN"/>
        </w:rPr>
        <w:t>3.</w:t>
      </w:r>
      <w:r>
        <w:rPr>
          <w:rFonts w:hint="eastAsia" w:ascii="仿宋" w:hAnsi="仿宋" w:eastAsia="仿宋" w:cs="宋体"/>
          <w:b/>
          <w:bCs/>
          <w:kern w:val="0"/>
          <w:sz w:val="24"/>
          <w:szCs w:val="24"/>
        </w:rPr>
        <w:t>竞赛技术点评及闭幕式环节的安排，视时间而定。</w:t>
      </w:r>
    </w:p>
    <w:p>
      <w:pPr>
        <w:widowControl/>
        <w:spacing w:line="560" w:lineRule="exact"/>
        <w:ind w:firstLine="562" w:firstLineChars="200"/>
        <w:jc w:val="center"/>
        <w:rPr>
          <w:rFonts w:hint="eastAsia" w:ascii="仿宋_GB2312" w:hAnsi="仿宋" w:eastAsia="仿宋_GB2312"/>
          <w:b/>
          <w:bCs/>
          <w:sz w:val="28"/>
          <w:szCs w:val="28"/>
          <w:highlight w:val="none"/>
        </w:rPr>
        <w:sectPr>
          <w:footerReference r:id="rId3" w:type="default"/>
          <w:pgSz w:w="11906" w:h="16838"/>
          <w:pgMar w:top="1247" w:right="1247" w:bottom="1134" w:left="1361" w:header="851" w:footer="992" w:gutter="0"/>
          <w:pgNumType w:fmt="decimal"/>
          <w:cols w:space="720" w:num="1"/>
          <w:docGrid w:type="lines" w:linePitch="312" w:charSpace="0"/>
        </w:sectPr>
      </w:pPr>
    </w:p>
    <w:p>
      <w:pPr>
        <w:widowControl/>
        <w:spacing w:line="560" w:lineRule="exact"/>
        <w:ind w:firstLine="562" w:firstLineChars="200"/>
        <w:jc w:val="center"/>
        <w:rPr>
          <w:rFonts w:hint="eastAsia" w:ascii="仿宋_GB2312" w:hAnsi="仿宋" w:eastAsia="仿宋_GB2312"/>
          <w:b/>
          <w:bCs/>
          <w:sz w:val="28"/>
          <w:szCs w:val="28"/>
          <w:highlight w:val="none"/>
        </w:rPr>
      </w:pPr>
      <w:r>
        <w:rPr>
          <w:rFonts w:hint="eastAsia" w:ascii="仿宋_GB2312" w:hAnsi="仿宋" w:eastAsia="仿宋_GB2312"/>
          <w:b/>
          <w:bCs/>
          <w:sz w:val="28"/>
          <w:szCs w:val="28"/>
          <w:highlight w:val="none"/>
        </w:rPr>
        <w:t>表 4</w:t>
      </w:r>
      <w:r>
        <w:rPr>
          <w:rFonts w:hint="eastAsia" w:ascii="仿宋_GB2312" w:hAnsi="仿宋" w:eastAsia="仿宋_GB2312"/>
          <w:b/>
          <w:bCs/>
          <w:sz w:val="28"/>
          <w:szCs w:val="28"/>
          <w:highlight w:val="none"/>
        </w:rPr>
        <w:tab/>
      </w:r>
      <w:r>
        <w:rPr>
          <w:rFonts w:hint="eastAsia" w:ascii="仿宋_GB2312" w:hAnsi="仿宋" w:eastAsia="仿宋_GB2312"/>
          <w:b/>
          <w:bCs/>
          <w:sz w:val="28"/>
          <w:szCs w:val="28"/>
          <w:highlight w:val="none"/>
        </w:rPr>
        <w:t>竞赛项目运行安排表</w:t>
      </w:r>
    </w:p>
    <w:tbl>
      <w:tblPr>
        <w:tblStyle w:val="14"/>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54"/>
        <w:gridCol w:w="959"/>
        <w:gridCol w:w="2048"/>
        <w:gridCol w:w="2048"/>
        <w:gridCol w:w="2056"/>
        <w:gridCol w:w="2059"/>
        <w:gridCol w:w="2048"/>
        <w:gridCol w:w="2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vMerge w:val="restart"/>
            <w:noWrap w:val="0"/>
            <w:vAlign w:val="center"/>
          </w:tcPr>
          <w:p>
            <w:pPr>
              <w:pStyle w:val="25"/>
              <w:keepNext w:val="0"/>
              <w:keepLines w:val="0"/>
              <w:suppressLineNumbers w:val="0"/>
              <w:spacing w:before="0" w:beforeAutospacing="0" w:after="0" w:afterAutospacing="0"/>
              <w:ind w:left="108" w:right="91"/>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t>项目</w:t>
            </w:r>
          </w:p>
        </w:tc>
        <w:tc>
          <w:tcPr>
            <w:tcW w:w="4536" w:type="pct"/>
            <w:gridSpan w:val="7"/>
            <w:noWrap w:val="0"/>
            <w:vAlign w:val="center"/>
          </w:tcPr>
          <w:p>
            <w:pPr>
              <w:pStyle w:val="25"/>
              <w:keepNext w:val="0"/>
              <w:keepLines w:val="0"/>
              <w:suppressLineNumbers w:val="0"/>
              <w:spacing w:before="0" w:beforeAutospacing="0" w:after="0" w:afterAutospacing="0"/>
              <w:ind w:left="108" w:right="91"/>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t>比赛顺序（日期、时间、场次及参赛队代码）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vMerge w:val="continue"/>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p>
        </w:tc>
        <w:tc>
          <w:tcPr>
            <w:tcW w:w="328" w:type="pct"/>
            <w:noWrap w:val="0"/>
            <w:vAlign w:val="center"/>
          </w:tcPr>
          <w:p>
            <w:pPr>
              <w:pStyle w:val="25"/>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12月19日</w:t>
            </w:r>
          </w:p>
        </w:tc>
        <w:tc>
          <w:tcPr>
            <w:tcW w:w="1400" w:type="pct"/>
            <w:gridSpan w:val="2"/>
            <w:noWrap w:val="0"/>
            <w:vAlign w:val="center"/>
          </w:tcPr>
          <w:p>
            <w:pPr>
              <w:pStyle w:val="25"/>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12月20日</w:t>
            </w:r>
          </w:p>
        </w:tc>
        <w:tc>
          <w:tcPr>
            <w:tcW w:w="1407" w:type="pct"/>
            <w:gridSpan w:val="2"/>
            <w:noWrap w:val="0"/>
            <w:vAlign w:val="center"/>
          </w:tcPr>
          <w:p>
            <w:pPr>
              <w:pStyle w:val="25"/>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12月21日</w:t>
            </w:r>
          </w:p>
        </w:tc>
        <w:tc>
          <w:tcPr>
            <w:tcW w:w="1400" w:type="pct"/>
            <w:gridSpan w:val="2"/>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12月22日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模块一 现代化工HSE理论知识</w:t>
            </w:r>
          </w:p>
        </w:tc>
        <w:tc>
          <w:tcPr>
            <w:tcW w:w="328"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18:00～19:00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全体选手</w:t>
            </w:r>
          </w:p>
        </w:tc>
        <w:tc>
          <w:tcPr>
            <w:tcW w:w="1400" w:type="pct"/>
            <w:gridSpan w:val="2"/>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1407" w:type="pct"/>
            <w:gridSpan w:val="2"/>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1400" w:type="pct"/>
            <w:gridSpan w:val="2"/>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模块二 化工过程安全分析技术</w:t>
            </w:r>
          </w:p>
        </w:tc>
        <w:tc>
          <w:tcPr>
            <w:tcW w:w="328"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1400" w:type="pct"/>
            <w:gridSpan w:val="2"/>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9:00～10:00</w:t>
            </w:r>
          </w:p>
          <w:p>
            <w:pPr>
              <w:pStyle w:val="25"/>
              <w:keepNext w:val="0"/>
              <w:keepLines w:val="0"/>
              <w:suppressLineNumbers w:val="0"/>
              <w:spacing w:before="0" w:beforeAutospacing="0" w:after="0" w:afterAutospacing="0"/>
              <w:ind w:left="0" w:right="0"/>
              <w:jc w:val="center"/>
              <w:rPr>
                <w:rFonts w:hint="default"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G011-G24</w:t>
            </w:r>
          </w:p>
        </w:tc>
        <w:tc>
          <w:tcPr>
            <w:tcW w:w="1407" w:type="pct"/>
            <w:gridSpan w:val="2"/>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9:00～10:00</w:t>
            </w:r>
          </w:p>
          <w:p>
            <w:pPr>
              <w:pStyle w:val="25"/>
              <w:keepNext w:val="0"/>
              <w:keepLines w:val="0"/>
              <w:suppressLineNumbers w:val="0"/>
              <w:spacing w:before="0" w:beforeAutospacing="0" w:after="0" w:afterAutospacing="0"/>
              <w:ind w:left="0" w:right="0"/>
              <w:jc w:val="center"/>
              <w:rPr>
                <w:rFonts w:hint="default"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G01-G10</w:t>
            </w:r>
          </w:p>
        </w:tc>
        <w:tc>
          <w:tcPr>
            <w:tcW w:w="1400" w:type="pct"/>
            <w:gridSpan w:val="2"/>
            <w:shd w:val="clear" w:color="auto" w:fill="auto"/>
            <w:noWrap w:val="0"/>
            <w:vAlign w:val="center"/>
          </w:tcPr>
          <w:p>
            <w:pPr>
              <w:pStyle w:val="25"/>
              <w:keepNext w:val="0"/>
              <w:keepLines w:val="0"/>
              <w:suppressLineNumbers w:val="0"/>
              <w:spacing w:before="0" w:beforeAutospacing="0" w:after="0" w:afterAutospacing="0"/>
              <w:ind w:left="0" w:right="0"/>
              <w:jc w:val="center"/>
              <w:rPr>
                <w:rFonts w:hint="default" w:ascii="方正仿宋_GBK" w:hAnsi="方正仿宋_GBK" w:eastAsia="方正仿宋_GBK" w:cs="方正仿宋_GBK"/>
                <w:color w:val="000000" w:themeColor="text1"/>
                <w:sz w:val="21"/>
                <w:szCs w:val="2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vMerge w:val="restart"/>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模块三 化工生产应急处置技能</w:t>
            </w:r>
          </w:p>
        </w:tc>
        <w:tc>
          <w:tcPr>
            <w:tcW w:w="328" w:type="pct"/>
            <w:vMerge w:val="restart"/>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7:00-8:00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G01</w:t>
            </w: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8:20-9:20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G02</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7:00-8:00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G11</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8:20-9:20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G12</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7:00-8:00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G21</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8:20-9:20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63" w:type="pct"/>
            <w:vMerge w:val="continue"/>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328" w:type="pct"/>
            <w:vMerge w:val="continue"/>
            <w:noWrap w:val="0"/>
            <w:vAlign w:val="center"/>
          </w:tcPr>
          <w:p>
            <w:pPr>
              <w:pStyle w:val="25"/>
              <w:keepNext w:val="0"/>
              <w:keepLines w:val="0"/>
              <w:suppressLineNumbers w:val="0"/>
              <w:spacing w:before="0" w:beforeAutospacing="0" w:after="0" w:afterAutospacing="0"/>
              <w:ind w:left="108" w:right="91"/>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9:40-10:40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G03</w:t>
            </w: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11:00-12:00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G04</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9:40-10:40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G13</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11:00-12:00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G14</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9:40-10:40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G23</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11:00-12:00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vMerge w:val="continue"/>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328" w:type="pct"/>
            <w:vMerge w:val="continue"/>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13:30-14:30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G05</w:t>
            </w: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14:50-15:50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G06</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13:30-14:30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G15</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14:50-15:50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G16</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vMerge w:val="continue"/>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328" w:type="pct"/>
            <w:vMerge w:val="continue"/>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16:10-17:10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G07</w:t>
            </w: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17:30-18:30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G08</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16:10-17:10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G17</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17:30-18:30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G18</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bookmarkStart w:id="6" w:name="_GoBack"/>
            <w:bookmarkEnd w:id="6"/>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63" w:type="pct"/>
            <w:vMerge w:val="continue"/>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328" w:type="pct"/>
            <w:vMerge w:val="continue"/>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18:50-19:50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G09</w:t>
            </w:r>
          </w:p>
        </w:tc>
        <w:tc>
          <w:tcPr>
            <w:tcW w:w="700" w:type="pct"/>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20:10-21:10</w:t>
            </w:r>
          </w:p>
          <w:p>
            <w:pPr>
              <w:pStyle w:val="25"/>
              <w:keepNext w:val="0"/>
              <w:keepLines w:val="0"/>
              <w:suppressLineNumbers w:val="0"/>
              <w:spacing w:before="0" w:beforeAutospacing="0" w:after="0" w:afterAutospacing="0"/>
              <w:ind w:left="0" w:right="0"/>
              <w:jc w:val="center"/>
              <w:rPr>
                <w:rFonts w:hint="default"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G10</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18:50-19:50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G19</w:t>
            </w:r>
          </w:p>
        </w:tc>
        <w:tc>
          <w:tcPr>
            <w:tcW w:w="703"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20:10-21:10</w:t>
            </w:r>
          </w:p>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t>G20</w:t>
            </w: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1"/>
                <w:szCs w:val="21"/>
                <w:lang w:val="en-US" w:eastAsia="zh-CN"/>
                <w14:textFill>
                  <w14:solidFill>
                    <w14:schemeClr w14:val="tx1"/>
                  </w14:solidFill>
                </w14:textFill>
              </w:rPr>
            </w:pPr>
          </w:p>
        </w:tc>
        <w:tc>
          <w:tcPr>
            <w:tcW w:w="700" w:type="pct"/>
            <w:shd w:val="clear" w:color="auto" w:fill="auto"/>
            <w:noWrap w:val="0"/>
            <w:vAlign w:val="center"/>
          </w:tcPr>
          <w:p>
            <w:pPr>
              <w:pStyle w:val="25"/>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00" w:type="pct"/>
            <w:gridSpan w:val="8"/>
            <w:noWrap w:val="0"/>
            <w:vAlign w:val="center"/>
          </w:tcPr>
          <w:p>
            <w:pPr>
              <w:pStyle w:val="25"/>
              <w:keepNext w:val="0"/>
              <w:keepLines w:val="0"/>
              <w:suppressLineNumbers w:val="0"/>
              <w:pBdr>
                <w:top w:val="single" w:color="auto" w:sz="4" w:space="1"/>
                <w:left w:val="none" w:color="auto" w:sz="0" w:space="4"/>
                <w:bottom w:val="none" w:color="auto" w:sz="0" w:space="1"/>
                <w:right w:val="none" w:color="auto" w:sz="0" w:space="4"/>
              </w:pBdr>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注：1.表中由“G+两位阿拉伯数字”组成的代码（如：G01）为参赛队代码（通过抽取决定，抽签在领队会议进行），代码正上方对应的时间为该代表队参加对应项目的竞赛时间；模块一和模块二按代表队号码规定的考场到指定地点现场抽取个人赛位号。</w:t>
            </w:r>
          </w:p>
          <w:p>
            <w:pPr>
              <w:pStyle w:val="25"/>
              <w:keepNext w:val="0"/>
              <w:keepLines w:val="0"/>
              <w:suppressLineNumbers w:val="0"/>
              <w:pBdr>
                <w:top w:val="single" w:color="auto" w:sz="4" w:space="1"/>
                <w:left w:val="none" w:color="auto" w:sz="0" w:space="4"/>
                <w:bottom w:val="none" w:color="auto" w:sz="0" w:space="1"/>
                <w:right w:val="none" w:color="auto" w:sz="0" w:space="4"/>
              </w:pBdr>
              <w:spacing w:before="0" w:beforeAutospacing="0" w:after="0" w:afterAutospacing="0"/>
              <w:ind w:left="0" w:right="0" w:firstLine="420" w:firstLineChars="20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2.参赛选手须提前30 分钟凭参赛证和身份证至指定地点参加赛前检录和抽签等工作。</w:t>
            </w:r>
          </w:p>
          <w:p>
            <w:pPr>
              <w:pStyle w:val="25"/>
              <w:keepNext w:val="0"/>
              <w:keepLines w:val="0"/>
              <w:suppressLineNumbers w:val="0"/>
              <w:pBdr>
                <w:top w:val="single" w:color="auto" w:sz="4" w:space="1"/>
                <w:left w:val="none" w:color="auto" w:sz="0" w:space="4"/>
                <w:bottom w:val="none" w:color="auto" w:sz="0" w:space="1"/>
                <w:right w:val="none" w:color="auto" w:sz="0" w:space="4"/>
              </w:pBdr>
              <w:spacing w:before="0" w:beforeAutospacing="0" w:after="0" w:afterAutospacing="0"/>
              <w:ind w:left="0" w:right="0" w:firstLine="420" w:firstLineChars="20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3.竞赛地点：（1）模块一考核，专业知识考核机房；（2）模块二考核，仿真考核机房；（3）模块三考核，实操装置操作赛场。</w:t>
            </w:r>
          </w:p>
        </w:tc>
      </w:tr>
    </w:tbl>
    <w:p>
      <w:pPr>
        <w:adjustRightInd w:val="0"/>
        <w:snapToGrid w:val="0"/>
        <w:spacing w:line="360" w:lineRule="auto"/>
        <w:ind w:firstLine="240" w:firstLineChars="100"/>
        <w:jc w:val="left"/>
        <w:rPr>
          <w:rFonts w:hint="eastAsia" w:ascii="仿宋" w:hAnsi="仿宋" w:eastAsia="仿宋" w:cs="宋体"/>
          <w:b/>
          <w:bCs/>
          <w:kern w:val="0"/>
          <w:sz w:val="24"/>
          <w:szCs w:val="24"/>
          <w:lang w:eastAsia="zh-CN"/>
        </w:rPr>
      </w:pPr>
      <w:r>
        <w:rPr>
          <w:rFonts w:hint="eastAsia" w:ascii="仿宋" w:hAnsi="仿宋" w:eastAsia="仿宋" w:cs="宋体"/>
          <w:b/>
          <w:bCs/>
          <w:kern w:val="0"/>
          <w:sz w:val="24"/>
          <w:szCs w:val="24"/>
        </w:rPr>
        <w:t>备注：1</w:t>
      </w:r>
      <w:r>
        <w:rPr>
          <w:rFonts w:ascii="仿宋" w:hAnsi="仿宋" w:eastAsia="仿宋" w:cs="宋体"/>
          <w:b/>
          <w:bCs/>
          <w:kern w:val="0"/>
          <w:sz w:val="24"/>
          <w:szCs w:val="24"/>
        </w:rPr>
        <w:t>.</w:t>
      </w:r>
      <w:r>
        <w:rPr>
          <w:rFonts w:hint="eastAsia" w:ascii="仿宋" w:hAnsi="仿宋" w:eastAsia="仿宋" w:cs="宋体"/>
          <w:b/>
          <w:bCs/>
          <w:kern w:val="0"/>
          <w:sz w:val="24"/>
          <w:szCs w:val="24"/>
        </w:rPr>
        <w:t>三个比赛项目的详细以赛前发布的</w:t>
      </w:r>
      <w:r>
        <w:rPr>
          <w:rFonts w:ascii="仿宋" w:hAnsi="仿宋" w:eastAsia="仿宋"/>
          <w:b/>
          <w:sz w:val="24"/>
          <w:szCs w:val="24"/>
        </w:rPr>
        <w:t>《</w:t>
      </w:r>
      <w:r>
        <w:rPr>
          <w:rFonts w:hint="eastAsia" w:ascii="仿宋" w:hAnsi="仿宋" w:eastAsia="仿宋"/>
          <w:b/>
          <w:sz w:val="24"/>
          <w:szCs w:val="24"/>
        </w:rPr>
        <w:t>赛项</w:t>
      </w:r>
      <w:r>
        <w:rPr>
          <w:rFonts w:ascii="仿宋" w:hAnsi="仿宋" w:eastAsia="仿宋"/>
          <w:b/>
          <w:sz w:val="24"/>
          <w:szCs w:val="24"/>
        </w:rPr>
        <w:t>指南》</w:t>
      </w:r>
      <w:r>
        <w:rPr>
          <w:rFonts w:hint="eastAsia" w:ascii="仿宋" w:hAnsi="仿宋" w:eastAsia="仿宋"/>
          <w:b/>
          <w:sz w:val="24"/>
          <w:szCs w:val="24"/>
        </w:rPr>
        <w:t>为准；2</w:t>
      </w:r>
      <w:r>
        <w:rPr>
          <w:rFonts w:ascii="仿宋" w:hAnsi="仿宋" w:eastAsia="仿宋"/>
          <w:b/>
          <w:sz w:val="24"/>
          <w:szCs w:val="24"/>
        </w:rPr>
        <w:t>.</w:t>
      </w:r>
      <w:r>
        <w:rPr>
          <w:rFonts w:hint="eastAsia" w:ascii="仿宋" w:hAnsi="仿宋" w:eastAsia="仿宋"/>
          <w:b/>
          <w:sz w:val="24"/>
          <w:szCs w:val="24"/>
        </w:rPr>
        <w:t>赛项实施二次加密</w:t>
      </w:r>
      <w:r>
        <w:rPr>
          <w:rFonts w:hint="eastAsia" w:ascii="仿宋" w:hAnsi="仿宋" w:eastAsia="仿宋"/>
          <w:b/>
          <w:sz w:val="24"/>
          <w:szCs w:val="24"/>
          <w:lang w:eastAsia="zh-CN"/>
        </w:rPr>
        <w:t>；</w:t>
      </w:r>
      <w:r>
        <w:rPr>
          <w:rFonts w:hint="eastAsia" w:ascii="仿宋" w:hAnsi="仿宋" w:eastAsia="仿宋"/>
          <w:b/>
          <w:sz w:val="24"/>
          <w:szCs w:val="24"/>
          <w:lang w:val="en-US" w:eastAsia="zh-CN"/>
        </w:rPr>
        <w:t>3.</w:t>
      </w:r>
      <w:r>
        <w:rPr>
          <w:rFonts w:hint="eastAsia" w:ascii="仿宋" w:hAnsi="仿宋" w:eastAsia="仿宋"/>
          <w:b/>
          <w:sz w:val="24"/>
          <w:szCs w:val="24"/>
          <w:lang w:eastAsia="zh-CN"/>
        </w:rPr>
        <w:t>竞赛流程如有变动以《赛项指南》为准。</w:t>
      </w:r>
    </w:p>
    <w:p>
      <w:pPr>
        <w:pStyle w:val="13"/>
        <w:spacing w:line="560" w:lineRule="exact"/>
        <w:ind w:firstLine="640"/>
        <w:rPr>
          <w:rFonts w:hint="eastAsia" w:ascii="Times New Roman" w:hAnsi="Times New Roman" w:eastAsia="黑体"/>
          <w:sz w:val="32"/>
          <w:szCs w:val="32"/>
        </w:rPr>
        <w:sectPr>
          <w:pgSz w:w="16838" w:h="11906" w:orient="landscape"/>
          <w:pgMar w:top="1361" w:right="1247" w:bottom="1247" w:left="1077" w:header="851" w:footer="992" w:gutter="0"/>
          <w:pgNumType w:fmt="decimal"/>
          <w:cols w:space="0" w:num="1"/>
          <w:rtlGutter w:val="0"/>
          <w:docGrid w:type="lines" w:linePitch="320" w:charSpace="0"/>
        </w:sectPr>
      </w:pPr>
    </w:p>
    <w:p>
      <w:pPr>
        <w:pStyle w:val="13"/>
        <w:spacing w:line="560" w:lineRule="exact"/>
        <w:ind w:firstLine="640"/>
        <w:rPr>
          <w:rFonts w:ascii="Times New Roman" w:hAnsi="Times New Roman" w:eastAsia="黑体"/>
          <w:sz w:val="32"/>
          <w:szCs w:val="32"/>
        </w:rPr>
      </w:pPr>
      <w:r>
        <w:rPr>
          <w:rFonts w:hint="eastAsia" w:ascii="Times New Roman" w:hAnsi="Times New Roman" w:eastAsia="黑体"/>
          <w:sz w:val="32"/>
          <w:szCs w:val="32"/>
        </w:rPr>
        <w:t>七、</w:t>
      </w:r>
      <w:r>
        <w:rPr>
          <w:rFonts w:ascii="Times New Roman" w:hAnsi="Times New Roman" w:eastAsia="黑体"/>
          <w:sz w:val="32"/>
          <w:szCs w:val="32"/>
        </w:rPr>
        <w:t>竞赛规则</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（一）赛题</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按照相关规定要求进行本赛项赛题的编制工作，具体详见《赛项规程》。</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（二）赛前准备</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1.熟悉场地：根据竞赛日程安排，参赛队在工作人员的带领下，携带有效身份证件，按照规定路线有序熟悉参赛场地。任何人员只得在指定区域观察，不得触碰赛位内物品。</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2.领队会议：由各参赛队伍的领队参加，会议讲解竞赛注意事项并进行赛前答疑。</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3.抽签仪式：领队会议上确定分批抽签，比赛前选手赛位抽签，通过抽签确定各参赛队的赛次工位。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4.参赛队入场：参赛选手应提前30分钟到达赛场，接受工作人员对选手身份、资格和有关证件的核验，赛位由抽签确定，不得擅自变更、调整；选手在竞赛过程中不得擅自离开赛场，如有特殊情况，须经裁判人员同意。选手不得将手机、无线上网卡、移动存储设备、资料等与竞赛无关的物品带入赛场。</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（三）赛场要求</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1.所有人员在赛场内不得有影响其他选手完成工作任务的行为，参赛选手不允许窜岗、窜位，使用文明用语，不得言语及人身攻击裁判和赛场工作人员。</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选手须严格遵守安全操作规程，并接受裁判员的监督仲裁和警示，以确保参赛人身及设备安全。选手因个人误操作造成人身安全事故和设备故障时，裁判长有权中止该队比赛；如非选手个人因素出现设备故障而无法比赛，由裁判长视具体情况做出裁决（调换到备份赛位或调整至最后一场次参加比赛）；如裁判长确定设备故障可由技术支持人员排除故障后继续比赛，将给参赛选手补足所耽误的比赛时间。</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3.选手进入赛场后，不得擅自离开赛场，因病或其他原因离开赛场或终止比赛，应向裁判示意，须经赛场裁判长同意，并在赛场记录表上签字确认后，方可离开赛场并在赛场工作人员指引下到达指定地点。</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4.选手须按照程序提交比赛结果，在比赛赛位的计算机规定文件夹内存储比赛文档，配合裁判做好赛场情况记录，并签字确认，裁判提出签名要求时，不得无故拒绝。</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5.裁判长发布比赛结束指令后所有未完成任务参赛选手立即停止操作，按要求清理赛位，不得以任何理由拖延竞赛时间。</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（四）成绩评定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1.过程评判，所有评分项要由过程裁判签字。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2.结果评判，结果裁判负责所有工位的评判，裁判评分进行算术平均后作为选手最后得分，并有专人进行监督。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3.评判结束后，记分员负责在监督仲裁组的监督下完成统分工作，统分表由记分员、裁判长、监督仲裁组成员共同签字确认，在监督仲裁组的监督下由裁判长审核签字后封装。</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（五）成绩公布</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记分员将解密后的各参赛队伍（选手）成绩汇总成最终成绩单，经裁判长、监督组签字后进行公示。</w:t>
      </w:r>
    </w:p>
    <w:p>
      <w:pPr>
        <w:widowControl/>
        <w:numPr>
          <w:ilvl w:val="0"/>
          <w:numId w:val="0"/>
        </w:numPr>
        <w:adjustRightInd w:val="0"/>
        <w:snapToGrid w:val="0"/>
        <w:spacing w:line="560" w:lineRule="exact"/>
        <w:ind w:firstLine="640" w:firstLineChars="200"/>
        <w:jc w:val="left"/>
        <w:rPr>
          <w:rFonts w:hint="eastAsia" w:eastAsia="黑体"/>
          <w:sz w:val="32"/>
          <w:highlight w:val="none"/>
          <w:lang w:val="en-US" w:eastAsia="zh-CN"/>
        </w:rPr>
      </w:pPr>
      <w:r>
        <w:rPr>
          <w:rFonts w:hint="eastAsia" w:eastAsia="黑体"/>
          <w:sz w:val="32"/>
          <w:szCs w:val="32"/>
          <w:highlight w:val="none"/>
          <w:lang w:val="en-US" w:eastAsia="zh-CN"/>
        </w:rPr>
        <w:t>八、承办校提供设备清单及</w:t>
      </w:r>
      <w:r>
        <w:rPr>
          <w:rFonts w:eastAsia="黑体"/>
          <w:sz w:val="32"/>
          <w:szCs w:val="32"/>
          <w:highlight w:val="none"/>
        </w:rPr>
        <w:t>技术环境</w:t>
      </w:r>
      <w:r>
        <w:rPr>
          <w:rFonts w:hint="eastAsia" w:eastAsia="黑体"/>
          <w:sz w:val="32"/>
          <w:szCs w:val="32"/>
          <w:highlight w:val="none"/>
          <w:lang w:val="en-US" w:eastAsia="zh-CN"/>
        </w:rPr>
        <w:t>要求</w:t>
      </w:r>
    </w:p>
    <w:p>
      <w:pPr>
        <w:widowControl/>
        <w:spacing w:line="560" w:lineRule="exact"/>
        <w:ind w:firstLine="562" w:firstLineChars="200"/>
        <w:jc w:val="center"/>
        <w:rPr>
          <w:rFonts w:hint="default" w:ascii="仿宋_GB2312" w:hAnsi="仿宋" w:eastAsia="仿宋_GB2312" w:cs="Times New Roman"/>
          <w:b/>
          <w:bCs/>
          <w:sz w:val="28"/>
          <w:szCs w:val="28"/>
          <w:highlight w:val="none"/>
          <w:lang w:val="en-US" w:eastAsia="zh-CN"/>
        </w:rPr>
      </w:pPr>
      <w:r>
        <w:rPr>
          <w:rFonts w:hint="eastAsia" w:ascii="仿宋_GB2312" w:hAnsi="仿宋" w:eastAsia="仿宋_GB2312" w:cs="Times New Roman"/>
          <w:b/>
          <w:bCs/>
          <w:sz w:val="28"/>
          <w:szCs w:val="28"/>
          <w:highlight w:val="none"/>
          <w:lang w:val="en-US" w:eastAsia="zh-CN"/>
        </w:rPr>
        <w:t>表5场地及设备清单</w:t>
      </w:r>
    </w:p>
    <w:tbl>
      <w:tblPr>
        <w:tblStyle w:val="14"/>
        <w:tblW w:w="494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3"/>
        <w:gridCol w:w="1070"/>
        <w:gridCol w:w="1019"/>
        <w:gridCol w:w="3979"/>
        <w:gridCol w:w="732"/>
        <w:gridCol w:w="956"/>
        <w:gridCol w:w="8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sz w:val="21"/>
                <w:szCs w:val="21"/>
                <w:u w:val="none"/>
              </w:rPr>
            </w:pPr>
            <w:r>
              <w:rPr>
                <w:rStyle w:val="28"/>
                <w:rFonts w:hint="eastAsia" w:ascii="仿宋_GB2312" w:hAnsi="仿宋_GB2312" w:eastAsia="仿宋_GB2312" w:cs="仿宋_GB2312"/>
                <w:b/>
                <w:bCs/>
                <w:sz w:val="21"/>
                <w:szCs w:val="21"/>
                <w:lang w:val="en-US" w:eastAsia="zh-CN" w:bidi="ar"/>
              </w:rPr>
              <w:t>类别</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名称</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型号</w:t>
            </w:r>
          </w:p>
        </w:tc>
        <w:tc>
          <w:tcPr>
            <w:tcW w:w="21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主要技术参数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台套</w:t>
            </w:r>
            <w:r>
              <w:rPr>
                <w:rFonts w:hint="eastAsia" w:ascii="仿宋_GB2312" w:hAnsi="仿宋_GB2312" w:eastAsia="仿宋_GB2312" w:cs="仿宋_GB2312"/>
                <w:b/>
                <w:bCs/>
                <w:i w:val="0"/>
                <w:iCs w:val="0"/>
                <w:color w:val="000000"/>
                <w:kern w:val="0"/>
                <w:sz w:val="21"/>
                <w:szCs w:val="21"/>
                <w:u w:val="none"/>
                <w:lang w:val="en-US" w:eastAsia="zh-CN" w:bidi="ar"/>
              </w:rPr>
              <w:br w:type="textWrapping"/>
            </w:r>
            <w:r>
              <w:rPr>
                <w:rFonts w:hint="eastAsia" w:ascii="仿宋_GB2312" w:hAnsi="仿宋_GB2312" w:eastAsia="仿宋_GB2312" w:cs="仿宋_GB2312"/>
                <w:b/>
                <w:bCs/>
                <w:i w:val="0"/>
                <w:iCs w:val="0"/>
                <w:color w:val="000000"/>
                <w:kern w:val="0"/>
                <w:sz w:val="21"/>
                <w:szCs w:val="21"/>
                <w:u w:val="none"/>
                <w:lang w:val="en-US" w:eastAsia="zh-CN" w:bidi="ar"/>
              </w:rPr>
              <w:t>数</w:t>
            </w:r>
          </w:p>
        </w:tc>
        <w:tc>
          <w:tcPr>
            <w:tcW w:w="5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sz w:val="21"/>
                <w:szCs w:val="21"/>
                <w:u w:val="none"/>
              </w:rPr>
            </w:pPr>
            <w:r>
              <w:rPr>
                <w:rStyle w:val="28"/>
                <w:rFonts w:hint="eastAsia" w:ascii="仿宋_GB2312" w:hAnsi="仿宋_GB2312" w:eastAsia="仿宋_GB2312" w:cs="仿宋_GB2312"/>
                <w:b/>
                <w:bCs/>
                <w:sz w:val="21"/>
                <w:szCs w:val="21"/>
                <w:lang w:val="en-US" w:eastAsia="zh-CN" w:bidi="ar"/>
              </w:rPr>
              <w:t>设备</w:t>
            </w:r>
            <w:r>
              <w:rPr>
                <w:rStyle w:val="28"/>
                <w:rFonts w:hint="eastAsia" w:ascii="仿宋_GB2312" w:hAnsi="仿宋_GB2312" w:eastAsia="仿宋_GB2312" w:cs="仿宋_GB2312"/>
                <w:b/>
                <w:bCs/>
                <w:sz w:val="21"/>
                <w:szCs w:val="21"/>
                <w:lang w:val="en-US" w:eastAsia="zh-CN" w:bidi="ar"/>
              </w:rPr>
              <w:br w:type="textWrapping"/>
            </w:r>
            <w:r>
              <w:rPr>
                <w:rStyle w:val="28"/>
                <w:rFonts w:hint="eastAsia" w:ascii="仿宋_GB2312" w:hAnsi="仿宋_GB2312" w:eastAsia="仿宋_GB2312" w:cs="仿宋_GB2312"/>
                <w:b/>
                <w:bCs/>
                <w:sz w:val="21"/>
                <w:szCs w:val="21"/>
                <w:lang w:val="en-US" w:eastAsia="zh-CN" w:bidi="ar"/>
              </w:rPr>
              <w:t>厂商</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b/>
                <w:bCs/>
                <w:i w:val="0"/>
                <w:iCs w:val="0"/>
                <w:color w:val="000000"/>
                <w:sz w:val="21"/>
                <w:szCs w:val="21"/>
                <w:u w:val="none"/>
              </w:rPr>
            </w:pPr>
            <w:r>
              <w:rPr>
                <w:rStyle w:val="29"/>
                <w:rFonts w:hint="eastAsia" w:ascii="仿宋_GB2312" w:hAnsi="仿宋_GB2312" w:eastAsia="仿宋_GB2312" w:cs="仿宋_GB2312"/>
                <w:b/>
                <w:bCs/>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0" w:hRule="atLeast"/>
        </w:trPr>
        <w:tc>
          <w:tcPr>
            <w:tcW w:w="41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Style w:val="28"/>
                <w:rFonts w:hint="eastAsia" w:ascii="仿宋_GB2312" w:hAnsi="仿宋_GB2312" w:eastAsia="仿宋_GB2312" w:cs="仿宋_GB2312"/>
                <w:sz w:val="21"/>
                <w:szCs w:val="21"/>
                <w:lang w:val="en-US" w:eastAsia="zh-CN" w:bidi="ar"/>
              </w:rPr>
              <w:t>模块三</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化工生产事故应急救援与处置实训装置</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BHKJ-HGGY</w:t>
            </w:r>
          </w:p>
        </w:tc>
        <w:tc>
          <w:tcPr>
            <w:tcW w:w="21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b/>
                <w:bCs/>
                <w:i w:val="0"/>
                <w:iCs w:val="0"/>
                <w:color w:val="000000"/>
                <w:sz w:val="21"/>
                <w:szCs w:val="21"/>
                <w:u w:val="none"/>
              </w:rPr>
            </w:pPr>
            <w:r>
              <w:rPr>
                <w:rStyle w:val="30"/>
                <w:rFonts w:hint="eastAsia" w:ascii="仿宋_GB2312" w:hAnsi="仿宋_GB2312" w:eastAsia="仿宋_GB2312" w:cs="仿宋_GB2312"/>
                <w:sz w:val="21"/>
                <w:szCs w:val="21"/>
                <w:lang w:val="en-US" w:eastAsia="zh-CN" w:bidi="ar"/>
              </w:rPr>
              <w:t>一、设备主体结构规格</w:t>
            </w:r>
            <w:r>
              <w:rPr>
                <w:rStyle w:val="30"/>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 xml:space="preserve"> 长×宽×高：9000×6000×4600mm</w:t>
            </w:r>
            <w:r>
              <w:rPr>
                <w:rStyle w:val="29"/>
                <w:rFonts w:hint="eastAsia" w:ascii="仿宋_GB2312" w:hAnsi="仿宋_GB2312" w:eastAsia="仿宋_GB2312" w:cs="仿宋_GB2312"/>
                <w:sz w:val="21"/>
                <w:szCs w:val="21"/>
                <w:lang w:val="en-US" w:eastAsia="zh-CN" w:bidi="ar"/>
              </w:rPr>
              <w:br w:type="textWrapping"/>
            </w:r>
            <w:r>
              <w:rPr>
                <w:rStyle w:val="30"/>
                <w:rFonts w:hint="eastAsia" w:ascii="仿宋_GB2312" w:hAnsi="仿宋_GB2312" w:eastAsia="仿宋_GB2312" w:cs="仿宋_GB2312"/>
                <w:sz w:val="21"/>
                <w:szCs w:val="21"/>
                <w:lang w:val="en-US" w:eastAsia="zh-CN" w:bidi="ar"/>
              </w:rPr>
              <w:t>二、配套的设备</w:t>
            </w:r>
            <w:r>
              <w:rPr>
                <w:rStyle w:val="30"/>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 xml:space="preserve">   心肺复苏模拟人1个、空气呼吸器2个、安全帽4个，防化服、静电服等其他个体防护用品若干（防化服、静电服可自备）。</w:t>
            </w:r>
            <w:r>
              <w:rPr>
                <w:rStyle w:val="29"/>
                <w:rFonts w:hint="eastAsia" w:ascii="仿宋_GB2312" w:hAnsi="仿宋_GB2312" w:eastAsia="仿宋_GB2312" w:cs="仿宋_GB2312"/>
                <w:sz w:val="21"/>
                <w:szCs w:val="21"/>
                <w:lang w:val="en-US" w:eastAsia="zh-CN" w:bidi="ar"/>
              </w:rPr>
              <w:br w:type="textWrapping"/>
            </w:r>
            <w:r>
              <w:rPr>
                <w:rStyle w:val="30"/>
                <w:rFonts w:hint="eastAsia" w:ascii="仿宋_GB2312" w:hAnsi="仿宋_GB2312" w:eastAsia="仿宋_GB2312" w:cs="仿宋_GB2312"/>
                <w:sz w:val="21"/>
                <w:szCs w:val="21"/>
                <w:lang w:val="en-US" w:eastAsia="zh-CN" w:bidi="ar"/>
              </w:rPr>
              <w:t>三、实现功能</w:t>
            </w:r>
            <w:r>
              <w:rPr>
                <w:rStyle w:val="30"/>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 xml:space="preserve">   </w:t>
            </w:r>
            <w:r>
              <w:rPr>
                <w:rStyle w:val="29"/>
                <w:rFonts w:hint="eastAsia" w:ascii="仿宋_GB2312" w:hAnsi="仿宋_GB2312" w:eastAsia="仿宋_GB2312" w:cs="仿宋_GB2312"/>
                <w:i w:val="0"/>
                <w:iCs w:val="0"/>
                <w:sz w:val="21"/>
                <w:szCs w:val="21"/>
                <w:lang w:val="en-US" w:eastAsia="zh-CN" w:bidi="ar"/>
              </w:rPr>
              <w:t>选择PVC聚合工艺</w:t>
            </w:r>
            <w:r>
              <w:rPr>
                <w:rStyle w:val="29"/>
                <w:rFonts w:hint="eastAsia" w:ascii="仿宋_GB2312" w:hAnsi="仿宋_GB2312" w:eastAsia="仿宋_GB2312" w:cs="仿宋_GB2312"/>
                <w:sz w:val="21"/>
                <w:szCs w:val="21"/>
                <w:lang w:val="en-US" w:eastAsia="zh-CN" w:bidi="ar"/>
              </w:rPr>
              <w:t>、柴油加氢工艺、煤制甲醇工艺3种典型产品生产工艺,设置均设置火灾、中毒、大面积泄漏、超温超压等事故。装置能够模拟上述事故场景，完成各类紧急情况下的现场应急处置方法、报警、报告流程、现场自救、互救方法等事故应急处理能力考核。</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1套</w:t>
            </w:r>
          </w:p>
        </w:tc>
        <w:tc>
          <w:tcPr>
            <w:tcW w:w="5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秦皇岛博赫科技开发有限公司</w:t>
            </w:r>
          </w:p>
        </w:tc>
        <w:tc>
          <w:tcPr>
            <w:tcW w:w="471"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rPr>
                <w:rFonts w:hint="eastAsia" w:ascii="仿宋_GB2312" w:hAnsi="仿宋_GB2312"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410"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仿宋_GB2312" w:hAnsi="仿宋_GB2312" w:eastAsia="仿宋_GB2312" w:cs="仿宋_GB2312"/>
                <w:i w:val="0"/>
                <w:iCs w:val="0"/>
                <w:color w:val="000000"/>
                <w:sz w:val="21"/>
                <w:szCs w:val="21"/>
                <w:u w:val="none"/>
              </w:rPr>
            </w:pPr>
          </w:p>
        </w:tc>
        <w:tc>
          <w:tcPr>
            <w:tcW w:w="568"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Style w:val="29"/>
                <w:rFonts w:hint="eastAsia" w:ascii="仿宋_GB2312" w:hAnsi="仿宋_GB2312" w:eastAsia="仿宋_GB2312" w:cs="仿宋_GB2312"/>
                <w:sz w:val="21"/>
                <w:szCs w:val="21"/>
                <w:lang w:val="en-US" w:eastAsia="zh-CN" w:bidi="ar"/>
              </w:rPr>
              <w:t>台式计算机</w:t>
            </w:r>
          </w:p>
        </w:tc>
        <w:tc>
          <w:tcPr>
            <w:tcW w:w="54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DELL</w:t>
            </w:r>
          </w:p>
        </w:tc>
        <w:tc>
          <w:tcPr>
            <w:tcW w:w="21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CPU:I5七代及以上，内存 4G及以上，硬盘 1T及以上，1G 及以上显存，显示器 ：21寸及以上</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2台</w:t>
            </w:r>
          </w:p>
        </w:tc>
        <w:tc>
          <w:tcPr>
            <w:tcW w:w="5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Style w:val="29"/>
                <w:rFonts w:hint="eastAsia" w:ascii="仿宋_GB2312" w:hAnsi="仿宋_GB2312" w:eastAsia="仿宋_GB2312" w:cs="仿宋_GB2312"/>
                <w:sz w:val="21"/>
                <w:szCs w:val="21"/>
                <w:lang w:val="en-US" w:eastAsia="zh-CN" w:bidi="ar"/>
              </w:rPr>
              <w:t>/</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1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Style w:val="28"/>
                <w:rFonts w:hint="eastAsia" w:ascii="仿宋_GB2312" w:hAnsi="仿宋_GB2312" w:eastAsia="仿宋_GB2312" w:cs="仿宋_GB2312"/>
                <w:sz w:val="21"/>
                <w:szCs w:val="21"/>
                <w:lang w:val="en-US" w:eastAsia="zh-CN" w:bidi="ar"/>
              </w:rPr>
              <w:t>模块二</w:t>
            </w:r>
          </w:p>
        </w:tc>
        <w:tc>
          <w:tcPr>
            <w:tcW w:w="568"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kern w:val="2"/>
                <w:sz w:val="21"/>
                <w:szCs w:val="21"/>
                <w:u w:val="none"/>
                <w:lang w:val="en-US" w:eastAsia="zh-CN" w:bidi="ar-SA"/>
              </w:rPr>
            </w:pPr>
            <w:r>
              <w:rPr>
                <w:rStyle w:val="29"/>
                <w:rFonts w:hint="eastAsia" w:ascii="仿宋_GB2312" w:hAnsi="仿宋_GB2312" w:eastAsia="仿宋_GB2312" w:cs="仿宋_GB2312"/>
                <w:sz w:val="21"/>
                <w:szCs w:val="21"/>
                <w:lang w:val="en-US" w:eastAsia="zh-CN" w:bidi="ar"/>
              </w:rPr>
              <w:t>化工装置安全分析演练3D虚拟仿真教学服务系统</w:t>
            </w:r>
          </w:p>
        </w:tc>
        <w:tc>
          <w:tcPr>
            <w:tcW w:w="541"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Style w:val="29"/>
                <w:rFonts w:hint="eastAsia" w:ascii="仿宋_GB2312" w:hAnsi="仿宋_GB2312" w:eastAsia="仿宋_GB2312" w:cs="仿宋_GB2312"/>
                <w:sz w:val="21"/>
                <w:szCs w:val="21"/>
                <w:lang w:val="en-US" w:eastAsia="zh-CN" w:bidi="ar"/>
              </w:rPr>
              <w:t>STSVR3D-C-SA</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D</w:t>
            </w:r>
          </w:p>
        </w:tc>
        <w:tc>
          <w:tcPr>
            <w:tcW w:w="21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29"/>
                <w:rFonts w:hint="eastAsia" w:ascii="仿宋_GB2312" w:hAnsi="仿宋_GB2312" w:eastAsia="仿宋_GB2312" w:cs="仿宋_GB2312"/>
                <w:b/>
                <w:bCs/>
                <w:sz w:val="21"/>
                <w:szCs w:val="21"/>
                <w:lang w:val="en-US" w:eastAsia="zh-CN" w:bidi="ar"/>
              </w:rPr>
            </w:pPr>
            <w:r>
              <w:rPr>
                <w:rStyle w:val="29"/>
                <w:rFonts w:hint="eastAsia" w:ascii="仿宋_GB2312" w:hAnsi="仿宋_GB2312" w:eastAsia="仿宋_GB2312" w:cs="仿宋_GB2312"/>
                <w:b/>
                <w:bCs/>
                <w:sz w:val="21"/>
                <w:szCs w:val="21"/>
                <w:lang w:val="en-US" w:eastAsia="zh-CN" w:bidi="ar"/>
              </w:rPr>
              <w:t>化工仿真操作软件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29"/>
                <w:rFonts w:hint="eastAsia" w:ascii="仿宋_GB2312" w:hAnsi="仿宋_GB2312" w:eastAsia="仿宋_GB2312" w:cs="仿宋_GB2312"/>
                <w:sz w:val="21"/>
                <w:szCs w:val="21"/>
                <w:lang w:val="en-US" w:eastAsia="zh-CN" w:bidi="ar"/>
              </w:rPr>
            </w:pPr>
            <w:r>
              <w:rPr>
                <w:rStyle w:val="29"/>
                <w:rFonts w:hint="eastAsia" w:ascii="仿宋_GB2312" w:hAnsi="仿宋_GB2312" w:eastAsia="仿宋_GB2312" w:cs="仿宋_GB2312"/>
                <w:sz w:val="21"/>
                <w:szCs w:val="21"/>
                <w:lang w:val="en-US" w:eastAsia="zh-CN" w:bidi="ar"/>
              </w:rPr>
              <w:t>包括现代化工安全生产事故应急救援桌面推演(3人联机操作)和化工过程HAZ0P安全分析(单人操作项目)、化工过程安全分析演练(单人操作项目)。</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（1）</w:t>
            </w:r>
            <w:r>
              <w:rPr>
                <w:rStyle w:val="30"/>
                <w:rFonts w:hint="eastAsia" w:ascii="仿宋_GB2312" w:hAnsi="仿宋_GB2312" w:eastAsia="仿宋_GB2312" w:cs="仿宋_GB2312"/>
                <w:sz w:val="21"/>
                <w:szCs w:val="21"/>
                <w:lang w:val="en-US" w:eastAsia="zh-CN" w:bidi="ar"/>
              </w:rPr>
              <w:t>现代化工安全生产事故应急救援桌面推演</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 xml:space="preserve">   根据典型化工生产工艺一精馏工艺、丙烯酸甲酯工艺、甲醇工艺、乙烯工艺、合成氨工艺等，设置不同的处置工况，考核内容包括应急处置团队配合、应急处置指令发送、人为判断错误指令并驳回、灭火器使用、个人防护、心肺复苏及随机生成的健康、安全、环保情景分析题。</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（2）</w:t>
            </w:r>
            <w:r>
              <w:rPr>
                <w:rStyle w:val="30"/>
                <w:rFonts w:hint="eastAsia" w:ascii="仿宋_GB2312" w:hAnsi="仿宋_GB2312" w:eastAsia="仿宋_GB2312" w:cs="仿宋_GB2312"/>
                <w:sz w:val="21"/>
                <w:szCs w:val="21"/>
                <w:lang w:val="en-US" w:eastAsia="zh-CN" w:bidi="ar"/>
              </w:rPr>
              <w:t>化工过程安全分析</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 xml:space="preserve">   主要考核柴油加氢工艺。设置多个偏离分析项目，用HAZ0P分析方法进行事故后果分析、原因查找、保护措施分析和风险分析等。</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（3）</w:t>
            </w:r>
            <w:r>
              <w:rPr>
                <w:rStyle w:val="30"/>
                <w:rFonts w:hint="eastAsia" w:ascii="仿宋_GB2312" w:hAnsi="仿宋_GB2312" w:eastAsia="仿宋_GB2312" w:cs="仿宋_GB2312"/>
                <w:sz w:val="21"/>
                <w:szCs w:val="21"/>
                <w:lang w:val="en-US" w:eastAsia="zh-CN" w:bidi="ar"/>
              </w:rPr>
              <w:t>化工过程安全分析演练</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 xml:space="preserve">   设置多个偏离分析演练项目，重点考核PID读图、事故情景构建、原因分析、后果判断、保护措施查找、风险计算并判断以及HAZ0P报告审查要点。</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center"/>
              <w:rPr>
                <w:rStyle w:val="29"/>
                <w:rFonts w:hint="default" w:ascii="仿宋_GB2312" w:hAnsi="仿宋_GB2312" w:eastAsia="仿宋_GB2312" w:cs="仿宋_GB2312"/>
                <w:b/>
                <w:bCs/>
                <w:sz w:val="21"/>
                <w:szCs w:val="21"/>
                <w:lang w:val="en-US" w:eastAsia="zh-CN" w:bidi="ar"/>
              </w:rPr>
            </w:pPr>
            <w:r>
              <w:rPr>
                <w:rStyle w:val="29"/>
                <w:rFonts w:hint="eastAsia" w:ascii="仿宋_GB2312" w:hAnsi="仿宋_GB2312" w:eastAsia="仿宋_GB2312" w:cs="仿宋_GB2312"/>
                <w:b/>
                <w:bCs/>
                <w:sz w:val="21"/>
                <w:szCs w:val="21"/>
                <w:lang w:val="en-US" w:eastAsia="zh-CN" w:bidi="ar"/>
              </w:rPr>
              <w:t>计算机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firstLine="420" w:firstLineChars="200"/>
              <w:jc w:val="left"/>
              <w:textAlignment w:val="center"/>
              <w:rPr>
                <w:rStyle w:val="29"/>
                <w:rFonts w:hint="default" w:ascii="仿宋_GB2312" w:hAnsi="仿宋_GB2312" w:eastAsia="仿宋_GB2312" w:cs="仿宋_GB2312"/>
                <w:sz w:val="21"/>
                <w:szCs w:val="21"/>
                <w:lang w:val="en-US" w:eastAsia="zh-CN" w:bidi="ar"/>
              </w:rPr>
            </w:pPr>
            <w:r>
              <w:rPr>
                <w:rStyle w:val="29"/>
                <w:rFonts w:hint="eastAsia" w:ascii="仿宋_GB2312" w:hAnsi="仿宋_GB2312" w:eastAsia="仿宋_GB2312" w:cs="仿宋_GB2312"/>
                <w:sz w:val="21"/>
                <w:szCs w:val="21"/>
                <w:lang w:val="en-US" w:eastAsia="zh-CN" w:bidi="ar"/>
              </w:rPr>
              <w:t>满足三维仿真软件运行，保证画面流畅。</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1套</w:t>
            </w:r>
          </w:p>
        </w:tc>
        <w:tc>
          <w:tcPr>
            <w:tcW w:w="5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center"/>
              <w:rPr>
                <w:rFonts w:hint="eastAsia" w:ascii="仿宋_GB2312" w:hAnsi="仿宋_GB2312" w:eastAsia="仿宋_GB2312" w:cs="仿宋_GB2312"/>
                <w:i w:val="0"/>
                <w:iCs w:val="0"/>
                <w:color w:val="000000"/>
                <w:kern w:val="2"/>
                <w:sz w:val="21"/>
                <w:szCs w:val="21"/>
                <w:u w:val="none"/>
                <w:lang w:val="en-US" w:eastAsia="zh-CN" w:bidi="ar-SA"/>
              </w:rPr>
            </w:pPr>
            <w:r>
              <w:rPr>
                <w:rStyle w:val="29"/>
                <w:rFonts w:hint="eastAsia" w:ascii="仿宋_GB2312" w:hAnsi="仿宋_GB2312" w:eastAsia="仿宋_GB2312" w:cs="仿宋_GB2312"/>
                <w:sz w:val="21"/>
                <w:szCs w:val="21"/>
                <w:lang w:val="en-US" w:eastAsia="zh-CN" w:bidi="ar"/>
              </w:rPr>
              <w:t>北京东方仿真</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软件技术有限</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公司</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kern w:val="2"/>
                <w:sz w:val="21"/>
                <w:szCs w:val="21"/>
                <w:u w:val="none"/>
                <w:lang w:val="en-US" w:eastAsia="zh-CN" w:bidi="ar"/>
              </w:rPr>
            </w:pPr>
            <w:r>
              <w:rPr>
                <w:rStyle w:val="28"/>
                <w:rFonts w:hint="eastAsia" w:ascii="仿宋_GB2312" w:hAnsi="仿宋_GB2312" w:eastAsia="仿宋_GB2312" w:cs="仿宋_GB2312"/>
                <w:sz w:val="21"/>
                <w:szCs w:val="21"/>
                <w:lang w:val="en-US" w:eastAsia="zh-CN" w:bidi="ar"/>
              </w:rPr>
              <w:t>模块一</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kern w:val="2"/>
                <w:sz w:val="21"/>
                <w:szCs w:val="21"/>
                <w:u w:val="none"/>
                <w:lang w:val="en-US" w:eastAsia="zh-CN" w:bidi="ar"/>
              </w:rPr>
            </w:pPr>
            <w:r>
              <w:rPr>
                <w:rStyle w:val="29"/>
                <w:rFonts w:hint="eastAsia" w:ascii="仿宋_GB2312" w:hAnsi="仿宋_GB2312" w:eastAsia="仿宋_GB2312" w:cs="仿宋_GB2312"/>
                <w:i w:val="0"/>
                <w:iCs w:val="0"/>
                <w:sz w:val="21"/>
                <w:szCs w:val="21"/>
                <w:lang w:val="en-US" w:eastAsia="zh-CN" w:bidi="ar"/>
              </w:rPr>
              <w:t>综合考试平台系统</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kern w:val="2"/>
                <w:sz w:val="21"/>
                <w:szCs w:val="21"/>
                <w:u w:val="none"/>
                <w:lang w:val="en-US" w:eastAsia="zh-CN" w:bidi="ar"/>
              </w:rPr>
            </w:pPr>
          </w:p>
        </w:tc>
        <w:tc>
          <w:tcPr>
            <w:tcW w:w="21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Style w:val="29"/>
                <w:rFonts w:hint="eastAsia" w:ascii="仿宋_GB2312" w:hAnsi="仿宋_GB2312" w:eastAsia="仿宋_GB2312" w:cs="仿宋_GB2312"/>
                <w:b/>
                <w:bCs/>
                <w:i w:val="0"/>
                <w:iCs w:val="0"/>
                <w:sz w:val="21"/>
                <w:szCs w:val="21"/>
                <w:lang w:val="en-US" w:eastAsia="zh-CN" w:bidi="ar"/>
              </w:rPr>
            </w:pPr>
            <w:r>
              <w:rPr>
                <w:rStyle w:val="29"/>
                <w:rFonts w:hint="eastAsia" w:ascii="仿宋_GB2312" w:hAnsi="仿宋_GB2312" w:eastAsia="仿宋_GB2312" w:cs="仿宋_GB2312"/>
                <w:b/>
                <w:bCs/>
                <w:i w:val="0"/>
                <w:iCs w:val="0"/>
                <w:sz w:val="21"/>
                <w:szCs w:val="21"/>
                <w:lang w:val="en-US" w:eastAsia="zh-CN" w:bidi="ar"/>
              </w:rPr>
              <w:t>考试平台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center"/>
              <w:rPr>
                <w:rStyle w:val="29"/>
                <w:rFonts w:hint="eastAsia" w:ascii="仿宋_GB2312" w:hAnsi="仿宋_GB2312" w:eastAsia="仿宋_GB2312" w:cs="仿宋_GB2312"/>
                <w:i w:val="0"/>
                <w:iCs w:val="0"/>
                <w:sz w:val="21"/>
                <w:szCs w:val="21"/>
                <w:lang w:val="en-US" w:eastAsia="zh-CN" w:bidi="ar"/>
              </w:rPr>
            </w:pPr>
            <w:r>
              <w:rPr>
                <w:rStyle w:val="29"/>
                <w:rFonts w:hint="eastAsia" w:ascii="仿宋_GB2312" w:hAnsi="仿宋_GB2312" w:eastAsia="仿宋_GB2312" w:cs="仿宋_GB2312"/>
                <w:i w:val="0"/>
                <w:iCs w:val="0"/>
                <w:sz w:val="21"/>
                <w:szCs w:val="21"/>
                <w:lang w:val="en-US" w:eastAsia="zh-CN" w:bidi="ar"/>
              </w:rPr>
              <w:t>该平台系统为局域网考试一站式管理系统，可在线设置考试、设置考场、录入考生、分配座位、上传试题、生成试卷、在线考试、考试监控、成绩统计等</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left"/>
              <w:textAlignment w:val="center"/>
              <w:rPr>
                <w:rStyle w:val="29"/>
                <w:rFonts w:hint="default" w:ascii="仿宋_GB2312" w:hAnsi="仿宋_GB2312" w:eastAsia="仿宋_GB2312" w:cs="仿宋_GB2312"/>
                <w:b/>
                <w:bCs/>
                <w:sz w:val="21"/>
                <w:szCs w:val="21"/>
                <w:lang w:val="en-US" w:eastAsia="zh-CN" w:bidi="ar"/>
              </w:rPr>
            </w:pPr>
            <w:r>
              <w:rPr>
                <w:rStyle w:val="29"/>
                <w:rFonts w:hint="eastAsia" w:ascii="仿宋_GB2312" w:hAnsi="仿宋_GB2312" w:eastAsia="仿宋_GB2312" w:cs="仿宋_GB2312"/>
                <w:b/>
                <w:bCs/>
                <w:sz w:val="21"/>
                <w:szCs w:val="21"/>
                <w:lang w:val="en-US" w:eastAsia="zh-CN" w:bidi="ar"/>
              </w:rPr>
              <w:t>计算机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left"/>
              <w:textAlignment w:val="center"/>
              <w:rPr>
                <w:rStyle w:val="29"/>
                <w:rFonts w:hint="default" w:ascii="仿宋_GB2312" w:hAnsi="仿宋_GB2312" w:eastAsia="仿宋_GB2312" w:cs="仿宋_GB2312"/>
                <w:i w:val="0"/>
                <w:iCs w:val="0"/>
                <w:sz w:val="21"/>
                <w:szCs w:val="21"/>
                <w:lang w:val="en-US" w:eastAsia="zh-CN" w:bidi="ar"/>
              </w:rPr>
            </w:pPr>
            <w:r>
              <w:rPr>
                <w:rStyle w:val="29"/>
                <w:rFonts w:hint="eastAsia" w:ascii="仿宋_GB2312" w:hAnsi="仿宋_GB2312" w:eastAsia="仿宋_GB2312" w:cs="仿宋_GB2312"/>
                <w:sz w:val="21"/>
                <w:szCs w:val="21"/>
                <w:lang w:val="en-US" w:eastAsia="zh-CN" w:bidi="ar"/>
              </w:rPr>
              <w:t>满足平台软件运行，保证画面流畅。</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1套</w:t>
            </w:r>
          </w:p>
        </w:tc>
        <w:tc>
          <w:tcPr>
            <w:tcW w:w="5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center"/>
              <w:rPr>
                <w:rFonts w:hint="eastAsia" w:ascii="仿宋_GB2312" w:hAnsi="仿宋_GB2312" w:eastAsia="仿宋_GB2312" w:cs="仿宋_GB2312"/>
                <w:i w:val="0"/>
                <w:iCs w:val="0"/>
                <w:color w:val="000000"/>
                <w:kern w:val="2"/>
                <w:sz w:val="21"/>
                <w:szCs w:val="21"/>
                <w:u w:val="none"/>
                <w:lang w:val="en-US" w:eastAsia="zh-CN" w:bidi="ar"/>
              </w:rPr>
            </w:pPr>
            <w:r>
              <w:rPr>
                <w:rStyle w:val="29"/>
                <w:rFonts w:hint="eastAsia" w:ascii="仿宋_GB2312" w:hAnsi="仿宋_GB2312" w:eastAsia="仿宋_GB2312" w:cs="仿宋_GB2312"/>
                <w:i w:val="0"/>
                <w:iCs w:val="0"/>
                <w:sz w:val="21"/>
                <w:szCs w:val="21"/>
                <w:lang w:val="en-US" w:eastAsia="zh-CN" w:bidi="ar"/>
              </w:rPr>
              <w:t>北京东方仿真软件技术有限公司</w:t>
            </w:r>
          </w:p>
        </w:tc>
        <w:tc>
          <w:tcPr>
            <w:tcW w:w="4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Style w:val="28"/>
                <w:rFonts w:hint="eastAsia" w:ascii="仿宋_GB2312" w:hAnsi="仿宋_GB2312" w:eastAsia="仿宋_GB2312" w:cs="仿宋_GB2312"/>
                <w:sz w:val="21"/>
                <w:szCs w:val="21"/>
                <w:lang w:val="en-US" w:eastAsia="zh-CN" w:bidi="ar"/>
              </w:rPr>
              <w:t>技术</w:t>
            </w:r>
            <w:r>
              <w:rPr>
                <w:rStyle w:val="28"/>
                <w:rFonts w:hint="eastAsia" w:ascii="仿宋_GB2312" w:hAnsi="仿宋_GB2312" w:eastAsia="仿宋_GB2312" w:cs="仿宋_GB2312"/>
                <w:sz w:val="21"/>
                <w:szCs w:val="21"/>
                <w:lang w:val="en-US" w:eastAsia="zh-CN" w:bidi="ar"/>
              </w:rPr>
              <w:br w:type="textWrapping"/>
            </w:r>
            <w:r>
              <w:rPr>
                <w:rStyle w:val="28"/>
                <w:rFonts w:hint="eastAsia" w:ascii="仿宋_GB2312" w:hAnsi="仿宋_GB2312" w:eastAsia="仿宋_GB2312" w:cs="仿宋_GB2312"/>
                <w:sz w:val="21"/>
                <w:szCs w:val="21"/>
                <w:lang w:val="en-US" w:eastAsia="zh-CN" w:bidi="ar"/>
              </w:rPr>
              <w:t>支持</w:t>
            </w:r>
          </w:p>
        </w:tc>
        <w:tc>
          <w:tcPr>
            <w:tcW w:w="4589"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承办校配备技术保障人员，负责承办校所提供设备和场地的正常运行及维护，包括：计算机、比赛专用软件及硬件设备、场地照明、工位用电等，确保比赛顺利进行。</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 xml:space="preserve">   自带设备和材料的参赛队，自行配备技术人员，负责设备技术支持和维护工作。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仿宋_GB2312" w:hAnsi="仿宋_GB2312" w:eastAsia="仿宋_GB2312" w:cs="仿宋_GB2312"/>
                <w:i w:val="0"/>
                <w:iCs w:val="0"/>
                <w:color w:val="000000"/>
                <w:sz w:val="21"/>
                <w:szCs w:val="21"/>
                <w:u w:val="none"/>
              </w:rPr>
            </w:pPr>
            <w:r>
              <w:rPr>
                <w:rStyle w:val="28"/>
                <w:rFonts w:hint="eastAsia" w:ascii="仿宋_GB2312" w:hAnsi="仿宋_GB2312" w:eastAsia="仿宋_GB2312" w:cs="仿宋_GB2312"/>
                <w:sz w:val="21"/>
                <w:szCs w:val="21"/>
                <w:lang w:val="en-US" w:eastAsia="zh-CN" w:bidi="ar"/>
              </w:rPr>
              <w:t>场地</w:t>
            </w:r>
            <w:r>
              <w:rPr>
                <w:rStyle w:val="28"/>
                <w:rFonts w:hint="eastAsia" w:ascii="仿宋_GB2312" w:hAnsi="仿宋_GB2312" w:eastAsia="仿宋_GB2312" w:cs="仿宋_GB2312"/>
                <w:sz w:val="21"/>
                <w:szCs w:val="21"/>
                <w:lang w:val="en-US" w:eastAsia="zh-CN" w:bidi="ar"/>
              </w:rPr>
              <w:br w:type="textWrapping"/>
            </w:r>
            <w:r>
              <w:rPr>
                <w:rStyle w:val="28"/>
                <w:rFonts w:hint="eastAsia" w:ascii="仿宋_GB2312" w:hAnsi="仿宋_GB2312" w:eastAsia="仿宋_GB2312" w:cs="仿宋_GB2312"/>
                <w:sz w:val="21"/>
                <w:szCs w:val="21"/>
                <w:lang w:val="en-US" w:eastAsia="zh-CN" w:bidi="ar"/>
              </w:rPr>
              <w:t>及环</w:t>
            </w:r>
            <w:r>
              <w:rPr>
                <w:rStyle w:val="28"/>
                <w:rFonts w:hint="eastAsia" w:ascii="仿宋_GB2312" w:hAnsi="仿宋_GB2312" w:eastAsia="仿宋_GB2312" w:cs="仿宋_GB2312"/>
                <w:sz w:val="21"/>
                <w:szCs w:val="21"/>
                <w:lang w:val="en-US" w:eastAsia="zh-CN" w:bidi="ar"/>
              </w:rPr>
              <w:br w:type="textWrapping"/>
            </w:r>
            <w:r>
              <w:rPr>
                <w:rStyle w:val="28"/>
                <w:rFonts w:hint="eastAsia" w:ascii="仿宋_GB2312" w:hAnsi="仿宋_GB2312" w:eastAsia="仿宋_GB2312" w:cs="仿宋_GB2312"/>
                <w:sz w:val="21"/>
                <w:szCs w:val="21"/>
                <w:lang w:val="en-US" w:eastAsia="zh-CN" w:bidi="ar"/>
              </w:rPr>
              <w:t>境</w:t>
            </w:r>
          </w:p>
        </w:tc>
        <w:tc>
          <w:tcPr>
            <w:tcW w:w="4589"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Chars="100"/>
              <w:jc w:val="left"/>
              <w:textAlignment w:val="center"/>
              <w:rPr>
                <w:rFonts w:hint="eastAsia" w:ascii="仿宋_GB2312" w:hAnsi="仿宋_GB2312" w:eastAsia="仿宋_GB2312" w:cs="仿宋_GB2312"/>
                <w:b/>
                <w:bCs/>
                <w:i w:val="0"/>
                <w:iCs w:val="0"/>
                <w:color w:val="000000"/>
                <w:sz w:val="21"/>
                <w:szCs w:val="21"/>
                <w:u w:val="none"/>
              </w:rPr>
            </w:pPr>
            <w:r>
              <w:rPr>
                <w:rStyle w:val="30"/>
                <w:rFonts w:hint="eastAsia" w:ascii="仿宋_GB2312" w:hAnsi="仿宋_GB2312" w:eastAsia="仿宋_GB2312" w:cs="仿宋_GB2312"/>
                <w:sz w:val="21"/>
                <w:szCs w:val="21"/>
                <w:lang w:val="en-US" w:eastAsia="zh-CN" w:bidi="ar"/>
              </w:rPr>
              <w:t>自带设备赛场提供以下条件：</w:t>
            </w:r>
            <w:r>
              <w:rPr>
                <w:rStyle w:val="30"/>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1.场地面积：约50m²</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2.供电：电压220V/380V用电,最大负载功率2kW</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3.赛场入口门尺寸：宽2000mm×高2000mm</w:t>
            </w:r>
            <w:r>
              <w:rPr>
                <w:rStyle w:val="29"/>
                <w:rFonts w:hint="eastAsia" w:ascii="仿宋_GB2312" w:hAnsi="仿宋_GB2312" w:eastAsia="仿宋_GB2312" w:cs="仿宋_GB2312"/>
                <w:sz w:val="21"/>
                <w:szCs w:val="21"/>
                <w:lang w:val="en-US" w:eastAsia="zh-CN" w:bidi="ar"/>
              </w:rPr>
              <w:br w:type="textWrapping"/>
            </w:r>
            <w:r>
              <w:rPr>
                <w:rStyle w:val="29"/>
                <w:rFonts w:hint="eastAsia" w:ascii="仿宋_GB2312" w:hAnsi="仿宋_GB2312" w:eastAsia="仿宋_GB2312" w:cs="仿宋_GB2312"/>
                <w:sz w:val="21"/>
                <w:szCs w:val="21"/>
                <w:lang w:val="en-US" w:eastAsia="zh-CN" w:bidi="ar"/>
              </w:rPr>
              <w:t>4.赛场荷载：不超过200kG/m²</w:t>
            </w:r>
          </w:p>
        </w:tc>
      </w:tr>
    </w:tbl>
    <w:p>
      <w:pPr>
        <w:adjustRightInd w:val="0"/>
        <w:snapToGrid w:val="0"/>
        <w:spacing w:line="360" w:lineRule="auto"/>
        <w:ind w:firstLine="240" w:firstLineChars="100"/>
        <w:jc w:val="left"/>
        <w:rPr>
          <w:rFonts w:hint="eastAsia" w:ascii="仿宋" w:hAnsi="仿宋" w:eastAsia="仿宋" w:cs="宋体"/>
          <w:b w:val="0"/>
          <w:bCs w:val="0"/>
          <w:kern w:val="0"/>
          <w:sz w:val="24"/>
          <w:szCs w:val="24"/>
          <w:highlight w:val="none"/>
          <w:lang w:val="en-US" w:eastAsia="zh-CN"/>
        </w:rPr>
      </w:pPr>
      <w:r>
        <w:rPr>
          <w:rFonts w:hint="eastAsia" w:ascii="仿宋" w:hAnsi="仿宋" w:eastAsia="仿宋" w:cs="宋体"/>
          <w:b w:val="0"/>
          <w:bCs w:val="0"/>
          <w:kern w:val="0"/>
          <w:sz w:val="24"/>
          <w:szCs w:val="24"/>
          <w:highlight w:val="none"/>
          <w:lang w:val="en-US" w:eastAsia="zh-CN"/>
        </w:rPr>
        <w:t>备注：</w:t>
      </w:r>
      <w:r>
        <w:rPr>
          <w:rFonts w:hint="default" w:ascii="仿宋" w:hAnsi="仿宋" w:eastAsia="仿宋" w:cs="宋体"/>
          <w:b w:val="0"/>
          <w:bCs w:val="0"/>
          <w:kern w:val="0"/>
          <w:sz w:val="24"/>
          <w:szCs w:val="24"/>
          <w:highlight w:val="none"/>
          <w:lang w:val="en-US" w:eastAsia="zh-CN"/>
        </w:rPr>
        <w:t>各参赛校如有自带设备，承办校提供220/380用电，如有其他特殊要求</w:t>
      </w:r>
      <w:r>
        <w:rPr>
          <w:rFonts w:hint="eastAsia" w:ascii="仿宋" w:hAnsi="仿宋" w:eastAsia="仿宋" w:cs="宋体"/>
          <w:b w:val="0"/>
          <w:bCs w:val="0"/>
          <w:kern w:val="0"/>
          <w:sz w:val="24"/>
          <w:szCs w:val="24"/>
          <w:highlight w:val="none"/>
          <w:lang w:val="en-US" w:eastAsia="zh-CN"/>
        </w:rPr>
        <w:t>，请于12月1日前与付大勇老师（15936254639）联系。</w:t>
      </w:r>
    </w:p>
    <w:p>
      <w:pPr>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640" w:firstLineChars="200"/>
        <w:jc w:val="left"/>
        <w:textAlignment w:val="auto"/>
        <w:rPr>
          <w:rFonts w:hint="eastAsia" w:eastAsia="楷体_GB2312" w:cs="楷体"/>
          <w:sz w:val="32"/>
          <w:szCs w:val="32"/>
          <w:lang w:val="zh-TW" w:eastAsia="zh-TW"/>
        </w:rPr>
      </w:pPr>
      <w:r>
        <w:rPr>
          <w:rFonts w:hint="eastAsia" w:eastAsia="楷体_GB2312" w:cs="楷体"/>
          <w:sz w:val="32"/>
          <w:szCs w:val="32"/>
          <w:lang w:val="zh-TW" w:eastAsia="zh-TW"/>
        </w:rPr>
        <w:t>（一）理论考核与仿真考核竞赛机房环境要求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rPr>
          <w:sz w:val="32"/>
          <w:szCs w:val="32"/>
        </w:rPr>
      </w:pPr>
      <w:r>
        <w:rPr>
          <w:rFonts w:eastAsia="仿宋_GB2312"/>
          <w:sz w:val="32"/>
          <w:szCs w:val="32"/>
        </w:rPr>
        <w:t>1</w:t>
      </w:r>
      <w:r>
        <w:rPr>
          <w:rFonts w:hint="eastAsia" w:eastAsia="仿宋_GB2312"/>
          <w:sz w:val="32"/>
          <w:szCs w:val="32"/>
        </w:rPr>
        <w:t xml:space="preserve">. </w:t>
      </w:r>
      <w:r>
        <w:rPr>
          <w:rFonts w:eastAsia="仿宋_GB2312"/>
          <w:sz w:val="32"/>
          <w:szCs w:val="32"/>
        </w:rPr>
        <w:t>整个赛场面积不小于</w:t>
      </w:r>
      <w:r>
        <w:rPr>
          <w:rFonts w:hint="eastAsia" w:eastAsia="仿宋_GB2312"/>
          <w:sz w:val="32"/>
          <w:szCs w:val="32"/>
        </w:rPr>
        <w:t>1</w:t>
      </w:r>
      <w:r>
        <w:rPr>
          <w:rFonts w:eastAsia="仿宋_GB2312"/>
          <w:sz w:val="32"/>
          <w:szCs w:val="32"/>
        </w:rPr>
        <w:t>00m</w:t>
      </w:r>
      <w:r>
        <w:rPr>
          <w:rFonts w:eastAsia="仿宋_GB2312"/>
          <w:sz w:val="32"/>
          <w:szCs w:val="32"/>
          <w:vertAlign w:val="superscript"/>
        </w:rPr>
        <w:t>2</w:t>
      </w:r>
      <w:r>
        <w:rPr>
          <w:rFonts w:eastAsia="仿宋_GB2312"/>
          <w:sz w:val="32"/>
          <w:szCs w:val="32"/>
        </w:rPr>
        <w:t>；配备能容纳</w:t>
      </w:r>
      <w:r>
        <w:rPr>
          <w:rFonts w:hint="eastAsia" w:eastAsia="仿宋_GB2312"/>
          <w:sz w:val="32"/>
          <w:szCs w:val="32"/>
        </w:rPr>
        <w:t>6</w:t>
      </w:r>
      <w:r>
        <w:rPr>
          <w:rFonts w:eastAsia="仿宋_GB2312"/>
          <w:sz w:val="32"/>
          <w:szCs w:val="32"/>
        </w:rPr>
        <w:t>0台相同配置的台式电脑机房不少于</w:t>
      </w:r>
      <w:r>
        <w:rPr>
          <w:rFonts w:hint="eastAsia" w:eastAsia="仿宋_GB2312"/>
          <w:sz w:val="32"/>
          <w:szCs w:val="32"/>
        </w:rPr>
        <w:t>1</w:t>
      </w:r>
      <w:r>
        <w:rPr>
          <w:rFonts w:eastAsia="仿宋_GB2312"/>
          <w:sz w:val="32"/>
          <w:szCs w:val="32"/>
        </w:rPr>
        <w:t>个，能同时容纳</w:t>
      </w:r>
      <w:r>
        <w:rPr>
          <w:rFonts w:hint="eastAsia" w:eastAsia="仿宋_GB2312"/>
          <w:sz w:val="32"/>
          <w:szCs w:val="32"/>
        </w:rPr>
        <w:t>6</w:t>
      </w:r>
      <w:r>
        <w:rPr>
          <w:rFonts w:eastAsia="仿宋_GB2312"/>
          <w:sz w:val="32"/>
          <w:szCs w:val="32"/>
        </w:rPr>
        <w:t>0人以上同时在线登入，每个机房内配有裁判用电脑、打印机等竞赛评判工具。机房周边设有卫生间、医疗服务站，有正常的电梯及紧急疏散通道，并在赛场周围设置隔离带。</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 竞赛机房内竞赛用电脑摆放合理，竞赛工位相对独立，确保选手独立开展竞赛，不受外界影响。</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3. 配套稳定的水、电和应急设备，并有保安或公安、消防、设备维修等抢险人员待命，以防突发事件。</w:t>
      </w:r>
    </w:p>
    <w:p>
      <w:pPr>
        <w:keepNext w:val="0"/>
        <w:keepLines w:val="0"/>
        <w:pageBreakBefore w:val="0"/>
        <w:kinsoku/>
        <w:wordWrap/>
        <w:overflowPunct/>
        <w:topLinePunct w:val="0"/>
        <w:autoSpaceDE/>
        <w:autoSpaceDN/>
        <w:bidi w:val="0"/>
        <w:adjustRightInd w:val="0"/>
        <w:snapToGrid w:val="0"/>
        <w:spacing w:line="560" w:lineRule="exact"/>
        <w:ind w:right="210" w:rightChars="100" w:firstLine="640" w:firstLineChars="200"/>
        <w:jc w:val="left"/>
        <w:textAlignment w:val="auto"/>
        <w:rPr>
          <w:rFonts w:hint="eastAsia" w:eastAsia="楷体_GB2312" w:cs="楷体"/>
          <w:sz w:val="32"/>
          <w:szCs w:val="32"/>
        </w:rPr>
      </w:pPr>
      <w:r>
        <w:rPr>
          <w:rFonts w:hint="eastAsia" w:eastAsia="楷体_GB2312" w:cs="楷体"/>
          <w:sz w:val="32"/>
          <w:szCs w:val="32"/>
          <w:lang w:val="zh-TW" w:eastAsia="zh-TW"/>
        </w:rPr>
        <w:t>（二）理论考核与仿真考核</w:t>
      </w:r>
      <w:r>
        <w:rPr>
          <w:rFonts w:hint="eastAsia" w:eastAsia="楷体_GB2312" w:cs="楷体"/>
          <w:sz w:val="32"/>
          <w:szCs w:val="32"/>
        </w:rPr>
        <w:t>技术平台</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w:t>
      </w:r>
      <w:r>
        <w:rPr>
          <w:rFonts w:hint="eastAsia" w:ascii="仿宋_GB2312" w:hAnsi="仿宋" w:eastAsia="仿宋_GB2312"/>
          <w:sz w:val="32"/>
          <w:szCs w:val="32"/>
        </w:rPr>
        <w:t xml:space="preserve">现代化工 HSE 理论知识 </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eastAsia" w:eastAsia="仿宋_GB2312"/>
          <w:sz w:val="32"/>
          <w:szCs w:val="32"/>
        </w:rPr>
      </w:pPr>
      <w:r>
        <w:rPr>
          <w:rFonts w:eastAsia="仿宋_GB2312"/>
          <w:sz w:val="32"/>
          <w:szCs w:val="32"/>
        </w:rPr>
        <w:t>“</w:t>
      </w:r>
      <w:r>
        <w:rPr>
          <w:rFonts w:hint="eastAsia" w:eastAsia="仿宋_GB2312"/>
          <w:sz w:val="32"/>
          <w:szCs w:val="32"/>
        </w:rPr>
        <w:t xml:space="preserve">现代化工 </w:t>
      </w:r>
      <w:r>
        <w:rPr>
          <w:rFonts w:eastAsia="仿宋_GB2312"/>
          <w:sz w:val="32"/>
          <w:szCs w:val="32"/>
        </w:rPr>
        <w:t xml:space="preserve">HSE </w:t>
      </w:r>
      <w:r>
        <w:rPr>
          <w:rFonts w:hint="eastAsia" w:eastAsia="仿宋_GB2312"/>
          <w:sz w:val="32"/>
          <w:szCs w:val="32"/>
        </w:rPr>
        <w:t>理论知识</w:t>
      </w:r>
      <w:r>
        <w:rPr>
          <w:rFonts w:eastAsia="仿宋_GB2312"/>
          <w:sz w:val="32"/>
          <w:szCs w:val="32"/>
        </w:rPr>
        <w:t xml:space="preserve">” </w:t>
      </w:r>
      <w:r>
        <w:rPr>
          <w:rFonts w:hint="eastAsia" w:eastAsia="仿宋_GB2312"/>
          <w:sz w:val="32"/>
          <w:szCs w:val="32"/>
        </w:rPr>
        <w:t>考核系统软件采用北京东方仿真软件技术有限公司生产的</w:t>
      </w:r>
      <w:r>
        <w:rPr>
          <w:rFonts w:eastAsia="仿宋_GB2312"/>
          <w:sz w:val="32"/>
          <w:szCs w:val="32"/>
        </w:rPr>
        <w:t>“</w:t>
      </w:r>
      <w:r>
        <w:rPr>
          <w:rFonts w:hint="eastAsia" w:eastAsia="仿宋_GB2312"/>
          <w:sz w:val="32"/>
          <w:szCs w:val="32"/>
        </w:rPr>
        <w:t>综合考试平台系统</w:t>
      </w:r>
      <w:r>
        <w:rPr>
          <w:rFonts w:eastAsia="仿宋_GB2312"/>
          <w:sz w:val="32"/>
          <w:szCs w:val="32"/>
        </w:rPr>
        <w:t>”</w:t>
      </w:r>
      <w:r>
        <w:rPr>
          <w:rFonts w:hint="eastAsia" w:eastAsia="仿宋_GB2312"/>
          <w:sz w:val="32"/>
          <w:szCs w:val="32"/>
        </w:rPr>
        <w:t xml:space="preserve">，该平台系统为局域网考试一站式管理系统，可在线设置考试、设置考场、录入考生、分配座位、上传试题、生成试卷、在线考试、考试监控、成绩统计等，实现考务工作的全部数字化管理，系统自动出卷、阅卷及成绩统计，保证考试的客观、公平和公正。 </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 xml:space="preserve">化工过程安全分析技术 </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ascii="仿宋_GB2312" w:hAnsi="仿宋" w:eastAsia="仿宋_GB2312"/>
          <w:sz w:val="28"/>
          <w:szCs w:val="28"/>
        </w:rPr>
      </w:pPr>
      <w:r>
        <w:rPr>
          <w:rFonts w:hint="eastAsia" w:ascii="仿宋_GB2312" w:hAnsi="仿宋" w:eastAsia="仿宋_GB2312"/>
          <w:sz w:val="32"/>
          <w:szCs w:val="32"/>
        </w:rPr>
        <w:t>“化工过程安全分析技术”操作与自动评分系统软件以北京东方仿真软件技术有限公司生产的“化工装置安全分析演练 3D 虚拟仿真教学服务系统”为基础。该系统综合事故应急处置模块以基础化工单元为基础，通过 3D 场景模拟应急处置全流程，全面考察选手团队协作能力、分析判断能力及多种场景事故应急处置能力，软件系统如下图所示。</w:t>
      </w:r>
    </w:p>
    <w:p>
      <w:pPr>
        <w:widowControl/>
        <w:jc w:val="center"/>
        <w:rPr>
          <w:rFonts w:eastAsia="仿宋_GB2312"/>
          <w:sz w:val="30"/>
          <w:szCs w:val="30"/>
        </w:rPr>
      </w:pPr>
      <w:r>
        <w:rPr>
          <w:rFonts w:eastAsia="仿宋_GB2312"/>
          <w:sz w:val="30"/>
          <w:szCs w:val="30"/>
        </w:rPr>
        <w:drawing>
          <wp:inline distT="0" distB="0" distL="114300" distR="114300">
            <wp:extent cx="4719320" cy="2393315"/>
            <wp:effectExtent l="0" t="0" r="5080" b="6985"/>
            <wp:docPr id="1" name="图片 2" descr="lQLPJw2xCmL1KajNAV_NArSwTF5c6Pvo7ksE7nyS-kCdAA_692_3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lQLPJw2xCmL1KajNAV_NArSwTF5c6Pvo7ksE7nyS-kCdAA_692_351"/>
                    <pic:cNvPicPr>
                      <a:picLocks noChangeAspect="true"/>
                    </pic:cNvPicPr>
                  </pic:nvPicPr>
                  <pic:blipFill>
                    <a:blip r:embed="rId5"/>
                    <a:stretch>
                      <a:fillRect/>
                    </a:stretch>
                  </pic:blipFill>
                  <pic:spPr>
                    <a:xfrm>
                      <a:off x="0" y="0"/>
                      <a:ext cx="4719320" cy="2393315"/>
                    </a:xfrm>
                    <a:prstGeom prst="rect">
                      <a:avLst/>
                    </a:prstGeom>
                    <a:noFill/>
                    <a:ln>
                      <a:noFill/>
                    </a:ln>
                  </pic:spPr>
                </pic:pic>
              </a:graphicData>
            </a:graphic>
          </wp:inline>
        </w:drawing>
      </w:r>
    </w:p>
    <w:p>
      <w:pPr>
        <w:widowControl/>
        <w:jc w:val="center"/>
        <w:rPr>
          <w:rFonts w:eastAsia="仿宋_GB2312"/>
          <w:sz w:val="30"/>
          <w:szCs w:val="30"/>
        </w:rPr>
      </w:pPr>
      <w:r>
        <w:drawing>
          <wp:inline distT="0" distB="0" distL="114300" distR="114300">
            <wp:extent cx="4747260" cy="3030220"/>
            <wp:effectExtent l="0" t="0" r="5715" b="8255"/>
            <wp:docPr id="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true"/>
                    </pic:cNvPicPr>
                  </pic:nvPicPr>
                  <pic:blipFill>
                    <a:blip r:embed="rId6"/>
                    <a:stretch>
                      <a:fillRect/>
                    </a:stretch>
                  </pic:blipFill>
                  <pic:spPr>
                    <a:xfrm>
                      <a:off x="0" y="0"/>
                      <a:ext cx="4747260" cy="3030220"/>
                    </a:xfrm>
                    <a:prstGeom prst="rect">
                      <a:avLst/>
                    </a:prstGeom>
                    <a:noFill/>
                    <a:ln>
                      <a:noFill/>
                    </a:ln>
                  </pic:spPr>
                </pic:pic>
              </a:graphicData>
            </a:graphic>
          </wp:inline>
        </w:drawing>
      </w:r>
    </w:p>
    <w:p>
      <w:pPr>
        <w:widowControl/>
        <w:jc w:val="center"/>
        <w:rPr>
          <w:rFonts w:eastAsia="仿宋_GB2312"/>
          <w:sz w:val="30"/>
          <w:szCs w:val="30"/>
        </w:rPr>
      </w:pPr>
      <w:r>
        <w:drawing>
          <wp:inline distT="0" distB="0" distL="114300" distR="114300">
            <wp:extent cx="4668520" cy="2700020"/>
            <wp:effectExtent l="0" t="0" r="8255" b="5080"/>
            <wp:docPr id="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true"/>
                    </pic:cNvPicPr>
                  </pic:nvPicPr>
                  <pic:blipFill>
                    <a:blip r:embed="rId7"/>
                    <a:stretch>
                      <a:fillRect/>
                    </a:stretch>
                  </pic:blipFill>
                  <pic:spPr>
                    <a:xfrm>
                      <a:off x="0" y="0"/>
                      <a:ext cx="4668520" cy="2700020"/>
                    </a:xfrm>
                    <a:prstGeom prst="rect">
                      <a:avLst/>
                    </a:prstGeom>
                    <a:noFill/>
                    <a:ln>
                      <a:noFill/>
                    </a:ln>
                  </pic:spPr>
                </pic:pic>
              </a:graphicData>
            </a:graphic>
          </wp:inline>
        </w:drawing>
      </w:r>
    </w:p>
    <w:p>
      <w:pPr>
        <w:widowControl/>
        <w:jc w:val="center"/>
        <w:rPr>
          <w:rFonts w:hint="eastAsia" w:ascii="仿宋_GB2312" w:hAnsi="仿宋" w:eastAsia="仿宋_GB2312"/>
          <w:sz w:val="28"/>
          <w:szCs w:val="28"/>
        </w:rPr>
      </w:pPr>
      <w:r>
        <w:drawing>
          <wp:inline distT="0" distB="0" distL="114300" distR="114300">
            <wp:extent cx="4882515" cy="2552700"/>
            <wp:effectExtent l="0" t="0" r="3810" b="0"/>
            <wp:docPr id="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true"/>
                    </pic:cNvPicPr>
                  </pic:nvPicPr>
                  <pic:blipFill>
                    <a:blip r:embed="rId8"/>
                    <a:stretch>
                      <a:fillRect/>
                    </a:stretch>
                  </pic:blipFill>
                  <pic:spPr>
                    <a:xfrm>
                      <a:off x="0" y="0"/>
                      <a:ext cx="4882515" cy="2552700"/>
                    </a:xfrm>
                    <a:prstGeom prst="rect">
                      <a:avLst/>
                    </a:prstGeom>
                    <a:noFill/>
                    <a:ln>
                      <a:noFill/>
                    </a:ln>
                  </pic:spPr>
                </pic:pic>
              </a:graphicData>
            </a:graphic>
          </wp:inline>
        </w:drawing>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（三）化工生产应急处置技能操作</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“化工生产应急处置技能”操作平台采用 “化工生产事故应急救援与处置实训装置”及其相配套的公用设施。</w:t>
      </w:r>
    </w:p>
    <w:p>
      <w:pPr>
        <w:adjustRightInd w:val="0"/>
        <w:snapToGrid w:val="0"/>
        <w:spacing w:line="560" w:lineRule="exact"/>
        <w:ind w:firstLine="640" w:firstLineChars="200"/>
        <w:jc w:val="left"/>
        <w:rPr>
          <w:rFonts w:hint="eastAsia" w:eastAsia="仿宋_GB2312"/>
          <w:sz w:val="28"/>
          <w:szCs w:val="28"/>
        </w:rPr>
      </w:pPr>
      <w:r>
        <w:rPr>
          <w:rFonts w:hint="eastAsia" w:eastAsia="仿宋_GB2312"/>
          <w:sz w:val="32"/>
          <w:szCs w:val="32"/>
        </w:rPr>
        <w:t>本装置以典型的化工企业常用单元装置为考核平台，以化工企业近年来发生的事故以及应急预案为设计蓝本，涵盖了三类危险化工工艺，事故类型设置包含火灾、中毒、大面积泄漏</w:t>
      </w:r>
      <w:r>
        <w:rPr>
          <w:rFonts w:hint="eastAsia" w:eastAsia="仿宋_GB2312"/>
          <w:sz w:val="32"/>
          <w:szCs w:val="32"/>
          <w:lang w:val="en-US" w:eastAsia="zh-CN"/>
        </w:rPr>
        <w:t>和</w:t>
      </w:r>
      <w:r>
        <w:rPr>
          <w:rFonts w:hint="eastAsia" w:eastAsia="仿宋_GB2312"/>
          <w:sz w:val="32"/>
          <w:szCs w:val="32"/>
        </w:rPr>
        <w:t>超温超压等事故类型。装置通过虚拟现实技术模拟故障或事故发生时的场景，可以更真实的感受现场的氛围以及事故处理时的紧迫。考核控制系统操作软件配备DCS 操作系统、带控制点的工艺流程图等，系统软件操作界面如下图所示。</w:t>
      </w:r>
    </w:p>
    <w:p>
      <w:pPr>
        <w:pStyle w:val="3"/>
        <w:jc w:val="center"/>
      </w:pPr>
      <w:r>
        <w:rPr>
          <w:rFonts w:ascii="仿宋" w:hAnsi="仿宋" w:eastAsia="仿宋" w:cs="仿宋"/>
        </w:rPr>
        <w:drawing>
          <wp:inline distT="0" distB="0" distL="114300" distR="114300">
            <wp:extent cx="5145405" cy="2702560"/>
            <wp:effectExtent l="0" t="0" r="7620" b="2540"/>
            <wp:docPr id="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true"/>
                    </pic:cNvPicPr>
                  </pic:nvPicPr>
                  <pic:blipFill>
                    <a:blip r:embed="rId9"/>
                    <a:srcRect l="632" t="7224"/>
                    <a:stretch>
                      <a:fillRect/>
                    </a:stretch>
                  </pic:blipFill>
                  <pic:spPr>
                    <a:xfrm>
                      <a:off x="0" y="0"/>
                      <a:ext cx="5145405" cy="2702560"/>
                    </a:xfrm>
                    <a:prstGeom prst="rect">
                      <a:avLst/>
                    </a:prstGeom>
                    <a:noFill/>
                    <a:ln>
                      <a:noFill/>
                    </a:ln>
                  </pic:spPr>
                </pic:pic>
              </a:graphicData>
            </a:graphic>
          </wp:inline>
        </w:drawing>
      </w:r>
    </w:p>
    <w:p>
      <w:pPr>
        <w:pStyle w:val="3"/>
        <w:jc w:val="center"/>
        <w:rPr>
          <w:rFonts w:ascii="仿宋" w:hAnsi="仿宋" w:eastAsia="仿宋" w:cs="仿宋"/>
        </w:rPr>
      </w:pPr>
      <w:r>
        <w:rPr>
          <w:rFonts w:hint="eastAsia" w:ascii="仿宋" w:hAnsi="仿宋" w:eastAsia="仿宋" w:cs="仿宋"/>
        </w:rPr>
        <w:drawing>
          <wp:inline distT="0" distB="0" distL="114300" distR="114300">
            <wp:extent cx="5219065" cy="2750185"/>
            <wp:effectExtent l="0" t="0" r="635" b="2540"/>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10"/>
                    <a:srcRect l="987" t="7382"/>
                    <a:stretch>
                      <a:fillRect/>
                    </a:stretch>
                  </pic:blipFill>
                  <pic:spPr>
                    <a:xfrm>
                      <a:off x="0" y="0"/>
                      <a:ext cx="5219065" cy="2750185"/>
                    </a:xfrm>
                    <a:prstGeom prst="rect">
                      <a:avLst/>
                    </a:prstGeom>
                    <a:noFill/>
                    <a:ln>
                      <a:noFill/>
                    </a:ln>
                  </pic:spPr>
                </pic:pic>
              </a:graphicData>
            </a:graphic>
          </wp:inline>
        </w:drawing>
      </w:r>
    </w:p>
    <w:p>
      <w:pPr>
        <w:pStyle w:val="3"/>
        <w:jc w:val="center"/>
        <w:rPr>
          <w:rFonts w:hint="eastAsia" w:ascii="仿宋" w:hAnsi="仿宋" w:eastAsia="仿宋" w:cs="仿宋"/>
        </w:rPr>
      </w:pPr>
      <w:r>
        <w:rPr>
          <w:rFonts w:ascii="仿宋" w:hAnsi="仿宋" w:eastAsia="仿宋" w:cs="仿宋"/>
        </w:rPr>
        <w:drawing>
          <wp:inline distT="0" distB="0" distL="114300" distR="114300">
            <wp:extent cx="5248910" cy="2736215"/>
            <wp:effectExtent l="0" t="0" r="8890" b="6985"/>
            <wp:docPr id="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true"/>
                    </pic:cNvPicPr>
                  </pic:nvPicPr>
                  <pic:blipFill>
                    <a:blip r:embed="rId11"/>
                    <a:srcRect l="542" t="7706" r="2"/>
                    <a:stretch>
                      <a:fillRect/>
                    </a:stretch>
                  </pic:blipFill>
                  <pic:spPr>
                    <a:xfrm>
                      <a:off x="0" y="0"/>
                      <a:ext cx="5248910" cy="2736215"/>
                    </a:xfrm>
                    <a:prstGeom prst="rect">
                      <a:avLst/>
                    </a:prstGeom>
                    <a:noFill/>
                    <a:ln>
                      <a:noFill/>
                    </a:ln>
                  </pic:spPr>
                </pic:pic>
              </a:graphicData>
            </a:graphic>
          </wp:inline>
        </w:drawing>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手提式灭火器，安全帽，防毒面具，空气呼吸器，洗眼器，护目镜，防静电服，耐酸碱防护用品，担架，急救包，警戒线（带），应急工具等。</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比赛现场提供安全操作记录单和评分记录卡等。</w:t>
      </w: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lang w:val="en-US" w:eastAsia="zh-CN"/>
        </w:rPr>
        <w:t>九</w:t>
      </w:r>
      <w:r>
        <w:rPr>
          <w:rFonts w:hint="eastAsia" w:eastAsia="黑体"/>
          <w:sz w:val="32"/>
          <w:szCs w:val="32"/>
        </w:rPr>
        <w:t>、</w:t>
      </w:r>
      <w:r>
        <w:rPr>
          <w:rFonts w:eastAsia="黑体"/>
          <w:sz w:val="32"/>
          <w:szCs w:val="32"/>
        </w:rPr>
        <w:t>竞赛样题</w:t>
      </w:r>
    </w:p>
    <w:p>
      <w:pPr>
        <w:widowControl/>
        <w:spacing w:line="560" w:lineRule="exact"/>
        <w:ind w:firstLine="640" w:firstLineChars="200"/>
        <w:rPr>
          <w:rFonts w:hint="eastAsia" w:eastAsia="楷体_GB2312" w:cs="楷体"/>
          <w:sz w:val="32"/>
          <w:szCs w:val="32"/>
        </w:rPr>
      </w:pPr>
      <w:r>
        <w:rPr>
          <w:rFonts w:hint="eastAsia" w:eastAsia="楷体_GB2312" w:cs="楷体"/>
          <w:sz w:val="32"/>
          <w:szCs w:val="32"/>
          <w:lang w:val="zh-TW" w:eastAsia="zh-TW"/>
        </w:rPr>
        <w:t>（一）现代化工HSE理论知识考核题</w:t>
      </w:r>
    </w:p>
    <w:p>
      <w:pPr>
        <w:adjustRightInd w:val="0"/>
        <w:snapToGrid w:val="0"/>
        <w:spacing w:line="560" w:lineRule="exact"/>
        <w:ind w:left="560"/>
        <w:jc w:val="left"/>
        <w:rPr>
          <w:rFonts w:hint="eastAsia" w:eastAsia="仿宋_GB2312"/>
          <w:sz w:val="32"/>
          <w:szCs w:val="32"/>
        </w:rPr>
      </w:pPr>
      <w:r>
        <w:rPr>
          <w:rFonts w:hint="eastAsia" w:eastAsia="仿宋_GB2312"/>
          <w:sz w:val="32"/>
          <w:szCs w:val="32"/>
        </w:rPr>
        <w:t>1</w:t>
      </w:r>
      <w:r>
        <w:rPr>
          <w:rFonts w:eastAsia="仿宋_GB2312"/>
          <w:sz w:val="32"/>
          <w:szCs w:val="32"/>
        </w:rPr>
        <w:t>.</w:t>
      </w:r>
      <w:r>
        <w:rPr>
          <w:rFonts w:hint="eastAsia" w:eastAsia="仿宋_GB2312"/>
          <w:sz w:val="32"/>
          <w:szCs w:val="32"/>
        </w:rPr>
        <w:t>考核题目</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高职组现代化工HSE理论知识考核题。</w:t>
      </w:r>
    </w:p>
    <w:p>
      <w:pPr>
        <w:adjustRightInd w:val="0"/>
        <w:snapToGrid w:val="0"/>
        <w:spacing w:line="560" w:lineRule="exact"/>
        <w:ind w:left="560"/>
        <w:jc w:val="left"/>
        <w:rPr>
          <w:rFonts w:hint="eastAsia" w:eastAsia="仿宋_GB2312"/>
          <w:sz w:val="32"/>
          <w:szCs w:val="32"/>
        </w:rPr>
      </w:pPr>
      <w:r>
        <w:rPr>
          <w:rFonts w:hint="eastAsia" w:eastAsia="仿宋_GB2312"/>
          <w:sz w:val="32"/>
          <w:szCs w:val="32"/>
        </w:rPr>
        <w:t>2</w:t>
      </w:r>
      <w:r>
        <w:rPr>
          <w:rFonts w:eastAsia="仿宋_GB2312"/>
          <w:sz w:val="32"/>
          <w:szCs w:val="32"/>
        </w:rPr>
        <w:t>.</w:t>
      </w:r>
      <w:r>
        <w:rPr>
          <w:rFonts w:hint="eastAsia" w:eastAsia="仿宋_GB2312"/>
          <w:sz w:val="32"/>
          <w:szCs w:val="32"/>
        </w:rPr>
        <w:t>考核内容及方法</w:t>
      </w:r>
    </w:p>
    <w:p>
      <w:pPr>
        <w:adjustRightInd w:val="0"/>
        <w:snapToGrid w:val="0"/>
        <w:spacing w:line="560" w:lineRule="exact"/>
        <w:ind w:firstLine="640" w:firstLineChars="200"/>
        <w:jc w:val="left"/>
        <w:rPr>
          <w:rFonts w:hint="eastAsia" w:eastAsia="仿宋_GB2312"/>
          <w:sz w:val="32"/>
          <w:szCs w:val="32"/>
        </w:rPr>
      </w:pPr>
      <w:r>
        <w:rPr>
          <w:rFonts w:hint="eastAsia" w:ascii="仿宋_GB2312" w:hAnsi="仿宋" w:eastAsia="仿宋_GB2312"/>
          <w:sz w:val="32"/>
          <w:szCs w:val="32"/>
        </w:rPr>
        <w:t xml:space="preserve">试卷题型为单选题、多选题和是非题三种题型，其中单选题 </w:t>
      </w:r>
      <w:r>
        <w:rPr>
          <w:rFonts w:ascii="仿宋_GB2312" w:hAnsi="仿宋" w:eastAsia="仿宋_GB2312"/>
          <w:sz w:val="32"/>
          <w:szCs w:val="32"/>
        </w:rPr>
        <w:t xml:space="preserve">60 </w:t>
      </w:r>
      <w:r>
        <w:rPr>
          <w:rFonts w:hint="eastAsia" w:ascii="仿宋_GB2312" w:hAnsi="仿宋" w:eastAsia="仿宋_GB2312"/>
          <w:sz w:val="32"/>
          <w:szCs w:val="32"/>
        </w:rPr>
        <w:t>题（</w:t>
      </w:r>
      <w:r>
        <w:rPr>
          <w:rFonts w:ascii="仿宋_GB2312" w:hAnsi="仿宋" w:eastAsia="仿宋_GB2312"/>
          <w:sz w:val="32"/>
          <w:szCs w:val="32"/>
        </w:rPr>
        <w:t xml:space="preserve">0.5 </w:t>
      </w:r>
      <w:r>
        <w:rPr>
          <w:rFonts w:hint="eastAsia" w:ascii="仿宋_GB2312" w:hAnsi="仿宋" w:eastAsia="仿宋_GB2312"/>
          <w:sz w:val="32"/>
          <w:szCs w:val="32"/>
        </w:rPr>
        <w:t>分</w:t>
      </w:r>
      <w:r>
        <w:rPr>
          <w:rFonts w:ascii="仿宋_GB2312" w:hAnsi="仿宋" w:eastAsia="仿宋_GB2312"/>
          <w:sz w:val="32"/>
          <w:szCs w:val="32"/>
        </w:rPr>
        <w:t>/</w:t>
      </w:r>
      <w:r>
        <w:rPr>
          <w:rFonts w:hint="eastAsia" w:ascii="仿宋_GB2312" w:hAnsi="仿宋" w:eastAsia="仿宋_GB2312"/>
          <w:sz w:val="32"/>
          <w:szCs w:val="32"/>
        </w:rPr>
        <w:t xml:space="preserve">题）、多选题 </w:t>
      </w:r>
      <w:r>
        <w:rPr>
          <w:rFonts w:ascii="仿宋_GB2312" w:hAnsi="仿宋" w:eastAsia="仿宋_GB2312"/>
          <w:sz w:val="32"/>
          <w:szCs w:val="32"/>
        </w:rPr>
        <w:t xml:space="preserve">40 </w:t>
      </w:r>
      <w:r>
        <w:rPr>
          <w:rFonts w:hint="eastAsia" w:ascii="仿宋_GB2312" w:hAnsi="仿宋" w:eastAsia="仿宋_GB2312"/>
          <w:sz w:val="32"/>
          <w:szCs w:val="32"/>
        </w:rPr>
        <w:t>题（</w:t>
      </w:r>
      <w:r>
        <w:rPr>
          <w:rFonts w:ascii="仿宋_GB2312" w:hAnsi="仿宋" w:eastAsia="仿宋_GB2312"/>
          <w:sz w:val="32"/>
          <w:szCs w:val="32"/>
        </w:rPr>
        <w:t xml:space="preserve">1 </w:t>
      </w:r>
      <w:r>
        <w:rPr>
          <w:rFonts w:hint="eastAsia" w:ascii="仿宋_GB2312" w:hAnsi="仿宋" w:eastAsia="仿宋_GB2312"/>
          <w:sz w:val="32"/>
          <w:szCs w:val="32"/>
        </w:rPr>
        <w:t>分</w:t>
      </w:r>
      <w:r>
        <w:rPr>
          <w:rFonts w:ascii="仿宋_GB2312" w:hAnsi="仿宋" w:eastAsia="仿宋_GB2312"/>
          <w:sz w:val="32"/>
          <w:szCs w:val="32"/>
        </w:rPr>
        <w:t>/</w:t>
      </w:r>
      <w:r>
        <w:rPr>
          <w:rFonts w:hint="eastAsia" w:ascii="仿宋_GB2312" w:hAnsi="仿宋" w:eastAsia="仿宋_GB2312"/>
          <w:sz w:val="32"/>
          <w:szCs w:val="32"/>
        </w:rPr>
        <w:t xml:space="preserve">题）、是非题 </w:t>
      </w:r>
      <w:r>
        <w:rPr>
          <w:rFonts w:ascii="仿宋_GB2312" w:hAnsi="仿宋" w:eastAsia="仿宋_GB2312"/>
          <w:sz w:val="32"/>
          <w:szCs w:val="32"/>
        </w:rPr>
        <w:t xml:space="preserve">60 </w:t>
      </w:r>
      <w:r>
        <w:rPr>
          <w:rFonts w:hint="eastAsia" w:ascii="仿宋_GB2312" w:hAnsi="仿宋" w:eastAsia="仿宋_GB2312"/>
          <w:sz w:val="32"/>
          <w:szCs w:val="32"/>
        </w:rPr>
        <w:t>题（</w:t>
      </w:r>
      <w:r>
        <w:rPr>
          <w:rFonts w:ascii="仿宋_GB2312" w:hAnsi="仿宋" w:eastAsia="仿宋_GB2312"/>
          <w:sz w:val="32"/>
          <w:szCs w:val="32"/>
        </w:rPr>
        <w:t xml:space="preserve">0.5 </w:t>
      </w:r>
      <w:r>
        <w:rPr>
          <w:rFonts w:hint="eastAsia" w:ascii="仿宋_GB2312" w:hAnsi="仿宋" w:eastAsia="仿宋_GB2312"/>
          <w:sz w:val="32"/>
          <w:szCs w:val="32"/>
        </w:rPr>
        <w:t>分</w:t>
      </w:r>
      <w:r>
        <w:rPr>
          <w:rFonts w:ascii="仿宋_GB2312" w:hAnsi="仿宋" w:eastAsia="仿宋_GB2312"/>
          <w:sz w:val="32"/>
          <w:szCs w:val="32"/>
        </w:rPr>
        <w:t>/</w:t>
      </w:r>
      <w:r>
        <w:rPr>
          <w:rFonts w:hint="eastAsia" w:ascii="仿宋_GB2312" w:hAnsi="仿宋" w:eastAsia="仿宋_GB2312"/>
          <w:sz w:val="32"/>
          <w:szCs w:val="32"/>
        </w:rPr>
        <w:t xml:space="preserve">题）。本模块比赛采用机考形式，选手独立答题，竞赛时间 </w:t>
      </w:r>
      <w:r>
        <w:rPr>
          <w:rFonts w:ascii="仿宋_GB2312" w:hAnsi="仿宋" w:eastAsia="仿宋_GB2312"/>
          <w:sz w:val="32"/>
          <w:szCs w:val="32"/>
        </w:rPr>
        <w:t xml:space="preserve">60 </w:t>
      </w:r>
      <w:r>
        <w:rPr>
          <w:rFonts w:hint="eastAsia" w:ascii="仿宋_GB2312" w:hAnsi="仿宋" w:eastAsia="仿宋_GB2312"/>
          <w:sz w:val="32"/>
          <w:szCs w:val="32"/>
        </w:rPr>
        <w:t>分钟。</w:t>
      </w:r>
      <w:r>
        <w:rPr>
          <w:rFonts w:hint="eastAsia" w:eastAsia="仿宋_GB2312"/>
          <w:sz w:val="32"/>
          <w:szCs w:val="32"/>
        </w:rPr>
        <w:t>考题由计算机根据命题范围从题库中随机生成，选手考核成绩由计算机评分系统自动生成。</w:t>
      </w:r>
    </w:p>
    <w:p>
      <w:pPr>
        <w:adjustRightInd w:val="0"/>
        <w:snapToGrid w:val="0"/>
        <w:spacing w:line="560" w:lineRule="exact"/>
        <w:ind w:left="560"/>
        <w:jc w:val="left"/>
        <w:rPr>
          <w:rFonts w:hint="eastAsia" w:eastAsia="仿宋_GB2312"/>
          <w:sz w:val="28"/>
          <w:szCs w:val="28"/>
        </w:rPr>
      </w:pPr>
      <w:r>
        <w:rPr>
          <w:rFonts w:hint="eastAsia" w:eastAsia="仿宋_GB2312"/>
          <w:sz w:val="32"/>
          <w:szCs w:val="32"/>
        </w:rPr>
        <w:t>3</w:t>
      </w:r>
      <w:r>
        <w:rPr>
          <w:rFonts w:eastAsia="仿宋_GB2312"/>
          <w:sz w:val="32"/>
          <w:szCs w:val="32"/>
        </w:rPr>
        <w:t>.</w:t>
      </w:r>
      <w:r>
        <w:rPr>
          <w:rFonts w:hint="eastAsia" w:eastAsia="仿宋_GB2312"/>
          <w:sz w:val="32"/>
          <w:szCs w:val="32"/>
        </w:rPr>
        <w:t>考核样题（如表</w:t>
      </w:r>
      <w:r>
        <w:rPr>
          <w:rFonts w:hint="eastAsia" w:eastAsia="仿宋_GB2312"/>
          <w:sz w:val="32"/>
          <w:szCs w:val="32"/>
          <w:lang w:val="en-US" w:eastAsia="zh-CN"/>
        </w:rPr>
        <w:t>6</w:t>
      </w:r>
      <w:r>
        <w:rPr>
          <w:rFonts w:hint="eastAsia" w:eastAsia="仿宋_GB2312"/>
          <w:sz w:val="32"/>
          <w:szCs w:val="32"/>
        </w:rPr>
        <w:t>）</w:t>
      </w:r>
    </w:p>
    <w:p>
      <w:pPr>
        <w:tabs>
          <w:tab w:val="left" w:pos="662"/>
        </w:tabs>
        <w:spacing w:before="156" w:beforeLines="50" w:after="156" w:afterLines="50"/>
        <w:jc w:val="center"/>
        <w:rPr>
          <w:rFonts w:hint="eastAsia" w:eastAsia="黑体" w:cs="黑体"/>
          <w:bCs/>
          <w:sz w:val="24"/>
        </w:rPr>
      </w:pPr>
      <w:r>
        <w:rPr>
          <w:rFonts w:hint="eastAsia" w:eastAsia="黑体" w:cs="黑体"/>
          <w:bCs/>
          <w:sz w:val="24"/>
        </w:rPr>
        <w:t>表</w:t>
      </w:r>
      <w:r>
        <w:rPr>
          <w:rFonts w:hint="eastAsia" w:eastAsia="黑体" w:cs="黑体"/>
          <w:bCs/>
          <w:sz w:val="24"/>
          <w:lang w:val="en-US" w:eastAsia="zh-CN"/>
        </w:rPr>
        <w:t>6</w:t>
      </w:r>
      <w:r>
        <w:rPr>
          <w:rFonts w:hint="eastAsia" w:eastAsia="黑体" w:cs="黑体"/>
          <w:bCs/>
          <w:sz w:val="24"/>
        </w:rPr>
        <w:t xml:space="preserve"> 现代化工HSE理论知识考核题（样题）</w:t>
      </w:r>
    </w:p>
    <w:tbl>
      <w:tblPr>
        <w:tblStyle w:val="14"/>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49"/>
        <w:gridCol w:w="4290"/>
        <w:gridCol w:w="214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编号</w:t>
            </w:r>
          </w:p>
        </w:tc>
        <w:tc>
          <w:tcPr>
            <w:tcW w:w="1249"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题目类型</w:t>
            </w:r>
          </w:p>
        </w:tc>
        <w:tc>
          <w:tcPr>
            <w:tcW w:w="4290"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题目内容</w:t>
            </w:r>
          </w:p>
        </w:tc>
        <w:tc>
          <w:tcPr>
            <w:tcW w:w="2148"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题目选项</w:t>
            </w:r>
          </w:p>
        </w:tc>
        <w:tc>
          <w:tcPr>
            <w:tcW w:w="1099" w:type="dxa"/>
            <w:noWrap w:val="0"/>
            <w:vAlign w:val="center"/>
          </w:tcPr>
          <w:p>
            <w:pPr>
              <w:keepNext w:val="0"/>
              <w:keepLines w:val="0"/>
              <w:suppressLineNumbers w:val="0"/>
              <w:spacing w:before="0" w:beforeAutospacing="0" w:after="0" w:afterAutospacing="0"/>
              <w:ind w:left="0" w:right="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题目答案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1249"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单选题</w:t>
            </w:r>
          </w:p>
        </w:tc>
        <w:tc>
          <w:tcPr>
            <w:tcW w:w="4290" w:type="dxa"/>
            <w:noWrap w:val="0"/>
            <w:vAlign w:val="center"/>
          </w:tcPr>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生产经营单位安全生产标准化工作采用"策划、实施、检查、(     )"动态循环的模式，结合自身的特点，建立并保持安全生产标准化系统；通过自我检查、自我纠正和自我完善，建立安全绩效持续改进的安全生产长效机制。</w:t>
            </w:r>
          </w:p>
        </w:tc>
        <w:tc>
          <w:tcPr>
            <w:tcW w:w="2148" w:type="dxa"/>
            <w:noWrap w:val="0"/>
            <w:vAlign w:val="center"/>
          </w:tcPr>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A.提高</w:t>
            </w:r>
          </w:p>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B.评优</w:t>
            </w:r>
          </w:p>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C.改进</w:t>
            </w:r>
          </w:p>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D.完善</w:t>
            </w:r>
          </w:p>
        </w:tc>
        <w:tc>
          <w:tcPr>
            <w:tcW w:w="1099"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1249"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多选题</w:t>
            </w:r>
          </w:p>
        </w:tc>
        <w:tc>
          <w:tcPr>
            <w:tcW w:w="4290" w:type="dxa"/>
            <w:noWrap w:val="0"/>
            <w:vAlign w:val="center"/>
          </w:tcPr>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乙炔瓶内气体严禁用尽，必须留有不低于0.05MPa的剩余压力的原因是(     )。</w:t>
            </w:r>
          </w:p>
        </w:tc>
        <w:tc>
          <w:tcPr>
            <w:tcW w:w="2148" w:type="dxa"/>
            <w:noWrap w:val="0"/>
            <w:vAlign w:val="center"/>
          </w:tcPr>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A.防止混入其他气体</w:t>
            </w:r>
          </w:p>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B.防止混入杂质</w:t>
            </w:r>
          </w:p>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C.防止压力过低</w:t>
            </w:r>
          </w:p>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D.防止压力过高</w:t>
            </w:r>
          </w:p>
        </w:tc>
        <w:tc>
          <w:tcPr>
            <w:tcW w:w="1099"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1249"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是非题</w:t>
            </w:r>
          </w:p>
        </w:tc>
        <w:tc>
          <w:tcPr>
            <w:tcW w:w="4290" w:type="dxa"/>
            <w:noWrap w:val="0"/>
            <w:vAlign w:val="center"/>
          </w:tcPr>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生产经营单位的应急预案由生产经营单位主要负责人签署公布后，再进行评审或者论证。</w:t>
            </w:r>
          </w:p>
        </w:tc>
        <w:tc>
          <w:tcPr>
            <w:tcW w:w="2148" w:type="dxa"/>
            <w:noWrap w:val="0"/>
            <w:vAlign w:val="center"/>
          </w:tcPr>
          <w:p>
            <w:pPr>
              <w:keepNext w:val="0"/>
              <w:keepLines w:val="0"/>
              <w:numPr>
                <w:ilvl w:val="0"/>
                <w:numId w:val="4"/>
              </w:numPr>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正确</w:t>
            </w:r>
          </w:p>
          <w:p>
            <w:pPr>
              <w:keepNext w:val="0"/>
              <w:keepLines w:val="0"/>
              <w:numPr>
                <w:ilvl w:val="0"/>
                <w:numId w:val="4"/>
              </w:numPr>
              <w:suppressLineNumbers w:val="0"/>
              <w:spacing w:before="0" w:beforeAutospacing="0" w:after="0" w:afterAutospacing="0"/>
              <w:ind w:left="0" w:right="0"/>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错误</w:t>
            </w:r>
          </w:p>
        </w:tc>
        <w:tc>
          <w:tcPr>
            <w:tcW w:w="1099" w:type="dxa"/>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B</w:t>
            </w:r>
          </w:p>
        </w:tc>
      </w:tr>
    </w:tbl>
    <w:p>
      <w:pPr>
        <w:widowControl/>
        <w:spacing w:line="560" w:lineRule="exact"/>
        <w:ind w:firstLine="640" w:firstLineChars="200"/>
        <w:rPr>
          <w:rFonts w:hint="eastAsia" w:eastAsia="楷体_GB2312" w:cs="楷体"/>
          <w:sz w:val="32"/>
          <w:szCs w:val="32"/>
        </w:rPr>
      </w:pPr>
      <w:r>
        <w:rPr>
          <w:rFonts w:hint="eastAsia" w:eastAsia="楷体_GB2312" w:cs="楷体"/>
          <w:sz w:val="32"/>
          <w:szCs w:val="32"/>
          <w:lang w:val="zh-TW" w:eastAsia="zh-TW"/>
        </w:rPr>
        <w:t>（二）化工过程安全分析技术</w:t>
      </w:r>
      <w:r>
        <w:rPr>
          <w:rFonts w:hint="eastAsia" w:eastAsia="楷体_GB2312" w:cs="楷体"/>
          <w:sz w:val="32"/>
          <w:szCs w:val="32"/>
        </w:rPr>
        <w:t>考核题</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 xml:space="preserve">1. 考核题目 </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①综合事故应急处置推演（三人联机操作）</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从典型化工生产工艺—精馏工艺、丙烯酸甲酯工艺、甲醇工艺、乙烯工艺、合成氨工艺的题库中按初级、中级、高级各抽取1道作为考核内容。</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②加氢反应单元过程安全分析（单人操作）</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随机抽取1道偏离分析作为考核内容。</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③加氢单元过程安全分析演练（单人操作）</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随机抽取1道偏离作为考核内容。</w:t>
      </w:r>
    </w:p>
    <w:p>
      <w:pPr>
        <w:adjustRightInd w:val="0"/>
        <w:snapToGrid w:val="0"/>
        <w:spacing w:line="560" w:lineRule="exact"/>
        <w:ind w:left="560"/>
        <w:jc w:val="left"/>
        <w:rPr>
          <w:rFonts w:hint="eastAsia" w:eastAsia="仿宋_GB2312"/>
          <w:sz w:val="32"/>
          <w:szCs w:val="32"/>
        </w:rPr>
      </w:pPr>
      <w:r>
        <w:rPr>
          <w:rFonts w:hint="eastAsia" w:eastAsia="仿宋_GB2312"/>
          <w:sz w:val="32"/>
          <w:szCs w:val="32"/>
        </w:rPr>
        <w:t>2</w:t>
      </w:r>
      <w:r>
        <w:rPr>
          <w:rFonts w:eastAsia="仿宋_GB2312"/>
          <w:sz w:val="32"/>
          <w:szCs w:val="32"/>
        </w:rPr>
        <w:t>.</w:t>
      </w:r>
      <w:r>
        <w:rPr>
          <w:rFonts w:hint="eastAsia" w:eastAsia="仿宋_GB2312"/>
          <w:sz w:val="32"/>
          <w:szCs w:val="32"/>
        </w:rPr>
        <w:t>考核内容</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①综合事故应急处置推演为3人联机操作，考核内容包括应急处置团队配合、应急处置指令发送、人为判断错误指令并驳回、灭火器使用、个人防护、心肺复苏及随机生成的健康、安全、环保情景分析题。</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②加氢反应单元过程安全分析为单人操作，每个选手均要完成，主要考核HAZOP分析主持思路、事故后果分析、原因查找、事故剧情搭建及保护措施分析、风险分析及建议措施补充。</w:t>
      </w:r>
    </w:p>
    <w:p>
      <w:pPr>
        <w:adjustRightInd w:val="0"/>
        <w:snapToGrid w:val="0"/>
        <w:spacing w:line="560" w:lineRule="exact"/>
        <w:ind w:firstLine="640" w:firstLineChars="200"/>
        <w:jc w:val="left"/>
        <w:rPr>
          <w:rFonts w:hint="eastAsia" w:eastAsia="仿宋_GB2312"/>
          <w:sz w:val="32"/>
          <w:szCs w:val="32"/>
        </w:rPr>
      </w:pPr>
      <w:r>
        <w:rPr>
          <w:rFonts w:hint="eastAsia" w:eastAsia="仿宋_GB2312"/>
          <w:sz w:val="32"/>
          <w:szCs w:val="32"/>
        </w:rPr>
        <w:t>③加氢单元过程安全分析演练为单人操作，每个选手均要完成，重点考核PID读图、事故剧情搭建、原因分析、后果判断、保护措施查找；风险计算并判断。</w:t>
      </w:r>
    </w:p>
    <w:p>
      <w:pPr>
        <w:adjustRightInd w:val="0"/>
        <w:snapToGrid w:val="0"/>
        <w:spacing w:line="560" w:lineRule="exact"/>
        <w:ind w:firstLine="640" w:firstLineChars="200"/>
        <w:jc w:val="left"/>
        <w:rPr>
          <w:rFonts w:eastAsia="仿宋_GB2312"/>
          <w:sz w:val="32"/>
          <w:szCs w:val="32"/>
        </w:rPr>
      </w:pPr>
      <w:r>
        <w:rPr>
          <w:rFonts w:hint="eastAsia" w:eastAsia="仿宋_GB2312"/>
          <w:sz w:val="32"/>
          <w:szCs w:val="32"/>
        </w:rPr>
        <w:t>3</w:t>
      </w:r>
      <w:r>
        <w:rPr>
          <w:rFonts w:eastAsia="仿宋_GB2312"/>
          <w:sz w:val="32"/>
          <w:szCs w:val="32"/>
        </w:rPr>
        <w:t>.</w:t>
      </w:r>
      <w:r>
        <w:rPr>
          <w:rFonts w:hint="eastAsia" w:eastAsia="仿宋_GB2312"/>
          <w:sz w:val="32"/>
          <w:szCs w:val="32"/>
        </w:rPr>
        <w:t>考核顺序及时间说明</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考核顺序为：3道综合事故应急处置推演考核、1道加氢反应单元过程安全分析考核、1道加氢反应单元过程安全分析演练考核。</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选手在60分钟内完成5题的考核，成绩由计算机自动判定。</w:t>
      </w:r>
    </w:p>
    <w:p>
      <w:pPr>
        <w:widowControl/>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每个综合事故应急处置推演题包括：①事故视频放映（对事故的发生及处置过程进行介绍）；②应急处置过程；</w:t>
      </w: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3 \* GB3 \* MERGEFORMAT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③</w:t>
      </w:r>
      <w:r>
        <w:rPr>
          <w:rFonts w:hint="eastAsia" w:ascii="仿宋_GB2312" w:hAnsi="仿宋" w:eastAsia="仿宋_GB2312"/>
          <w:sz w:val="32"/>
          <w:szCs w:val="32"/>
        </w:rPr>
        <w:fldChar w:fldCharType="end"/>
      </w:r>
      <w:r>
        <w:rPr>
          <w:rFonts w:hint="eastAsia" w:ascii="仿宋_GB2312" w:hAnsi="仿宋" w:eastAsia="仿宋_GB2312"/>
          <w:sz w:val="32"/>
          <w:szCs w:val="32"/>
        </w:rPr>
        <w:t>知识考核。</w:t>
      </w:r>
    </w:p>
    <w:p>
      <w:pPr>
        <w:widowControl/>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每个加氢反应单元过程安全分析题包括：①背景资料视频放映（对事故的发生及处置过程进行介绍）；②事故后果分析；</w:t>
      </w: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3 \* GB3 \* MERGEFORMAT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③</w:t>
      </w:r>
      <w:r>
        <w:rPr>
          <w:rFonts w:hint="eastAsia" w:ascii="仿宋_GB2312" w:hAnsi="仿宋" w:eastAsia="仿宋_GB2312"/>
          <w:sz w:val="32"/>
          <w:szCs w:val="32"/>
        </w:rPr>
        <w:fldChar w:fldCharType="end"/>
      </w:r>
      <w:r>
        <w:rPr>
          <w:rFonts w:hint="eastAsia" w:ascii="仿宋_GB2312" w:hAnsi="仿宋" w:eastAsia="仿宋_GB2312"/>
          <w:sz w:val="32"/>
          <w:szCs w:val="32"/>
        </w:rPr>
        <w:t>风险分析；</w:t>
      </w: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4 \* GB3 \* MERGEFORMAT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④</w:t>
      </w:r>
      <w:r>
        <w:rPr>
          <w:rFonts w:hint="eastAsia" w:ascii="仿宋_GB2312" w:hAnsi="仿宋" w:eastAsia="仿宋_GB2312"/>
          <w:sz w:val="32"/>
          <w:szCs w:val="32"/>
        </w:rPr>
        <w:fldChar w:fldCharType="end"/>
      </w:r>
      <w:r>
        <w:rPr>
          <w:rFonts w:hint="eastAsia" w:ascii="仿宋_GB2312" w:hAnsi="仿宋" w:eastAsia="仿宋_GB2312"/>
          <w:sz w:val="32"/>
          <w:szCs w:val="32"/>
        </w:rPr>
        <w:t>HAZOP表审核。</w:t>
      </w:r>
    </w:p>
    <w:p>
      <w:pPr>
        <w:widowControl/>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每个加氢反应单元过程安全分析演练题包括：①偏离原因分析；②偏离后果分析；</w:t>
      </w: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3 \* GB3 \* MERGEFORMAT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③</w:t>
      </w:r>
      <w:r>
        <w:rPr>
          <w:rFonts w:hint="eastAsia" w:ascii="仿宋_GB2312" w:hAnsi="仿宋" w:eastAsia="仿宋_GB2312"/>
          <w:sz w:val="32"/>
          <w:szCs w:val="32"/>
        </w:rPr>
        <w:fldChar w:fldCharType="end"/>
      </w:r>
      <w:r>
        <w:rPr>
          <w:rFonts w:hint="eastAsia" w:ascii="仿宋_GB2312" w:hAnsi="仿宋" w:eastAsia="仿宋_GB2312"/>
          <w:sz w:val="32"/>
          <w:szCs w:val="32"/>
        </w:rPr>
        <w:t>添加保护措施；</w:t>
      </w: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4 \* GB3 \* MERGEFORMAT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④</w:t>
      </w:r>
      <w:r>
        <w:rPr>
          <w:rFonts w:hint="eastAsia" w:ascii="仿宋_GB2312" w:hAnsi="仿宋" w:eastAsia="仿宋_GB2312"/>
          <w:sz w:val="32"/>
          <w:szCs w:val="32"/>
        </w:rPr>
        <w:fldChar w:fldCharType="end"/>
      </w:r>
      <w:r>
        <w:rPr>
          <w:rFonts w:hint="eastAsia" w:ascii="仿宋_GB2312" w:hAnsi="仿宋" w:eastAsia="仿宋_GB2312"/>
          <w:sz w:val="32"/>
          <w:szCs w:val="32"/>
        </w:rPr>
        <w:t>事故剧情搭建及结果审核。</w:t>
      </w:r>
      <w:bookmarkStart w:id="0" w:name="_Toc135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sz w:val="32"/>
          <w:szCs w:val="32"/>
        </w:rPr>
      </w:pPr>
      <w:r>
        <w:rPr>
          <w:rFonts w:hint="eastAsia" w:eastAsia="仿宋_GB2312"/>
          <w:sz w:val="32"/>
          <w:szCs w:val="32"/>
        </w:rPr>
        <w:t>4.组卷形式</w:t>
      </w:r>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为了保证考核难度相对一致，参赛队伍分别从初、中、高三种难度的事故应急处置推演题中各抽取一道题目，每个事故应急处置推演题在特定情节处会出现提问环节，以选择题的形式答题；从加氢反应单元过程安全分析和加氢反应单元过程安全分析演练中各抽取一道题。</w:t>
      </w:r>
    </w:p>
    <w:p>
      <w:pPr>
        <w:widowControl/>
        <w:spacing w:line="560" w:lineRule="exact"/>
        <w:ind w:firstLine="640" w:firstLineChars="200"/>
        <w:rPr>
          <w:rFonts w:hint="eastAsia" w:eastAsia="楷体_GB2312" w:cs="楷体"/>
          <w:sz w:val="32"/>
          <w:szCs w:val="32"/>
          <w:lang w:val="zh-TW" w:eastAsia="zh-TW"/>
        </w:rPr>
      </w:pPr>
      <w:r>
        <w:rPr>
          <w:rFonts w:hint="eastAsia" w:eastAsia="楷体_GB2312" w:cs="楷体"/>
          <w:sz w:val="32"/>
          <w:szCs w:val="32"/>
          <w:lang w:val="zh-TW" w:eastAsia="zh-TW"/>
        </w:rPr>
        <w:t>（三）化工生产应急处置技能</w:t>
      </w:r>
      <w:r>
        <w:rPr>
          <w:rFonts w:hint="eastAsia" w:eastAsia="楷体_GB2312" w:cs="楷体"/>
          <w:sz w:val="32"/>
          <w:szCs w:val="32"/>
        </w:rPr>
        <w:t>样</w:t>
      </w:r>
      <w:r>
        <w:rPr>
          <w:rFonts w:hint="eastAsia" w:eastAsia="楷体_GB2312" w:cs="楷体"/>
          <w:sz w:val="32"/>
          <w:szCs w:val="32"/>
          <w:lang w:val="zh-TW" w:eastAsia="zh-TW"/>
        </w:rPr>
        <w:t>题</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1.考核方式及内容</w:t>
      </w:r>
    </w:p>
    <w:p>
      <w:pPr>
        <w:widowControl/>
        <w:spacing w:line="56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现场抽签从</w:t>
      </w:r>
      <w:r>
        <w:rPr>
          <w:rFonts w:hint="eastAsia" w:ascii="仿宋_GB2312" w:hAnsi="仿宋" w:eastAsia="仿宋_GB2312" w:cs="Times New Roman"/>
          <w:sz w:val="32"/>
          <w:szCs w:val="32"/>
          <w:lang w:val="en-US" w:eastAsia="zh-CN"/>
        </w:rPr>
        <w:t>PVC聚合</w:t>
      </w:r>
      <w:r>
        <w:rPr>
          <w:rFonts w:hint="eastAsia" w:ascii="仿宋_GB2312" w:hAnsi="仿宋" w:eastAsia="仿宋_GB2312" w:cs="Times New Roman"/>
          <w:sz w:val="32"/>
          <w:szCs w:val="32"/>
        </w:rPr>
        <w:t>工艺</w:t>
      </w:r>
      <w:r>
        <w:rPr>
          <w:rFonts w:hint="eastAsia" w:ascii="仿宋_GB2312" w:hAnsi="仿宋" w:eastAsia="仿宋_GB2312"/>
          <w:sz w:val="32"/>
          <w:szCs w:val="32"/>
        </w:rPr>
        <w:t>、柴油加氢工艺、煤制甲醇工艺3种危险化工工艺</w:t>
      </w:r>
      <w:r>
        <w:rPr>
          <w:rFonts w:hint="eastAsia" w:ascii="仿宋_GB2312" w:hAnsi="仿宋" w:eastAsia="仿宋_GB2312"/>
          <w:sz w:val="32"/>
          <w:szCs w:val="32"/>
          <w:highlight w:val="none"/>
        </w:rPr>
        <w:t>的产品工艺试题库中抽取2个事故考题，</w:t>
      </w:r>
      <w:r>
        <w:rPr>
          <w:rFonts w:hint="eastAsia" w:ascii="仿宋_GB2312" w:hAnsi="仿宋" w:eastAsia="仿宋_GB2312"/>
          <w:sz w:val="32"/>
          <w:szCs w:val="32"/>
        </w:rPr>
        <w:t>考核题型比例：A类题和B类题各</w:t>
      </w:r>
      <w:r>
        <w:rPr>
          <w:rFonts w:hint="eastAsia" w:ascii="仿宋_GB2312" w:hAnsi="仿宋" w:eastAsia="仿宋_GB2312"/>
          <w:sz w:val="32"/>
          <w:szCs w:val="32"/>
          <w:lang w:val="en-US" w:eastAsia="zh-CN"/>
        </w:rPr>
        <w:t>1</w:t>
      </w:r>
      <w:r>
        <w:rPr>
          <w:rFonts w:hint="eastAsia" w:ascii="仿宋_GB2312" w:hAnsi="仿宋" w:eastAsia="仿宋_GB2312"/>
          <w:sz w:val="32"/>
          <w:szCs w:val="32"/>
        </w:rPr>
        <w:t>道</w:t>
      </w:r>
      <w:r>
        <w:rPr>
          <w:rFonts w:hint="eastAsia" w:ascii="仿宋_GB2312" w:hAnsi="仿宋" w:eastAsia="仿宋_GB2312"/>
          <w:sz w:val="32"/>
          <w:szCs w:val="32"/>
          <w:lang w:val="en-US" w:eastAsia="zh-CN"/>
        </w:rPr>
        <w:t>题</w:t>
      </w:r>
      <w:r>
        <w:rPr>
          <w:rFonts w:hint="eastAsia" w:ascii="仿宋_GB2312" w:hAnsi="仿宋" w:eastAsia="仿宋_GB2312"/>
          <w:sz w:val="32"/>
          <w:szCs w:val="32"/>
          <w:lang w:eastAsia="zh-CN"/>
        </w:rPr>
        <w:t>。</w:t>
      </w:r>
    </w:p>
    <w:p>
      <w:pPr>
        <w:widowControl/>
        <w:spacing w:line="560" w:lineRule="exact"/>
        <w:ind w:firstLine="640" w:firstLineChars="200"/>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rPr>
        <w:t>A类题为：三个工艺的中毒事故处置以及对应的隐患排查、交接班任务。</w:t>
      </w:r>
      <w:r>
        <w:rPr>
          <w:rFonts w:hint="eastAsia" w:ascii="仿宋_GB2312" w:hAnsi="仿宋" w:eastAsia="仿宋_GB2312" w:cs="Times New Roman"/>
          <w:sz w:val="32"/>
          <w:szCs w:val="32"/>
        </w:rPr>
        <w:br w:type="textWrapping"/>
      </w:r>
      <w:r>
        <w:rPr>
          <w:rFonts w:hint="eastAsia" w:ascii="仿宋_GB2312" w:hAnsi="仿宋" w:eastAsia="仿宋_GB2312" w:cs="Times New Roman"/>
          <w:sz w:val="32"/>
          <w:szCs w:val="32"/>
          <w:lang w:val="en-US" w:eastAsia="zh-CN"/>
        </w:rPr>
        <w:t xml:space="preserve">    </w:t>
      </w:r>
      <w:r>
        <w:rPr>
          <w:rFonts w:hint="eastAsia" w:ascii="仿宋_GB2312" w:hAnsi="仿宋" w:eastAsia="仿宋_GB2312" w:cs="Times New Roman"/>
          <w:sz w:val="32"/>
          <w:szCs w:val="32"/>
        </w:rPr>
        <w:t>B类题为：三个工艺的着火事故、泄漏事故、超温超压事故处置。</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竞赛队伍选手自行确定内操、班长、外操岗位，并在60分钟内完成作业。主要考核竞赛选手的隐患排查和初期事故处置能力，装置操作由计算机自动记录评分，考核过程中队员的个体防护、规范操作和安全文明生产等情况由裁判跟踪评分。</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2.考核样题</w:t>
      </w:r>
    </w:p>
    <w:p>
      <w:pPr>
        <w:widowControl/>
        <w:spacing w:line="560" w:lineRule="exact"/>
        <w:ind w:firstLine="640" w:firstLineChars="200"/>
        <w:rPr>
          <w:rFonts w:hint="eastAsia" w:ascii="仿宋_GB2312" w:hAnsi="仿宋" w:eastAsia="仿宋_GB2312"/>
          <w:sz w:val="32"/>
          <w:szCs w:val="32"/>
        </w:rPr>
      </w:pPr>
      <w:bookmarkStart w:id="1" w:name="_Toc16124"/>
      <w:bookmarkStart w:id="2" w:name="_Toc29869"/>
      <w:r>
        <w:rPr>
          <w:rFonts w:hint="eastAsia" w:ascii="仿宋_GB2312" w:hAnsi="仿宋" w:eastAsia="仿宋_GB2312"/>
          <w:sz w:val="32"/>
          <w:szCs w:val="32"/>
        </w:rPr>
        <w:t>（1）</w:t>
      </w:r>
      <w:bookmarkEnd w:id="1"/>
      <w:bookmarkEnd w:id="2"/>
      <w:r>
        <w:rPr>
          <w:rFonts w:hint="eastAsia" w:ascii="仿宋_GB2312" w:hAnsi="仿宋" w:eastAsia="仿宋_GB2312"/>
          <w:sz w:val="32"/>
          <w:szCs w:val="32"/>
        </w:rPr>
        <w:t>A类题</w:t>
      </w:r>
    </w:p>
    <w:p>
      <w:pPr>
        <w:widowControl/>
        <w:spacing w:line="560" w:lineRule="exact"/>
        <w:ind w:firstLine="640" w:firstLineChars="200"/>
        <w:rPr>
          <w:rFonts w:hint="eastAsia" w:ascii="仿宋_GB2312" w:hAnsi="仿宋" w:eastAsia="仿宋_GB2312"/>
          <w:sz w:val="32"/>
          <w:szCs w:val="32"/>
        </w:rPr>
      </w:pPr>
      <w:bookmarkStart w:id="3" w:name="_Toc29970"/>
      <w:bookmarkStart w:id="4" w:name="_Toc12097"/>
      <w:bookmarkStart w:id="5" w:name="_Toc16134"/>
      <w:r>
        <w:rPr>
          <w:rFonts w:hint="eastAsia" w:ascii="仿宋_GB2312" w:hAnsi="仿宋" w:eastAsia="仿宋_GB2312"/>
          <w:sz w:val="32"/>
          <w:szCs w:val="32"/>
        </w:rPr>
        <w:t>① 隐患排查</w:t>
      </w:r>
      <w:bookmarkEnd w:id="3"/>
      <w:bookmarkEnd w:id="4"/>
      <w:bookmarkEnd w:id="5"/>
    </w:p>
    <w:p>
      <w:pPr>
        <w:spacing w:line="360" w:lineRule="auto"/>
        <w:ind w:firstLine="640" w:firstLineChars="200"/>
        <w:rPr>
          <w:rFonts w:hint="eastAsia" w:ascii="仿宋" w:hAnsi="仿宋" w:eastAsia="仿宋" w:cs="仿宋"/>
          <w:sz w:val="28"/>
          <w:szCs w:val="28"/>
          <w:lang w:bidi="ar"/>
        </w:rPr>
      </w:pPr>
      <w:r>
        <w:rPr>
          <w:rFonts w:hint="eastAsia" w:ascii="仿宋" w:hAnsi="仿宋" w:eastAsia="仿宋" w:cs="仿宋"/>
          <w:sz w:val="32"/>
          <w:szCs w:val="32"/>
          <w:lang w:bidi="ar"/>
        </w:rPr>
        <w:t>此项共有五个安全隐患与整改的任务。均需完成整改。</w:t>
      </w:r>
    </w:p>
    <w:p>
      <w:pPr>
        <w:spacing w:line="360" w:lineRule="auto"/>
        <w:jc w:val="center"/>
        <w:rPr>
          <w:rFonts w:hint="default" w:ascii="仿宋" w:hAnsi="仿宋" w:eastAsia="黑体" w:cs="仿宋"/>
          <w:sz w:val="28"/>
          <w:szCs w:val="28"/>
          <w:lang w:val="en-US" w:eastAsia="zh-CN" w:bidi="ar"/>
        </w:rPr>
      </w:pPr>
      <w:r>
        <w:rPr>
          <w:rFonts w:hint="eastAsia" w:eastAsia="黑体" w:cs="黑体"/>
          <w:bCs/>
          <w:sz w:val="24"/>
        </w:rPr>
        <w:t>表</w:t>
      </w:r>
      <w:r>
        <w:rPr>
          <w:rFonts w:hint="eastAsia" w:eastAsia="黑体" w:cs="黑体"/>
          <w:bCs/>
          <w:sz w:val="24"/>
          <w:lang w:val="en-US" w:eastAsia="zh-CN"/>
        </w:rPr>
        <w:t>7 隐患排查样题</w:t>
      </w:r>
    </w:p>
    <w:tbl>
      <w:tblPr>
        <w:tblStyle w:val="14"/>
        <w:tblW w:w="4998" w:type="pct"/>
        <w:tblInd w:w="0" w:type="dxa"/>
        <w:tblLayout w:type="autofit"/>
        <w:tblCellMar>
          <w:top w:w="0" w:type="dxa"/>
          <w:left w:w="108" w:type="dxa"/>
          <w:bottom w:w="0" w:type="dxa"/>
          <w:right w:w="108" w:type="dxa"/>
        </w:tblCellMar>
      </w:tblPr>
      <w:tblGrid>
        <w:gridCol w:w="778"/>
        <w:gridCol w:w="4173"/>
        <w:gridCol w:w="3716"/>
        <w:gridCol w:w="843"/>
      </w:tblGrid>
      <w:tr>
        <w:tblPrEx>
          <w:tblCellMar>
            <w:top w:w="0" w:type="dxa"/>
            <w:left w:w="108" w:type="dxa"/>
            <w:bottom w:w="0" w:type="dxa"/>
            <w:right w:w="108" w:type="dxa"/>
          </w:tblCellMar>
        </w:tblPrEx>
        <w:trPr>
          <w:trHeight w:val="465" w:hRule="atLeast"/>
        </w:trPr>
        <w:tc>
          <w:tcPr>
            <w:tcW w:w="4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序号</w:t>
            </w:r>
          </w:p>
        </w:tc>
        <w:tc>
          <w:tcPr>
            <w:tcW w:w="21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安全隐患名称</w:t>
            </w:r>
          </w:p>
        </w:tc>
        <w:tc>
          <w:tcPr>
            <w:tcW w:w="19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处理方法</w:t>
            </w:r>
          </w:p>
        </w:tc>
        <w:tc>
          <w:tcPr>
            <w:tcW w:w="44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 xml:space="preserve">数量 </w:t>
            </w:r>
          </w:p>
        </w:tc>
      </w:tr>
      <w:tr>
        <w:tblPrEx>
          <w:tblCellMar>
            <w:top w:w="0" w:type="dxa"/>
            <w:left w:w="108" w:type="dxa"/>
            <w:bottom w:w="0" w:type="dxa"/>
            <w:right w:w="108" w:type="dxa"/>
          </w:tblCellMar>
        </w:tblPrEx>
        <w:trPr>
          <w:trHeight w:val="405" w:hRule="atLeast"/>
        </w:trPr>
        <w:tc>
          <w:tcPr>
            <w:tcW w:w="409"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1</w:t>
            </w:r>
          </w:p>
        </w:tc>
        <w:tc>
          <w:tcPr>
            <w:tcW w:w="219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消防器材不规范</w:t>
            </w:r>
          </w:p>
        </w:tc>
        <w:tc>
          <w:tcPr>
            <w:tcW w:w="195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检查并恢复</w:t>
            </w:r>
          </w:p>
        </w:tc>
        <w:tc>
          <w:tcPr>
            <w:tcW w:w="44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2</w:t>
            </w:r>
          </w:p>
        </w:tc>
      </w:tr>
      <w:tr>
        <w:tblPrEx>
          <w:tblCellMar>
            <w:top w:w="0" w:type="dxa"/>
            <w:left w:w="108" w:type="dxa"/>
            <w:bottom w:w="0" w:type="dxa"/>
            <w:right w:w="108" w:type="dxa"/>
          </w:tblCellMar>
        </w:tblPrEx>
        <w:trPr>
          <w:trHeight w:val="405" w:hRule="atLeast"/>
        </w:trPr>
        <w:tc>
          <w:tcPr>
            <w:tcW w:w="409"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2</w:t>
            </w:r>
          </w:p>
        </w:tc>
        <w:tc>
          <w:tcPr>
            <w:tcW w:w="219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工具的随处摆放</w:t>
            </w:r>
          </w:p>
        </w:tc>
        <w:tc>
          <w:tcPr>
            <w:tcW w:w="195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放回器防柜</w:t>
            </w:r>
          </w:p>
        </w:tc>
        <w:tc>
          <w:tcPr>
            <w:tcW w:w="44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2</w:t>
            </w:r>
          </w:p>
        </w:tc>
      </w:tr>
      <w:tr>
        <w:tblPrEx>
          <w:tblCellMar>
            <w:top w:w="0" w:type="dxa"/>
            <w:left w:w="108" w:type="dxa"/>
            <w:bottom w:w="0" w:type="dxa"/>
            <w:right w:w="108" w:type="dxa"/>
          </w:tblCellMar>
        </w:tblPrEx>
        <w:trPr>
          <w:trHeight w:val="405" w:hRule="atLeast"/>
        </w:trPr>
        <w:tc>
          <w:tcPr>
            <w:tcW w:w="409"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w:t>
            </w:r>
          </w:p>
        </w:tc>
        <w:tc>
          <w:tcPr>
            <w:tcW w:w="219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设备未按规定接地</w:t>
            </w:r>
          </w:p>
        </w:tc>
        <w:tc>
          <w:tcPr>
            <w:tcW w:w="195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检查并恢复</w:t>
            </w:r>
          </w:p>
        </w:tc>
        <w:tc>
          <w:tcPr>
            <w:tcW w:w="44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highlight w:val="none"/>
                <w:lang w:bidi="ar"/>
              </w:rPr>
              <w:t>13</w:t>
            </w:r>
          </w:p>
        </w:tc>
      </w:tr>
      <w:tr>
        <w:tblPrEx>
          <w:tblCellMar>
            <w:top w:w="0" w:type="dxa"/>
            <w:left w:w="108" w:type="dxa"/>
            <w:bottom w:w="0" w:type="dxa"/>
            <w:right w:w="108" w:type="dxa"/>
          </w:tblCellMar>
        </w:tblPrEx>
        <w:trPr>
          <w:trHeight w:val="405" w:hRule="atLeast"/>
        </w:trPr>
        <w:tc>
          <w:tcPr>
            <w:tcW w:w="409"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4</w:t>
            </w:r>
          </w:p>
        </w:tc>
        <w:tc>
          <w:tcPr>
            <w:tcW w:w="219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现场杂物</w:t>
            </w:r>
          </w:p>
        </w:tc>
        <w:tc>
          <w:tcPr>
            <w:tcW w:w="195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放回指定位置</w:t>
            </w:r>
          </w:p>
        </w:tc>
        <w:tc>
          <w:tcPr>
            <w:tcW w:w="44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1</w:t>
            </w:r>
          </w:p>
        </w:tc>
      </w:tr>
      <w:tr>
        <w:tblPrEx>
          <w:tblCellMar>
            <w:top w:w="0" w:type="dxa"/>
            <w:left w:w="108" w:type="dxa"/>
            <w:bottom w:w="0" w:type="dxa"/>
            <w:right w:w="108" w:type="dxa"/>
          </w:tblCellMar>
        </w:tblPrEx>
        <w:trPr>
          <w:trHeight w:val="405" w:hRule="atLeast"/>
        </w:trPr>
        <w:tc>
          <w:tcPr>
            <w:tcW w:w="409"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w:t>
            </w:r>
          </w:p>
        </w:tc>
        <w:tc>
          <w:tcPr>
            <w:tcW w:w="219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安全附件异常</w:t>
            </w:r>
          </w:p>
        </w:tc>
        <w:tc>
          <w:tcPr>
            <w:tcW w:w="195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现场恢复</w:t>
            </w:r>
          </w:p>
        </w:tc>
        <w:tc>
          <w:tcPr>
            <w:tcW w:w="443" w:type="pc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bidi="ar"/>
              </w:rPr>
              <w:t>2</w:t>
            </w:r>
          </w:p>
        </w:tc>
      </w:tr>
    </w:tbl>
    <w:p>
      <w:pPr>
        <w:widowControl/>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②交接班</w:t>
      </w:r>
    </w:p>
    <w:p>
      <w:pPr>
        <w:widowControl/>
        <w:spacing w:line="560" w:lineRule="exact"/>
        <w:jc w:val="center"/>
        <w:rPr>
          <w:rFonts w:hint="eastAsia" w:ascii="Times New Roman" w:hAnsi="Times New Roman" w:eastAsia="黑体" w:cs="黑体"/>
          <w:bCs/>
          <w:sz w:val="24"/>
          <w:lang w:val="en-US" w:eastAsia="zh-CN"/>
        </w:rPr>
      </w:pPr>
      <w:r>
        <w:rPr>
          <w:rFonts w:hint="eastAsia" w:ascii="Times New Roman" w:hAnsi="Times New Roman" w:eastAsia="黑体" w:cs="黑体"/>
          <w:bCs/>
          <w:sz w:val="24"/>
          <w:lang w:val="en-US" w:eastAsia="zh-CN"/>
        </w:rPr>
        <w:t>表8  交接班样题——以PVC聚合工艺交接班为例</w:t>
      </w:r>
    </w:p>
    <w:tbl>
      <w:tblPr>
        <w:tblStyle w:val="14"/>
        <w:tblW w:w="5066" w:type="pct"/>
        <w:tblInd w:w="-131" w:type="dxa"/>
        <w:tblLayout w:type="autofit"/>
        <w:tblCellMar>
          <w:top w:w="0" w:type="dxa"/>
          <w:left w:w="108" w:type="dxa"/>
          <w:bottom w:w="0" w:type="dxa"/>
          <w:right w:w="108" w:type="dxa"/>
        </w:tblCellMar>
      </w:tblPr>
      <w:tblGrid>
        <w:gridCol w:w="657"/>
        <w:gridCol w:w="1001"/>
        <w:gridCol w:w="1205"/>
        <w:gridCol w:w="1280"/>
        <w:gridCol w:w="1309"/>
        <w:gridCol w:w="1803"/>
        <w:gridCol w:w="2385"/>
      </w:tblGrid>
      <w:tr>
        <w:tblPrEx>
          <w:tblCellMar>
            <w:top w:w="0" w:type="dxa"/>
            <w:left w:w="108" w:type="dxa"/>
            <w:bottom w:w="0" w:type="dxa"/>
            <w:right w:w="108" w:type="dxa"/>
          </w:tblCellMar>
        </w:tblPrEx>
        <w:trPr>
          <w:trHeight w:val="795"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描述：在化工企业班组间的交接工作是日常工作中重要的一个环节，本环节要求三组学员各自完成相应的工作，其中班长完成重大危险源相关内容，外操完成现场装置巡查相关内容，内操完成不正常工艺参数的调整</w:t>
            </w:r>
          </w:p>
        </w:tc>
      </w:tr>
      <w:tr>
        <w:tblPrEx>
          <w:tblCellMar>
            <w:top w:w="0" w:type="dxa"/>
            <w:left w:w="108" w:type="dxa"/>
            <w:bottom w:w="0" w:type="dxa"/>
            <w:right w:w="108" w:type="dxa"/>
          </w:tblCellMar>
        </w:tblPrEx>
        <w:trPr>
          <w:trHeight w:val="660" w:hRule="atLeast"/>
        </w:trPr>
        <w:tc>
          <w:tcPr>
            <w:tcW w:w="341"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序号</w:t>
            </w:r>
          </w:p>
        </w:tc>
        <w:tc>
          <w:tcPr>
            <w:tcW w:w="519"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工作内容</w:t>
            </w:r>
          </w:p>
        </w:tc>
        <w:tc>
          <w:tcPr>
            <w:tcW w:w="62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操作项目</w:t>
            </w:r>
          </w:p>
        </w:tc>
        <w:tc>
          <w:tcPr>
            <w:tcW w:w="6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项目</w:t>
            </w:r>
          </w:p>
        </w:tc>
        <w:tc>
          <w:tcPr>
            <w:tcW w:w="679"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分工</w:t>
            </w:r>
          </w:p>
        </w:tc>
        <w:tc>
          <w:tcPr>
            <w:tcW w:w="93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项目内容</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具体内容</w:t>
            </w:r>
          </w:p>
        </w:tc>
      </w:tr>
      <w:tr>
        <w:tblPrEx>
          <w:tblCellMar>
            <w:top w:w="0" w:type="dxa"/>
            <w:left w:w="108" w:type="dxa"/>
            <w:bottom w:w="0" w:type="dxa"/>
            <w:right w:w="108" w:type="dxa"/>
          </w:tblCellMar>
        </w:tblPrEx>
        <w:trPr>
          <w:trHeight w:val="495" w:hRule="atLeast"/>
        </w:trPr>
        <w:tc>
          <w:tcPr>
            <w:tcW w:w="341"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1</w:t>
            </w:r>
          </w:p>
        </w:tc>
        <w:tc>
          <w:tcPr>
            <w:tcW w:w="519"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接班工作内容</w:t>
            </w:r>
          </w:p>
        </w:tc>
        <w:tc>
          <w:tcPr>
            <w:tcW w:w="62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重大危险源管理</w:t>
            </w:r>
          </w:p>
        </w:tc>
        <w:tc>
          <w:tcPr>
            <w:tcW w:w="66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危险化学品周知卡</w:t>
            </w:r>
          </w:p>
        </w:tc>
        <w:tc>
          <w:tcPr>
            <w:tcW w:w="679"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班长（M）</w:t>
            </w:r>
          </w:p>
        </w:tc>
        <w:tc>
          <w:tcPr>
            <w:tcW w:w="93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氯乙烯周知卡</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见附件</w:t>
            </w:r>
          </w:p>
        </w:tc>
      </w:tr>
      <w:tr>
        <w:tblPrEx>
          <w:tblCellMar>
            <w:top w:w="0" w:type="dxa"/>
            <w:left w:w="108" w:type="dxa"/>
            <w:bottom w:w="0" w:type="dxa"/>
            <w:right w:w="108" w:type="dxa"/>
          </w:tblCellMar>
        </w:tblPrEx>
        <w:trPr>
          <w:trHeight w:val="49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聚氯乙烯周知卡</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见附件</w:t>
            </w:r>
          </w:p>
        </w:tc>
      </w:tr>
      <w:tr>
        <w:tblPrEx>
          <w:tblCellMar>
            <w:top w:w="0" w:type="dxa"/>
            <w:left w:w="108" w:type="dxa"/>
            <w:bottom w:w="0" w:type="dxa"/>
            <w:right w:w="108" w:type="dxa"/>
          </w:tblCellMar>
        </w:tblPrEx>
        <w:trPr>
          <w:trHeight w:val="49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重大危险源安全警示牌</w:t>
            </w: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禁止标志</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禁止烟火</w:t>
            </w:r>
          </w:p>
        </w:tc>
      </w:tr>
      <w:tr>
        <w:tblPrEx>
          <w:tblCellMar>
            <w:top w:w="0" w:type="dxa"/>
            <w:left w:w="108" w:type="dxa"/>
            <w:bottom w:w="0" w:type="dxa"/>
            <w:right w:w="108" w:type="dxa"/>
          </w:tblCellMar>
        </w:tblPrEx>
        <w:trPr>
          <w:trHeight w:val="49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禁止吸烟</w:t>
            </w:r>
          </w:p>
        </w:tc>
      </w:tr>
      <w:tr>
        <w:tblPrEx>
          <w:tblCellMar>
            <w:top w:w="0" w:type="dxa"/>
            <w:left w:w="108" w:type="dxa"/>
            <w:bottom w:w="0" w:type="dxa"/>
            <w:right w:w="108" w:type="dxa"/>
          </w:tblCellMar>
        </w:tblPrEx>
        <w:trPr>
          <w:trHeight w:val="13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禁止穿化纤服装</w:t>
            </w:r>
          </w:p>
        </w:tc>
      </w:tr>
      <w:tr>
        <w:tblPrEx>
          <w:tblCellMar>
            <w:top w:w="0" w:type="dxa"/>
            <w:left w:w="108" w:type="dxa"/>
            <w:bottom w:w="0" w:type="dxa"/>
            <w:right w:w="108" w:type="dxa"/>
          </w:tblCellMar>
        </w:tblPrEx>
        <w:trPr>
          <w:trHeight w:val="367"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警示标志</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当心烫伤</w:t>
            </w:r>
          </w:p>
        </w:tc>
      </w:tr>
      <w:tr>
        <w:tblPrEx>
          <w:tblCellMar>
            <w:top w:w="0" w:type="dxa"/>
            <w:left w:w="108" w:type="dxa"/>
            <w:bottom w:w="0" w:type="dxa"/>
            <w:right w:w="108" w:type="dxa"/>
          </w:tblCellMar>
        </w:tblPrEx>
        <w:trPr>
          <w:trHeight w:val="131"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当心中毒</w:t>
            </w:r>
          </w:p>
        </w:tc>
      </w:tr>
      <w:tr>
        <w:tblPrEx>
          <w:tblCellMar>
            <w:top w:w="0" w:type="dxa"/>
            <w:left w:w="108" w:type="dxa"/>
            <w:bottom w:w="0" w:type="dxa"/>
            <w:right w:w="108" w:type="dxa"/>
          </w:tblCellMar>
        </w:tblPrEx>
        <w:trPr>
          <w:trHeight w:val="349"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当心爆炸</w:t>
            </w:r>
          </w:p>
        </w:tc>
      </w:tr>
      <w:tr>
        <w:tblPrEx>
          <w:tblCellMar>
            <w:top w:w="0" w:type="dxa"/>
            <w:left w:w="108" w:type="dxa"/>
            <w:bottom w:w="0" w:type="dxa"/>
            <w:right w:w="108" w:type="dxa"/>
          </w:tblCellMar>
        </w:tblPrEx>
        <w:trPr>
          <w:trHeight w:val="49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当心火灾</w:t>
            </w:r>
          </w:p>
        </w:tc>
      </w:tr>
      <w:tr>
        <w:tblPrEx>
          <w:tblCellMar>
            <w:top w:w="0" w:type="dxa"/>
            <w:left w:w="108" w:type="dxa"/>
            <w:bottom w:w="0" w:type="dxa"/>
            <w:right w:w="108" w:type="dxa"/>
          </w:tblCellMar>
        </w:tblPrEx>
        <w:trPr>
          <w:trHeight w:val="49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现场巡查</w:t>
            </w:r>
          </w:p>
        </w:tc>
        <w:tc>
          <w:tcPr>
            <w:tcW w:w="66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装置现场工艺巡查</w:t>
            </w:r>
          </w:p>
        </w:tc>
        <w:tc>
          <w:tcPr>
            <w:tcW w:w="679"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外操（P）</w:t>
            </w:r>
          </w:p>
        </w:tc>
        <w:tc>
          <w:tcPr>
            <w:tcW w:w="93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现场关键阀门巡检（挂牌）</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聚合釜底阀XV2001</w:t>
            </w:r>
          </w:p>
        </w:tc>
      </w:tr>
      <w:tr>
        <w:tblPrEx>
          <w:tblCellMar>
            <w:top w:w="0" w:type="dxa"/>
            <w:left w:w="108" w:type="dxa"/>
            <w:bottom w:w="0" w:type="dxa"/>
            <w:right w:w="108" w:type="dxa"/>
          </w:tblCellMar>
        </w:tblPrEx>
        <w:trPr>
          <w:trHeight w:val="49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聚合釜夹套进口控制阀XV2003</w:t>
            </w:r>
          </w:p>
        </w:tc>
      </w:tr>
      <w:tr>
        <w:tblPrEx>
          <w:tblCellMar>
            <w:top w:w="0" w:type="dxa"/>
            <w:left w:w="108" w:type="dxa"/>
            <w:bottom w:w="0" w:type="dxa"/>
            <w:right w:w="108" w:type="dxa"/>
          </w:tblCellMar>
        </w:tblPrEx>
        <w:trPr>
          <w:trHeight w:val="45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聚合釜夹套出口控制阀XV2004</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助剂控制阀XV2005</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紧急终止剂控制阀XV2006</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现场关键仪表及安全设施巡检（挂牌）</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聚合釜压力表PI2001</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聚合釜温度计TI2001</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可燃气体报警器1#</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可燃气体报警器2#</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有毒气体报警器1#</w:t>
            </w:r>
          </w:p>
        </w:tc>
      </w:tr>
      <w:tr>
        <w:tblPrEx>
          <w:tblCellMar>
            <w:top w:w="0" w:type="dxa"/>
            <w:left w:w="108" w:type="dxa"/>
            <w:bottom w:w="0" w:type="dxa"/>
            <w:right w:w="108" w:type="dxa"/>
          </w:tblCellMar>
        </w:tblPrEx>
        <w:trPr>
          <w:trHeight w:val="270"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有毒气体报警器2#</w:t>
            </w:r>
          </w:p>
        </w:tc>
      </w:tr>
      <w:tr>
        <w:tblPrEx>
          <w:tblCellMar>
            <w:top w:w="0" w:type="dxa"/>
            <w:left w:w="108" w:type="dxa"/>
            <w:bottom w:w="0" w:type="dxa"/>
            <w:right w:w="108" w:type="dxa"/>
          </w:tblCellMar>
        </w:tblPrEx>
        <w:trPr>
          <w:trHeight w:val="94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工艺控制</w:t>
            </w:r>
          </w:p>
        </w:tc>
        <w:tc>
          <w:tcPr>
            <w:tcW w:w="66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生产工艺控制调节</w:t>
            </w:r>
          </w:p>
        </w:tc>
        <w:tc>
          <w:tcPr>
            <w:tcW w:w="679"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内操（I）</w:t>
            </w:r>
          </w:p>
        </w:tc>
        <w:tc>
          <w:tcPr>
            <w:tcW w:w="93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工艺调节（汽提塔进料偏低，进料量波动，造成系统参数不稳，影响产品质量）</w:t>
            </w: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将FIV6001调成手动</w:t>
            </w:r>
          </w:p>
        </w:tc>
      </w:tr>
      <w:tr>
        <w:tblPrEx>
          <w:tblCellMar>
            <w:top w:w="0" w:type="dxa"/>
            <w:left w:w="108" w:type="dxa"/>
            <w:bottom w:w="0" w:type="dxa"/>
            <w:right w:w="108" w:type="dxa"/>
          </w:tblCellMar>
        </w:tblPrEx>
        <w:trPr>
          <w:trHeight w:val="94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调节流量值（调节FIV6001开度值控制流量，稳定一段时间）</w:t>
            </w:r>
          </w:p>
        </w:tc>
      </w:tr>
      <w:tr>
        <w:tblPrEx>
          <w:tblCellMar>
            <w:top w:w="0" w:type="dxa"/>
            <w:left w:w="108" w:type="dxa"/>
            <w:bottom w:w="0" w:type="dxa"/>
            <w:right w:w="108" w:type="dxa"/>
          </w:tblCellMar>
        </w:tblPrEx>
        <w:trPr>
          <w:trHeight w:val="945" w:hRule="atLeast"/>
        </w:trPr>
        <w:tc>
          <w:tcPr>
            <w:tcW w:w="341"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51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2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6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679"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93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233"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调稳后投自动</w:t>
            </w:r>
          </w:p>
        </w:tc>
      </w:tr>
    </w:tbl>
    <w:p>
      <w:pPr>
        <w:widowControl/>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③事故</w:t>
      </w:r>
    </w:p>
    <w:p>
      <w:pPr>
        <w:widowControl/>
        <w:spacing w:line="560" w:lineRule="exact"/>
        <w:jc w:val="center"/>
        <w:rPr>
          <w:rFonts w:hint="eastAsia" w:ascii="Times New Roman" w:hAnsi="Times New Roman" w:eastAsia="黑体" w:cs="黑体"/>
          <w:bCs/>
          <w:sz w:val="24"/>
          <w:lang w:val="en-US" w:eastAsia="zh-CN"/>
        </w:rPr>
      </w:pPr>
      <w:r>
        <w:rPr>
          <w:rFonts w:hint="eastAsia" w:ascii="Times New Roman" w:hAnsi="Times New Roman" w:eastAsia="黑体" w:cs="黑体"/>
          <w:bCs/>
          <w:sz w:val="24"/>
          <w:lang w:val="en-US" w:eastAsia="zh-CN"/>
        </w:rPr>
        <w:t>表9  事故样题—聚合釜泄漏中毒事故为例</w:t>
      </w:r>
    </w:p>
    <w:tbl>
      <w:tblPr>
        <w:tblStyle w:val="14"/>
        <w:tblW w:w="5000" w:type="pct"/>
        <w:tblInd w:w="0" w:type="dxa"/>
        <w:tblLayout w:type="autofit"/>
        <w:tblCellMar>
          <w:top w:w="0" w:type="dxa"/>
          <w:left w:w="108" w:type="dxa"/>
          <w:bottom w:w="0" w:type="dxa"/>
          <w:right w:w="108" w:type="dxa"/>
        </w:tblCellMar>
      </w:tblPr>
      <w:tblGrid>
        <w:gridCol w:w="704"/>
        <w:gridCol w:w="2521"/>
        <w:gridCol w:w="782"/>
        <w:gridCol w:w="5507"/>
      </w:tblGrid>
      <w:tr>
        <w:tblPrEx>
          <w:tblCellMar>
            <w:top w:w="0" w:type="dxa"/>
            <w:left w:w="108" w:type="dxa"/>
            <w:bottom w:w="0" w:type="dxa"/>
            <w:right w:w="108" w:type="dxa"/>
          </w:tblCellMar>
        </w:tblPrEx>
        <w:trPr>
          <w:trHeight w:val="36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涉及的主要化学介质：氯乙烯单体、聚氯乙烯</w:t>
            </w:r>
          </w:p>
        </w:tc>
      </w:tr>
      <w:tr>
        <w:tblPrEx>
          <w:tblCellMar>
            <w:top w:w="0" w:type="dxa"/>
            <w:left w:w="108" w:type="dxa"/>
            <w:bottom w:w="0" w:type="dxa"/>
            <w:right w:w="108" w:type="dxa"/>
          </w:tblCellMar>
        </w:tblPrEx>
        <w:trPr>
          <w:trHeight w:val="3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事故描述：由于聚合釜在生产过程中造成反应的化学介质泄漏，并有一名人员中毒</w:t>
            </w:r>
          </w:p>
        </w:tc>
      </w:tr>
      <w:tr>
        <w:tblPrEx>
          <w:tblCellMar>
            <w:top w:w="0" w:type="dxa"/>
            <w:left w:w="108" w:type="dxa"/>
            <w:bottom w:w="0" w:type="dxa"/>
            <w:right w:w="108" w:type="dxa"/>
          </w:tblCellMar>
        </w:tblPrEx>
        <w:trPr>
          <w:trHeight w:val="51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过程描述：学员根据规程进行处置，要坚持先救人后救物，先重点后一般，先控制后消灭的总原则灵活果断处置，防止事故扩大。班长-M、外操-P、内操-I</w:t>
            </w:r>
          </w:p>
        </w:tc>
      </w:tr>
      <w:tr>
        <w:tblPrEx>
          <w:tblCellMar>
            <w:top w:w="0" w:type="dxa"/>
            <w:left w:w="108" w:type="dxa"/>
            <w:bottom w:w="0" w:type="dxa"/>
            <w:right w:w="108" w:type="dxa"/>
          </w:tblCellMar>
        </w:tblPrEx>
        <w:trPr>
          <w:trHeight w:val="285" w:hRule="atLeast"/>
        </w:trPr>
        <w:tc>
          <w:tcPr>
            <w:tcW w:w="1695" w:type="pct"/>
            <w:gridSpan w:val="2"/>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事故现象</w:t>
            </w:r>
          </w:p>
        </w:tc>
        <w:tc>
          <w:tcPr>
            <w:tcW w:w="3304"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1.现场报警器报警。</w:t>
            </w:r>
          </w:p>
        </w:tc>
      </w:tr>
      <w:tr>
        <w:tblPrEx>
          <w:tblCellMar>
            <w:top w:w="0" w:type="dxa"/>
            <w:left w:w="108" w:type="dxa"/>
            <w:bottom w:w="0" w:type="dxa"/>
            <w:right w:w="108" w:type="dxa"/>
          </w:tblCellMar>
        </w:tblPrEx>
        <w:trPr>
          <w:trHeight w:val="285" w:hRule="atLeast"/>
        </w:trPr>
        <w:tc>
          <w:tcPr>
            <w:tcW w:w="1695" w:type="pct"/>
            <w:gridSpan w:val="2"/>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3304"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2.上位机反应釜超温超压报警。</w:t>
            </w:r>
          </w:p>
        </w:tc>
      </w:tr>
      <w:tr>
        <w:tblPrEx>
          <w:tblCellMar>
            <w:top w:w="0" w:type="dxa"/>
            <w:left w:w="108" w:type="dxa"/>
            <w:bottom w:w="0" w:type="dxa"/>
            <w:right w:w="108" w:type="dxa"/>
          </w:tblCellMar>
        </w:tblPrEx>
        <w:trPr>
          <w:trHeight w:val="270" w:hRule="atLeast"/>
        </w:trPr>
        <w:tc>
          <w:tcPr>
            <w:tcW w:w="1695" w:type="pct"/>
            <w:gridSpan w:val="2"/>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3304"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3.聚合釜现场安全阀底部法兰泄漏，有烟雾。</w:t>
            </w:r>
          </w:p>
        </w:tc>
      </w:tr>
      <w:tr>
        <w:tblPrEx>
          <w:tblCellMar>
            <w:top w:w="0" w:type="dxa"/>
            <w:left w:w="108" w:type="dxa"/>
            <w:bottom w:w="0" w:type="dxa"/>
            <w:right w:w="108" w:type="dxa"/>
          </w:tblCellMar>
        </w:tblPrEx>
        <w:trPr>
          <w:trHeight w:val="270" w:hRule="atLeast"/>
        </w:trPr>
        <w:tc>
          <w:tcPr>
            <w:tcW w:w="1695" w:type="pct"/>
            <w:gridSpan w:val="2"/>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3304"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4.现场有人员呼喊“救命”</w:t>
            </w:r>
          </w:p>
        </w:tc>
      </w:tr>
      <w:tr>
        <w:tblPrEx>
          <w:tblCellMar>
            <w:top w:w="0" w:type="dxa"/>
            <w:left w:w="108" w:type="dxa"/>
            <w:bottom w:w="0" w:type="dxa"/>
            <w:right w:w="108" w:type="dxa"/>
          </w:tblCellMar>
        </w:tblPrEx>
        <w:trPr>
          <w:trHeight w:val="270" w:hRule="atLeast"/>
        </w:trPr>
        <w:tc>
          <w:tcPr>
            <w:tcW w:w="370"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序号</w:t>
            </w:r>
          </w:p>
        </w:tc>
        <w:tc>
          <w:tcPr>
            <w:tcW w:w="132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项目</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步骤</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操作内容</w:t>
            </w:r>
          </w:p>
        </w:tc>
      </w:tr>
      <w:tr>
        <w:tblPrEx>
          <w:tblCellMar>
            <w:top w:w="0" w:type="dxa"/>
            <w:left w:w="108" w:type="dxa"/>
            <w:bottom w:w="0" w:type="dxa"/>
            <w:right w:w="108" w:type="dxa"/>
          </w:tblCellMar>
        </w:tblPrEx>
        <w:trPr>
          <w:trHeight w:val="450" w:hRule="atLeast"/>
        </w:trPr>
        <w:tc>
          <w:tcPr>
            <w:tcW w:w="370"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1</w:t>
            </w:r>
          </w:p>
        </w:tc>
        <w:tc>
          <w:tcPr>
            <w:tcW w:w="132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事故预警</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1.1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[I]-汇报班长上位机报警器报警（报警器报警）</w:t>
            </w:r>
          </w:p>
        </w:tc>
      </w:tr>
      <w:tr>
        <w:tblPrEx>
          <w:tblCellMar>
            <w:top w:w="0" w:type="dxa"/>
            <w:left w:w="108" w:type="dxa"/>
            <w:bottom w:w="0" w:type="dxa"/>
            <w:right w:w="108" w:type="dxa"/>
          </w:tblCellMar>
        </w:tblPrEx>
        <w:trPr>
          <w:trHeight w:val="270" w:hRule="atLeast"/>
        </w:trPr>
        <w:tc>
          <w:tcPr>
            <w:tcW w:w="370"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2</w:t>
            </w:r>
          </w:p>
        </w:tc>
        <w:tc>
          <w:tcPr>
            <w:tcW w:w="132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事故确认</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2.1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[M]-班长通知外操去现场查看（现场查看）</w:t>
            </w:r>
          </w:p>
        </w:tc>
      </w:tr>
      <w:tr>
        <w:tblPrEx>
          <w:tblCellMar>
            <w:top w:w="0" w:type="dxa"/>
            <w:left w:w="108" w:type="dxa"/>
            <w:bottom w:w="0" w:type="dxa"/>
            <w:right w:w="108" w:type="dxa"/>
          </w:tblCellMar>
        </w:tblPrEx>
        <w:trPr>
          <w:trHeight w:val="270" w:hRule="atLeast"/>
        </w:trPr>
        <w:tc>
          <w:tcPr>
            <w:tcW w:w="370"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3</w:t>
            </w:r>
          </w:p>
        </w:tc>
        <w:tc>
          <w:tcPr>
            <w:tcW w:w="132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事故汇报</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3.1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[P]-汇报出事工段（聚合工段）</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3.2</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[P]-汇报事故设备（聚合釜）</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3.3</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[P]-汇报泄漏的位置（安全阀）</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3.4</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[P]-汇报人员受伤情况（中毒）</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3.5</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[P]-现场状况是否可控（可控）</w:t>
            </w:r>
          </w:p>
        </w:tc>
      </w:tr>
      <w:tr>
        <w:tblPrEx>
          <w:tblCellMar>
            <w:top w:w="0" w:type="dxa"/>
            <w:left w:w="108" w:type="dxa"/>
            <w:bottom w:w="0" w:type="dxa"/>
            <w:right w:w="108" w:type="dxa"/>
          </w:tblCellMar>
        </w:tblPrEx>
        <w:trPr>
          <w:trHeight w:val="270" w:hRule="atLeast"/>
        </w:trPr>
        <w:tc>
          <w:tcPr>
            <w:tcW w:w="370"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4</w:t>
            </w:r>
          </w:p>
        </w:tc>
        <w:tc>
          <w:tcPr>
            <w:tcW w:w="132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启动预案及事故判断</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4.1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[M]-启动聚合釜泄漏应急预案</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4.2</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[M]-立即启动聚合工段人员中毒应急预案</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4.3</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[M]-汇报调度室相关情况</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4.4</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[I]-软件选择事故</w:t>
            </w:r>
          </w:p>
        </w:tc>
      </w:tr>
      <w:tr>
        <w:tblPrEx>
          <w:tblCellMar>
            <w:top w:w="0" w:type="dxa"/>
            <w:left w:w="108" w:type="dxa"/>
            <w:bottom w:w="0" w:type="dxa"/>
            <w:right w:w="108" w:type="dxa"/>
          </w:tblCellMar>
        </w:tblPrEx>
        <w:trPr>
          <w:trHeight w:val="270" w:hRule="atLeast"/>
        </w:trPr>
        <w:tc>
          <w:tcPr>
            <w:tcW w:w="370"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w:t>
            </w:r>
          </w:p>
        </w:tc>
        <w:tc>
          <w:tcPr>
            <w:tcW w:w="1324"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事故处理</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[I]-将热媒出口控制阀TV1102调至手动并关闭</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5.2</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[I]-关闭热媒进口控制阀HV1102</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5.3</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[I]-将冷媒出口控制阀TV1101调至手动，满开。</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5.4</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[I]-开启冷媒进口控制阀HV1101</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5.5</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[I]-开启终止剂加入程序</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5.6</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[I]-开启HV1103</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5.7</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[I]-开启HV1104</w:t>
            </w:r>
          </w:p>
        </w:tc>
      </w:tr>
      <w:tr>
        <w:tblPrEx>
          <w:tblCellMar>
            <w:top w:w="0" w:type="dxa"/>
            <w:left w:w="108" w:type="dxa"/>
            <w:bottom w:w="0" w:type="dxa"/>
            <w:right w:w="108" w:type="dxa"/>
          </w:tblCellMar>
        </w:tblPrEx>
        <w:trPr>
          <w:trHeight w:val="45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5.8</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[I]-密切关注终止剂加入，完成加入操作关闭终止剂加入程序（初始为40%，加入终止点为20%左右）</w:t>
            </w:r>
          </w:p>
        </w:tc>
      </w:tr>
      <w:tr>
        <w:tblPrEx>
          <w:tblCellMar>
            <w:top w:w="0" w:type="dxa"/>
            <w:left w:w="108" w:type="dxa"/>
            <w:bottom w:w="0" w:type="dxa"/>
            <w:right w:w="108" w:type="dxa"/>
          </w:tblCellMar>
        </w:tblPrEx>
        <w:trPr>
          <w:trHeight w:val="435"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5.9</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[I]-关闭HV1103</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5.10</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[I]-关闭HV1104</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[I]-开启HV1105，泄压</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5.12</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[I]-当P1101降至0.1以下后关闭HV1105</w:t>
            </w:r>
          </w:p>
        </w:tc>
      </w:tr>
      <w:tr>
        <w:tblPrEx>
          <w:tblCellMar>
            <w:top w:w="0" w:type="dxa"/>
            <w:left w:w="108" w:type="dxa"/>
            <w:bottom w:w="0" w:type="dxa"/>
            <w:right w:w="108" w:type="dxa"/>
          </w:tblCellMar>
        </w:tblPrEx>
        <w:trPr>
          <w:trHeight w:val="375"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5.13</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[M/P]-防化服/自给式呼吸器</w:t>
            </w:r>
          </w:p>
        </w:tc>
      </w:tr>
      <w:tr>
        <w:tblPrEx>
          <w:tblCellMar>
            <w:top w:w="0" w:type="dxa"/>
            <w:left w:w="108" w:type="dxa"/>
            <w:bottom w:w="0" w:type="dxa"/>
            <w:right w:w="108" w:type="dxa"/>
          </w:tblCellMar>
        </w:tblPrEx>
        <w:trPr>
          <w:trHeight w:val="285"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5.14</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[M/P]-担架的正确使用</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5.15</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[M/P]-将中毒人员转移至通风点</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5.16</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[P]-现场拉警戒线/设警戒标志</w:t>
            </w:r>
          </w:p>
        </w:tc>
      </w:tr>
      <w:tr>
        <w:tblPrEx>
          <w:tblCellMar>
            <w:top w:w="0" w:type="dxa"/>
            <w:left w:w="108" w:type="dxa"/>
            <w:bottom w:w="0" w:type="dxa"/>
            <w:right w:w="108" w:type="dxa"/>
          </w:tblCellMar>
        </w:tblPrEx>
        <w:trPr>
          <w:trHeight w:val="27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5.17</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[P]-开启聚合釜泄压阀门XV2007</w:t>
            </w:r>
          </w:p>
        </w:tc>
      </w:tr>
      <w:tr>
        <w:tblPrEx>
          <w:tblCellMar>
            <w:top w:w="0" w:type="dxa"/>
            <w:left w:w="108" w:type="dxa"/>
            <w:bottom w:w="0" w:type="dxa"/>
            <w:right w:w="108" w:type="dxa"/>
          </w:tblCellMar>
        </w:tblPrEx>
        <w:trPr>
          <w:trHeight w:val="450" w:hRule="atLeast"/>
        </w:trPr>
        <w:tc>
          <w:tcPr>
            <w:tcW w:w="370"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1324"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default" w:ascii="Calibri" w:hAnsi="Calibri" w:cs="Times New Roman"/>
                <w:sz w:val="21"/>
                <w:szCs w:val="21"/>
              </w:rPr>
            </w:pP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5.18</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[P]-当温度稳定58℃左右及釜内压力PI2001降至0.1以下时，关闭阀门XV2007</w:t>
            </w:r>
          </w:p>
        </w:tc>
      </w:tr>
      <w:tr>
        <w:tblPrEx>
          <w:tblCellMar>
            <w:top w:w="0" w:type="dxa"/>
            <w:left w:w="108" w:type="dxa"/>
            <w:bottom w:w="0" w:type="dxa"/>
            <w:right w:w="108" w:type="dxa"/>
          </w:tblCellMar>
        </w:tblPrEx>
        <w:trPr>
          <w:trHeight w:val="405" w:hRule="atLeast"/>
        </w:trPr>
        <w:tc>
          <w:tcPr>
            <w:tcW w:w="370"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6</w:t>
            </w:r>
          </w:p>
        </w:tc>
        <w:tc>
          <w:tcPr>
            <w:tcW w:w="132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事故分析</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6.1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[I]-完成事故分析报告</w:t>
            </w:r>
          </w:p>
        </w:tc>
      </w:tr>
      <w:tr>
        <w:tblPrEx>
          <w:tblCellMar>
            <w:top w:w="0" w:type="dxa"/>
            <w:left w:w="108" w:type="dxa"/>
            <w:bottom w:w="0" w:type="dxa"/>
            <w:right w:w="108" w:type="dxa"/>
          </w:tblCellMar>
        </w:tblPrEx>
        <w:trPr>
          <w:trHeight w:val="405" w:hRule="atLeast"/>
        </w:trPr>
        <w:tc>
          <w:tcPr>
            <w:tcW w:w="370"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7</w:t>
            </w:r>
          </w:p>
        </w:tc>
        <w:tc>
          <w:tcPr>
            <w:tcW w:w="132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延伸操作</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7.1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[M]-心肺复苏操作内容</w:t>
            </w:r>
          </w:p>
        </w:tc>
      </w:tr>
      <w:tr>
        <w:tblPrEx>
          <w:tblCellMar>
            <w:top w:w="0" w:type="dxa"/>
            <w:left w:w="108" w:type="dxa"/>
            <w:bottom w:w="0" w:type="dxa"/>
            <w:right w:w="108" w:type="dxa"/>
          </w:tblCellMar>
        </w:tblPrEx>
        <w:trPr>
          <w:trHeight w:val="270" w:hRule="atLeast"/>
        </w:trPr>
        <w:tc>
          <w:tcPr>
            <w:tcW w:w="370"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8</w:t>
            </w:r>
          </w:p>
        </w:tc>
        <w:tc>
          <w:tcPr>
            <w:tcW w:w="132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汇报及恢复</w:t>
            </w:r>
          </w:p>
        </w:tc>
        <w:tc>
          <w:tcPr>
            <w:tcW w:w="411"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1"/>
                <w:szCs w:val="21"/>
              </w:rPr>
            </w:pPr>
            <w:r>
              <w:rPr>
                <w:rFonts w:hint="eastAsia" w:ascii="仿宋" w:hAnsi="仿宋" w:eastAsia="仿宋" w:cs="仿宋"/>
                <w:kern w:val="0"/>
                <w:sz w:val="21"/>
                <w:szCs w:val="21"/>
                <w:lang w:bidi="ar"/>
              </w:rPr>
              <w:t>8.1</w:t>
            </w:r>
          </w:p>
        </w:tc>
        <w:tc>
          <w:tcPr>
            <w:tcW w:w="2892"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bidi="ar"/>
              </w:rPr>
              <w:t>[M/P/I]-事故处理完成向调度室汇报，并恢复现场</w:t>
            </w:r>
          </w:p>
        </w:tc>
      </w:tr>
    </w:tbl>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（2）B类题</w:t>
      </w:r>
    </w:p>
    <w:p>
      <w:pPr>
        <w:widowControl/>
        <w:spacing w:line="560" w:lineRule="exact"/>
        <w:jc w:val="center"/>
        <w:rPr>
          <w:rFonts w:hint="eastAsia" w:ascii="Times New Roman" w:hAnsi="Times New Roman" w:eastAsia="黑体" w:cs="黑体"/>
          <w:bCs/>
          <w:sz w:val="24"/>
          <w:lang w:val="en-US" w:eastAsia="zh-CN"/>
        </w:rPr>
      </w:pPr>
      <w:r>
        <w:rPr>
          <w:rFonts w:hint="eastAsia" w:ascii="Times New Roman" w:hAnsi="Times New Roman" w:eastAsia="黑体" w:cs="黑体"/>
          <w:bCs/>
          <w:sz w:val="24"/>
          <w:lang w:val="en-US" w:eastAsia="zh-CN"/>
        </w:rPr>
        <w:t>表10  事故样题—以加氢反应器法兰泄漏着火事故为例</w:t>
      </w:r>
    </w:p>
    <w:tbl>
      <w:tblPr>
        <w:tblStyle w:val="14"/>
        <w:tblW w:w="5000" w:type="pct"/>
        <w:tblInd w:w="0" w:type="dxa"/>
        <w:tblLayout w:type="autofit"/>
        <w:tblCellMar>
          <w:top w:w="0" w:type="dxa"/>
          <w:left w:w="108" w:type="dxa"/>
          <w:bottom w:w="0" w:type="dxa"/>
          <w:right w:w="108" w:type="dxa"/>
        </w:tblCellMar>
      </w:tblPr>
      <w:tblGrid>
        <w:gridCol w:w="729"/>
        <w:gridCol w:w="2293"/>
        <w:gridCol w:w="883"/>
        <w:gridCol w:w="5609"/>
      </w:tblGrid>
      <w:tr>
        <w:tblPrEx>
          <w:tblCellMar>
            <w:top w:w="0" w:type="dxa"/>
            <w:left w:w="108" w:type="dxa"/>
            <w:bottom w:w="0" w:type="dxa"/>
            <w:right w:w="108" w:type="dxa"/>
          </w:tblCellMar>
        </w:tblPrEx>
        <w:trPr>
          <w:trHeight w:val="407"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涉及的化学介质：柴油、氢、硫化氢等</w:t>
            </w:r>
          </w:p>
        </w:tc>
      </w:tr>
      <w:tr>
        <w:tblPrEx>
          <w:tblCellMar>
            <w:top w:w="0" w:type="dxa"/>
            <w:left w:w="108" w:type="dxa"/>
            <w:bottom w:w="0" w:type="dxa"/>
            <w:right w:w="108" w:type="dxa"/>
          </w:tblCellMar>
        </w:tblPrEx>
        <w:trPr>
          <w:trHeight w:val="554"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事故描述：由于加氢反应器法兰泄漏物料自燃（初期火灾），但有事故扩大的可能</w:t>
            </w:r>
          </w:p>
        </w:tc>
      </w:tr>
      <w:tr>
        <w:tblPrEx>
          <w:tblCellMar>
            <w:top w:w="0" w:type="dxa"/>
            <w:left w:w="108" w:type="dxa"/>
            <w:bottom w:w="0" w:type="dxa"/>
            <w:right w:w="108" w:type="dxa"/>
          </w:tblCellMar>
        </w:tblPrEx>
        <w:trPr>
          <w:trHeight w:val="66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过程描述：学员根据规程进行处置，要坚持先救人后救物，先重点后一般，先控制后消灭的总原则灵活果断处置，防止事故扩大。班长-M、外操-P、内操-I</w:t>
            </w:r>
          </w:p>
        </w:tc>
      </w:tr>
      <w:tr>
        <w:tblPrEx>
          <w:tblCellMar>
            <w:top w:w="0" w:type="dxa"/>
            <w:left w:w="108" w:type="dxa"/>
            <w:bottom w:w="0" w:type="dxa"/>
            <w:right w:w="108" w:type="dxa"/>
          </w:tblCellMar>
        </w:tblPrEx>
        <w:trPr>
          <w:trHeight w:val="285" w:hRule="atLeast"/>
        </w:trPr>
        <w:tc>
          <w:tcPr>
            <w:tcW w:w="1588" w:type="pct"/>
            <w:gridSpan w:val="2"/>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事故现象</w:t>
            </w:r>
          </w:p>
        </w:tc>
        <w:tc>
          <w:tcPr>
            <w:tcW w:w="3411"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1.上位机可燃气体报警器报警</w:t>
            </w:r>
          </w:p>
        </w:tc>
      </w:tr>
      <w:tr>
        <w:tblPrEx>
          <w:tblCellMar>
            <w:top w:w="0" w:type="dxa"/>
            <w:left w:w="108" w:type="dxa"/>
            <w:bottom w:w="0" w:type="dxa"/>
            <w:right w:w="108" w:type="dxa"/>
          </w:tblCellMar>
        </w:tblPrEx>
        <w:trPr>
          <w:trHeight w:val="285" w:hRule="atLeast"/>
        </w:trPr>
        <w:tc>
          <w:tcPr>
            <w:tcW w:w="1588" w:type="pct"/>
            <w:gridSpan w:val="2"/>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3411"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2、加氢反应器着火、烟雾</w:t>
            </w:r>
          </w:p>
        </w:tc>
      </w:tr>
      <w:tr>
        <w:tblPrEx>
          <w:tblCellMar>
            <w:top w:w="0" w:type="dxa"/>
            <w:left w:w="108" w:type="dxa"/>
            <w:bottom w:w="0" w:type="dxa"/>
            <w:right w:w="108" w:type="dxa"/>
          </w:tblCellMar>
        </w:tblPrEx>
        <w:trPr>
          <w:trHeight w:val="270" w:hRule="atLeast"/>
        </w:trPr>
        <w:tc>
          <w:tcPr>
            <w:tcW w:w="1588" w:type="pct"/>
            <w:gridSpan w:val="2"/>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3411" w:type="pct"/>
            <w:gridSpan w:val="2"/>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3.现场报警灯报警</w:t>
            </w:r>
          </w:p>
        </w:tc>
      </w:tr>
      <w:tr>
        <w:tblPrEx>
          <w:tblCellMar>
            <w:top w:w="0" w:type="dxa"/>
            <w:left w:w="108" w:type="dxa"/>
            <w:bottom w:w="0" w:type="dxa"/>
            <w:right w:w="108" w:type="dxa"/>
          </w:tblCellMar>
        </w:tblPrEx>
        <w:trPr>
          <w:trHeight w:val="540" w:hRule="atLeast"/>
        </w:trPr>
        <w:tc>
          <w:tcPr>
            <w:tcW w:w="383"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序号</w:t>
            </w:r>
          </w:p>
        </w:tc>
        <w:tc>
          <w:tcPr>
            <w:tcW w:w="120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项目</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步骤</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lang w:bidi="ar"/>
              </w:rPr>
              <w:t>操作内容</w:t>
            </w:r>
          </w:p>
        </w:tc>
      </w:tr>
      <w:tr>
        <w:tblPrEx>
          <w:tblCellMar>
            <w:top w:w="0" w:type="dxa"/>
            <w:left w:w="108" w:type="dxa"/>
            <w:bottom w:w="0" w:type="dxa"/>
            <w:right w:w="108" w:type="dxa"/>
          </w:tblCellMar>
        </w:tblPrEx>
        <w:trPr>
          <w:trHeight w:val="540" w:hRule="atLeast"/>
        </w:trPr>
        <w:tc>
          <w:tcPr>
            <w:tcW w:w="383"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1</w:t>
            </w:r>
          </w:p>
        </w:tc>
        <w:tc>
          <w:tcPr>
            <w:tcW w:w="120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内操预警</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1.1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[I]-汇报班长上位机报警器报警（报警器报警）</w:t>
            </w:r>
          </w:p>
        </w:tc>
      </w:tr>
      <w:tr>
        <w:tblPrEx>
          <w:tblCellMar>
            <w:top w:w="0" w:type="dxa"/>
            <w:left w:w="108" w:type="dxa"/>
            <w:bottom w:w="0" w:type="dxa"/>
            <w:right w:w="108" w:type="dxa"/>
          </w:tblCellMar>
        </w:tblPrEx>
        <w:trPr>
          <w:trHeight w:val="270" w:hRule="atLeast"/>
        </w:trPr>
        <w:tc>
          <w:tcPr>
            <w:tcW w:w="383"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2</w:t>
            </w:r>
          </w:p>
        </w:tc>
        <w:tc>
          <w:tcPr>
            <w:tcW w:w="120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班长协调</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2.1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[M]-班长通知外操去现场查看（现场查看）</w:t>
            </w:r>
          </w:p>
        </w:tc>
      </w:tr>
      <w:tr>
        <w:tblPrEx>
          <w:tblCellMar>
            <w:top w:w="0" w:type="dxa"/>
            <w:left w:w="108" w:type="dxa"/>
            <w:bottom w:w="0" w:type="dxa"/>
            <w:right w:w="108" w:type="dxa"/>
          </w:tblCellMar>
        </w:tblPrEx>
        <w:trPr>
          <w:trHeight w:val="270" w:hRule="atLeast"/>
        </w:trPr>
        <w:tc>
          <w:tcPr>
            <w:tcW w:w="383"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w:t>
            </w:r>
          </w:p>
        </w:tc>
        <w:tc>
          <w:tcPr>
            <w:tcW w:w="120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事故汇报</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[P]-汇报出事工段（反应工段）</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3.2</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[P]-汇报事故设备（加氢反应器）</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3.3</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[P]-汇报着火的位置（法兰）</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3.4</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[P]-汇报人员受伤情况（无人员伤亡）</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3.5</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[P]-现场状况是否可控（可控）</w:t>
            </w:r>
          </w:p>
        </w:tc>
      </w:tr>
      <w:tr>
        <w:tblPrEx>
          <w:tblCellMar>
            <w:top w:w="0" w:type="dxa"/>
            <w:left w:w="108" w:type="dxa"/>
            <w:bottom w:w="0" w:type="dxa"/>
            <w:right w:w="108" w:type="dxa"/>
          </w:tblCellMar>
        </w:tblPrEx>
        <w:trPr>
          <w:trHeight w:val="405" w:hRule="atLeast"/>
        </w:trPr>
        <w:tc>
          <w:tcPr>
            <w:tcW w:w="383"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4</w:t>
            </w:r>
          </w:p>
        </w:tc>
        <w:tc>
          <w:tcPr>
            <w:tcW w:w="120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启动预案及事故判断</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4.1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[M]-启动加氢反应器泄漏着火应急预案</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4.2</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[M]-汇报调度室相关情况</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4.3</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(I)-软件选择事故</w:t>
            </w:r>
          </w:p>
        </w:tc>
      </w:tr>
      <w:tr>
        <w:tblPrEx>
          <w:tblCellMar>
            <w:top w:w="0" w:type="dxa"/>
            <w:left w:w="108" w:type="dxa"/>
            <w:bottom w:w="0" w:type="dxa"/>
            <w:right w:w="108" w:type="dxa"/>
          </w:tblCellMar>
        </w:tblPrEx>
        <w:trPr>
          <w:trHeight w:val="540" w:hRule="atLeast"/>
        </w:trPr>
        <w:tc>
          <w:tcPr>
            <w:tcW w:w="383"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w:t>
            </w:r>
          </w:p>
        </w:tc>
        <w:tc>
          <w:tcPr>
            <w:tcW w:w="1205" w:type="pct"/>
            <w:vMerge w:val="restar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事故处理</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[M/P]-隔热服/滤式防毒面具/化学防护手套/静电消除</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5.2</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[P]-现场拉警戒线</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5.3</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[I]-启动循环氢压缩机紧急停车自保系统</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5.4</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[I]-关闭循环氢压缩机出口阀HV1104</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5.5</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[I]-关闭循环氢压缩机入口阀HV1103</w:t>
            </w:r>
          </w:p>
        </w:tc>
      </w:tr>
      <w:tr>
        <w:tblPrEx>
          <w:tblCellMar>
            <w:top w:w="0" w:type="dxa"/>
            <w:left w:w="108" w:type="dxa"/>
            <w:bottom w:w="0" w:type="dxa"/>
            <w:right w:w="108" w:type="dxa"/>
          </w:tblCellMar>
        </w:tblPrEx>
        <w:trPr>
          <w:trHeight w:val="60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5.6</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[I]-高压分离器泄压，开启HV1101（泄压速率维持在0.7MPa/min以下）</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5.7</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[I]-将瓦斯进气调节阀TIV1001调至手动并关闭</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5.8</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[I]-开蒸汽切断阀HV1118</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5.9</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[P]-关燃料气控制前手阀XV1003</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5.10</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[P]-关进料泵出口控制阀XV9006</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[P]-停转料泵P9002</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5.12</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[P]-关进料泵入口控制阀XV9005</w:t>
            </w:r>
          </w:p>
        </w:tc>
      </w:tr>
      <w:tr>
        <w:tblPrEx>
          <w:tblCellMar>
            <w:top w:w="0" w:type="dxa"/>
            <w:left w:w="108" w:type="dxa"/>
            <w:bottom w:w="0" w:type="dxa"/>
            <w:right w:w="108" w:type="dxa"/>
          </w:tblCellMar>
        </w:tblPrEx>
        <w:trPr>
          <w:trHeight w:val="34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5.13</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[I]-关闭原料油进料调节阀FIV1101</w:t>
            </w:r>
          </w:p>
        </w:tc>
      </w:tr>
      <w:tr>
        <w:tblPrEx>
          <w:tblCellMar>
            <w:top w:w="0" w:type="dxa"/>
            <w:left w:w="108" w:type="dxa"/>
            <w:bottom w:w="0" w:type="dxa"/>
            <w:right w:w="108" w:type="dxa"/>
          </w:tblCellMar>
        </w:tblPrEx>
        <w:trPr>
          <w:trHeight w:val="439"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5.14</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[I]-关闭脱盐水进料控制阀HV1107</w:t>
            </w:r>
          </w:p>
        </w:tc>
      </w:tr>
      <w:tr>
        <w:tblPrEx>
          <w:tblCellMar>
            <w:top w:w="0" w:type="dxa"/>
            <w:left w:w="108" w:type="dxa"/>
            <w:bottom w:w="0" w:type="dxa"/>
            <w:right w:w="108" w:type="dxa"/>
          </w:tblCellMar>
        </w:tblPrEx>
        <w:trPr>
          <w:trHeight w:val="45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5.15</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[I]-将汽提塔进料控制阀LV1104调成手动并关闭</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5.16</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[P]-关闭汽提塔蒸汽进气阀XV6003</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5.17</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[I]-启动新氢压缩机紧急停车自保系统</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5.18</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[I]-关闭新氢出口HV1109</w:t>
            </w:r>
          </w:p>
        </w:tc>
      </w:tr>
      <w:tr>
        <w:tblPrEx>
          <w:tblCellMar>
            <w:top w:w="0" w:type="dxa"/>
            <w:left w:w="108" w:type="dxa"/>
            <w:bottom w:w="0" w:type="dxa"/>
            <w:right w:w="108" w:type="dxa"/>
          </w:tblCellMar>
        </w:tblPrEx>
        <w:trPr>
          <w:trHeight w:val="27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5.19</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[I]-关闭新氢入口阀HV1110</w:t>
            </w:r>
          </w:p>
        </w:tc>
      </w:tr>
      <w:tr>
        <w:tblPrEx>
          <w:tblCellMar>
            <w:top w:w="0" w:type="dxa"/>
            <w:left w:w="108" w:type="dxa"/>
            <w:bottom w:w="0" w:type="dxa"/>
            <w:right w:w="108" w:type="dxa"/>
          </w:tblCellMar>
        </w:tblPrEx>
        <w:trPr>
          <w:trHeight w:val="480"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5.20</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[I]-当PI3001压力达到2.5MPa以下时，开启氮气隔离控制阀HV1106</w:t>
            </w:r>
          </w:p>
        </w:tc>
      </w:tr>
      <w:tr>
        <w:tblPrEx>
          <w:tblCellMar>
            <w:top w:w="0" w:type="dxa"/>
            <w:left w:w="108" w:type="dxa"/>
            <w:bottom w:w="0" w:type="dxa"/>
            <w:right w:w="108" w:type="dxa"/>
          </w:tblCellMar>
        </w:tblPrEx>
        <w:trPr>
          <w:trHeight w:val="405"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5.21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[P]-消防器材（干粉灭火器）的选择</w:t>
            </w:r>
          </w:p>
        </w:tc>
      </w:tr>
      <w:tr>
        <w:tblPrEx>
          <w:tblCellMar>
            <w:top w:w="0" w:type="dxa"/>
            <w:left w:w="108" w:type="dxa"/>
            <w:bottom w:w="0" w:type="dxa"/>
            <w:right w:w="108" w:type="dxa"/>
          </w:tblCellMar>
        </w:tblPrEx>
        <w:trPr>
          <w:trHeight w:val="269" w:hRule="atLeast"/>
        </w:trPr>
        <w:tc>
          <w:tcPr>
            <w:tcW w:w="383"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1205" w:type="pct"/>
            <w:vMerge w:val="continue"/>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rPr>
                <w:rFonts w:hint="eastAsia" w:ascii="方正仿宋_GBK" w:hAnsi="方正仿宋_GBK" w:eastAsia="方正仿宋_GBK" w:cs="方正仿宋_GBK"/>
                <w:sz w:val="21"/>
                <w:szCs w:val="21"/>
              </w:rPr>
            </w:pP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5.22</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[P]-灭火操作考核</w:t>
            </w:r>
          </w:p>
        </w:tc>
      </w:tr>
      <w:tr>
        <w:tblPrEx>
          <w:tblCellMar>
            <w:top w:w="0" w:type="dxa"/>
            <w:left w:w="108" w:type="dxa"/>
            <w:bottom w:w="0" w:type="dxa"/>
            <w:right w:w="108" w:type="dxa"/>
          </w:tblCellMar>
        </w:tblPrEx>
        <w:trPr>
          <w:trHeight w:val="263" w:hRule="atLeast"/>
        </w:trPr>
        <w:tc>
          <w:tcPr>
            <w:tcW w:w="383"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6</w:t>
            </w:r>
          </w:p>
        </w:tc>
        <w:tc>
          <w:tcPr>
            <w:tcW w:w="120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事故分析</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6.1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[I]-完成事故分析报告</w:t>
            </w:r>
          </w:p>
        </w:tc>
      </w:tr>
      <w:tr>
        <w:tblPrEx>
          <w:tblCellMar>
            <w:top w:w="0" w:type="dxa"/>
            <w:left w:w="108" w:type="dxa"/>
            <w:bottom w:w="0" w:type="dxa"/>
            <w:right w:w="108" w:type="dxa"/>
          </w:tblCellMar>
        </w:tblPrEx>
        <w:trPr>
          <w:trHeight w:val="270" w:hRule="atLeast"/>
        </w:trPr>
        <w:tc>
          <w:tcPr>
            <w:tcW w:w="383" w:type="pct"/>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7</w:t>
            </w:r>
          </w:p>
        </w:tc>
        <w:tc>
          <w:tcPr>
            <w:tcW w:w="1205"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汇报及恢复</w:t>
            </w:r>
          </w:p>
        </w:tc>
        <w:tc>
          <w:tcPr>
            <w:tcW w:w="464"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7.1</w:t>
            </w:r>
          </w:p>
        </w:tc>
        <w:tc>
          <w:tcPr>
            <w:tcW w:w="2947" w:type="pct"/>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360" w:lineRule="auto"/>
              <w:ind w:left="0" w:right="0"/>
              <w:jc w:val="lef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lang w:bidi="ar"/>
              </w:rPr>
              <w:t>[M/I/P]-事故处理完成向调度室汇报，并恢复现场</w:t>
            </w:r>
          </w:p>
        </w:tc>
      </w:tr>
    </w:tbl>
    <w:p>
      <w:pPr>
        <w:widowControl/>
        <w:adjustRightInd w:val="0"/>
        <w:snapToGrid w:val="0"/>
        <w:spacing w:line="560" w:lineRule="exact"/>
        <w:ind w:firstLine="640" w:firstLineChars="200"/>
        <w:rPr>
          <w:rFonts w:eastAsia="黑体"/>
          <w:sz w:val="32"/>
          <w:szCs w:val="32"/>
        </w:rPr>
      </w:pPr>
      <w:r>
        <w:rPr>
          <w:rFonts w:hint="eastAsia" w:eastAsia="黑体"/>
          <w:sz w:val="32"/>
          <w:szCs w:val="32"/>
        </w:rPr>
        <w:t>十、</w:t>
      </w:r>
      <w:r>
        <w:rPr>
          <w:rFonts w:eastAsia="黑体"/>
          <w:sz w:val="32"/>
          <w:szCs w:val="32"/>
        </w:rPr>
        <w:t>赛项安全</w:t>
      </w:r>
    </w:p>
    <w:p>
      <w:pPr>
        <w:widowControl/>
        <w:spacing w:line="560" w:lineRule="exact"/>
        <w:ind w:firstLine="640" w:firstLineChars="200"/>
        <w:rPr>
          <w:rFonts w:hint="eastAsia" w:eastAsia="楷体_GB2312" w:cs="楷体"/>
          <w:sz w:val="32"/>
          <w:szCs w:val="32"/>
          <w:lang w:val="zh-TW" w:eastAsia="zh-TW"/>
        </w:rPr>
      </w:pPr>
      <w:r>
        <w:rPr>
          <w:rFonts w:hint="eastAsia" w:eastAsia="楷体_GB2312" w:cs="楷体"/>
          <w:sz w:val="32"/>
          <w:szCs w:val="32"/>
          <w:lang w:val="zh-TW" w:eastAsia="zh-TW"/>
        </w:rPr>
        <w:t>（一）组织与管理人员安全规定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1.成立安全管理机构负责本赛项筹备和比赛期间的各项安全工作，保证赛场消防设施和比赛设备安全性能，保证参赛队伍的赛场安全和饮食安全；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赛场提供稳定的水、电、气源和供电应急设备，紧急逃生指示图、医疗急救箱等，全部电路按技术标准规定安装过载、短路等自动保护装置；并有保安、公安、消防、设备维修和电力抢险人员待命，以防突发事件。</w:t>
      </w:r>
    </w:p>
    <w:p>
      <w:pPr>
        <w:widowControl/>
        <w:spacing w:line="560" w:lineRule="exact"/>
        <w:ind w:firstLine="640" w:firstLineChars="200"/>
        <w:rPr>
          <w:rFonts w:hint="eastAsia" w:eastAsia="楷体_GB2312" w:cs="楷体"/>
          <w:sz w:val="32"/>
          <w:szCs w:val="32"/>
          <w:lang w:val="zh-TW" w:eastAsia="zh-TW"/>
        </w:rPr>
      </w:pPr>
      <w:r>
        <w:rPr>
          <w:rFonts w:hint="eastAsia" w:eastAsia="楷体_GB2312" w:cs="楷体"/>
          <w:sz w:val="32"/>
          <w:szCs w:val="32"/>
          <w:lang w:val="zh-TW" w:eastAsia="zh-TW"/>
        </w:rPr>
        <w:t>（二）裁判安全要求</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1.裁判进入装置赛场，须统一着工作服、戴安全帽，禁止穿钉子鞋和高跟鞋，禁止携带火柴、打火机等火种进入比赛现场，严禁在比赛现场抽烟、禁止拨打手机或接听来电；</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2.参赛选手有故意损坏设备或故意伤害他人或自己的行为时，赛场裁判应立即制止，报告裁判长，经裁判长报执委会并经执委会同意后终止该参赛选手比赛资格；</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3.裁判在执裁过程中如发现选手操作存在安全隐患时应及时制止或采取切断电源等紧急补救措施；</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4.裁判在执裁过程中发现其他安全隐患应立即通知裁判长并上报执委会，由执委会采取紧急补救措施。</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5.竞赛过程中出现设备掉电、故障等意外时，现场裁判需及时确认情况，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安排技术支持人员进行处理，现场裁判登记详细情况，填写补时登记表，报裁判长批准后，可安排延长补足相应选手的比赛时间。 </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（三）选手安全要求</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1.选手进入装置赛场，须统一着工作服、戴安全帽，禁止穿钉子鞋和高跟鞋，禁止携带火柴、打火机等火种进入比赛现场，严禁在比赛现场抽烟、禁止拨打手机或接听来电；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2.竞赛选手须严格按照安全操作规程独立操控装置，确保装置安全运行；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3.竞赛结束，选手须检查装置是否处于安全停车状态、设备是否完好，并清整维护现场，在操作记录上签字后，将操作记录、单等交给裁判，现场确认裁判输入评分表的数据后，经裁判允许即可退场；</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4.比赛期间，若突遇停电、停水等意外，应采取紧急停车操作，冷静处置。</w:t>
      </w:r>
    </w:p>
    <w:p>
      <w:pPr>
        <w:widowControl/>
        <w:adjustRightInd w:val="0"/>
        <w:snapToGrid w:val="0"/>
        <w:spacing w:line="560" w:lineRule="exact"/>
        <w:ind w:firstLine="640" w:firstLineChars="200"/>
        <w:rPr>
          <w:rFonts w:eastAsia="黑体"/>
          <w:sz w:val="32"/>
          <w:szCs w:val="32"/>
        </w:rPr>
      </w:pPr>
      <w:r>
        <w:rPr>
          <w:rFonts w:hint="eastAsia" w:eastAsia="黑体"/>
          <w:sz w:val="32"/>
          <w:szCs w:val="32"/>
        </w:rPr>
        <w:t>十</w:t>
      </w:r>
      <w:r>
        <w:rPr>
          <w:rFonts w:hint="eastAsia" w:eastAsia="黑体"/>
          <w:sz w:val="32"/>
          <w:szCs w:val="32"/>
          <w:lang w:val="en-US" w:eastAsia="zh-CN"/>
        </w:rPr>
        <w:t>一</w:t>
      </w:r>
      <w:r>
        <w:rPr>
          <w:rFonts w:hint="eastAsia" w:eastAsia="黑体"/>
          <w:sz w:val="32"/>
          <w:szCs w:val="32"/>
        </w:rPr>
        <w:t>、</w:t>
      </w:r>
      <w:r>
        <w:rPr>
          <w:rFonts w:eastAsia="黑体"/>
          <w:sz w:val="32"/>
          <w:szCs w:val="32"/>
        </w:rPr>
        <w:t>成绩评定</w:t>
      </w:r>
    </w:p>
    <w:p>
      <w:pPr>
        <w:widowControl/>
        <w:spacing w:line="560" w:lineRule="exact"/>
        <w:ind w:firstLine="640" w:firstLineChars="200"/>
        <w:rPr>
          <w:rFonts w:hint="eastAsia" w:eastAsia="楷体_GB2312" w:cs="楷体"/>
          <w:sz w:val="32"/>
          <w:szCs w:val="32"/>
          <w:lang w:val="zh-TW" w:eastAsia="zh-TW"/>
        </w:rPr>
      </w:pPr>
      <w:r>
        <w:rPr>
          <w:rFonts w:hint="eastAsia" w:eastAsia="楷体_GB2312" w:cs="楷体"/>
          <w:sz w:val="32"/>
          <w:szCs w:val="32"/>
          <w:lang w:val="zh-TW" w:eastAsia="zh-TW"/>
        </w:rPr>
        <w:t>（一）评分标准制订原则</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竞赛评分本着“公平、公正、公开、科学、规范”的原则，注重考核选手的职业综合能力、团队的协作与组织能力和技术应用能力。</w:t>
      </w:r>
    </w:p>
    <w:p>
      <w:pPr>
        <w:numPr>
          <w:ilvl w:val="0"/>
          <w:numId w:val="5"/>
        </w:numPr>
        <w:adjustRightInd w:val="0"/>
        <w:snapToGrid w:val="0"/>
        <w:spacing w:line="560" w:lineRule="exact"/>
        <w:ind w:right="210" w:rightChars="100" w:firstLine="640" w:firstLineChars="200"/>
        <w:jc w:val="left"/>
        <w:rPr>
          <w:rFonts w:hint="eastAsia" w:eastAsia="楷体_GB2312" w:cs="楷体"/>
          <w:sz w:val="28"/>
          <w:szCs w:val="28"/>
          <w:lang w:val="zh-TW" w:eastAsia="zh-TW"/>
        </w:rPr>
      </w:pPr>
      <w:r>
        <w:rPr>
          <w:rFonts w:hint="eastAsia" w:eastAsia="楷体_GB2312" w:cs="楷体"/>
          <w:sz w:val="32"/>
          <w:szCs w:val="32"/>
          <w:lang w:val="zh-TW" w:eastAsia="zh-TW"/>
        </w:rPr>
        <w:t>评分标准</w:t>
      </w:r>
    </w:p>
    <w:p>
      <w:pPr>
        <w:widowControl/>
        <w:spacing w:line="560" w:lineRule="exact"/>
        <w:jc w:val="center"/>
        <w:rPr>
          <w:rFonts w:hint="eastAsia" w:eastAsia="楷体_GB2312" w:cs="楷体"/>
          <w:sz w:val="28"/>
          <w:szCs w:val="28"/>
          <w:lang w:val="zh-TW" w:eastAsia="zh-TW"/>
        </w:rPr>
      </w:pPr>
      <w:r>
        <w:rPr>
          <w:rFonts w:hint="eastAsia" w:ascii="Times New Roman" w:hAnsi="Times New Roman" w:eastAsia="黑体" w:cs="黑体"/>
          <w:bCs/>
          <w:sz w:val="24"/>
          <w:lang w:val="en-US" w:eastAsia="zh-CN"/>
        </w:rPr>
        <w:t>表11  评分标准</w:t>
      </w:r>
    </w:p>
    <w:tbl>
      <w:tblPr>
        <w:tblStyle w:val="14"/>
        <w:tblW w:w="4996" w:type="pct"/>
        <w:tblInd w:w="0" w:type="dxa"/>
        <w:tblLayout w:type="autofit"/>
        <w:tblCellMar>
          <w:top w:w="0" w:type="dxa"/>
          <w:left w:w="108" w:type="dxa"/>
          <w:bottom w:w="0" w:type="dxa"/>
          <w:right w:w="108" w:type="dxa"/>
        </w:tblCellMar>
      </w:tblPr>
      <w:tblGrid>
        <w:gridCol w:w="1108"/>
        <w:gridCol w:w="2210"/>
        <w:gridCol w:w="4119"/>
        <w:gridCol w:w="2069"/>
      </w:tblGrid>
      <w:tr>
        <w:tblPrEx>
          <w:tblCellMar>
            <w:top w:w="0" w:type="dxa"/>
            <w:left w:w="108" w:type="dxa"/>
            <w:bottom w:w="0" w:type="dxa"/>
            <w:right w:w="108" w:type="dxa"/>
          </w:tblCellMar>
        </w:tblPrEx>
        <w:trPr>
          <w:trHeight w:val="397" w:hRule="atLeast"/>
        </w:trPr>
        <w:tc>
          <w:tcPr>
            <w:tcW w:w="583" w:type="pct"/>
            <w:tcBorders>
              <w:top w:val="single" w:color="474747" w:sz="8" w:space="0"/>
              <w:left w:val="single" w:color="474747"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模块</w:t>
            </w:r>
          </w:p>
        </w:tc>
        <w:tc>
          <w:tcPr>
            <w:tcW w:w="3328" w:type="pct"/>
            <w:gridSpan w:val="2"/>
            <w:tcBorders>
              <w:top w:val="single" w:color="474747"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评价项目</w:t>
            </w:r>
          </w:p>
        </w:tc>
        <w:tc>
          <w:tcPr>
            <w:tcW w:w="1088" w:type="pct"/>
            <w:tcBorders>
              <w:top w:val="single" w:color="474747" w:sz="8" w:space="0"/>
              <w:left w:val="single" w:color="888E93" w:sz="8" w:space="0"/>
              <w:bottom w:val="single" w:color="888E93" w:sz="8" w:space="0"/>
              <w:right w:val="single" w:color="474747"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kern w:val="0"/>
                <w:sz w:val="21"/>
                <w:szCs w:val="21"/>
                <w:lang w:bidi="ar"/>
              </w:rPr>
              <w:t>配分</w:t>
            </w:r>
          </w:p>
        </w:tc>
      </w:tr>
      <w:tr>
        <w:tblPrEx>
          <w:tblCellMar>
            <w:top w:w="0" w:type="dxa"/>
            <w:left w:w="108" w:type="dxa"/>
            <w:bottom w:w="0" w:type="dxa"/>
            <w:right w:w="108" w:type="dxa"/>
          </w:tblCellMar>
        </w:tblPrEx>
        <w:trPr>
          <w:trHeight w:val="397" w:hRule="atLeast"/>
        </w:trPr>
        <w:tc>
          <w:tcPr>
            <w:tcW w:w="583" w:type="pct"/>
            <w:vMerge w:val="restart"/>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（一）</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现代化工HSE理论知识</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（20%）</w:t>
            </w: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单项选择题</w:t>
            </w:r>
          </w:p>
        </w:tc>
        <w:tc>
          <w:tcPr>
            <w:tcW w:w="2166"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每题0.5分</w:t>
            </w:r>
          </w:p>
        </w:tc>
        <w:tc>
          <w:tcPr>
            <w:tcW w:w="108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30分</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（计算机判分）</w:t>
            </w: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多项选择题</w:t>
            </w:r>
          </w:p>
        </w:tc>
        <w:tc>
          <w:tcPr>
            <w:tcW w:w="2166"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每题1分</w:t>
            </w:r>
          </w:p>
        </w:tc>
        <w:tc>
          <w:tcPr>
            <w:tcW w:w="108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40分</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（计算机判分）</w:t>
            </w: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single" w:color="888E93" w:sz="8" w:space="0"/>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是非题</w:t>
            </w:r>
          </w:p>
        </w:tc>
        <w:tc>
          <w:tcPr>
            <w:tcW w:w="2166"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每题0.5分</w:t>
            </w:r>
          </w:p>
        </w:tc>
        <w:tc>
          <w:tcPr>
            <w:tcW w:w="1088" w:type="pct"/>
            <w:tcBorders>
              <w:top w:val="single" w:color="888E93" w:sz="8" w:space="0"/>
              <w:left w:val="single" w:color="888E93" w:sz="8" w:space="0"/>
              <w:bottom w:val="single" w:color="888E93" w:sz="8" w:space="0"/>
              <w:right w:val="single" w:color="474747"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30分</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（计算机判分）</w:t>
            </w:r>
          </w:p>
        </w:tc>
      </w:tr>
      <w:tr>
        <w:tblPrEx>
          <w:tblCellMar>
            <w:top w:w="0" w:type="dxa"/>
            <w:left w:w="108" w:type="dxa"/>
            <w:bottom w:w="0" w:type="dxa"/>
            <w:right w:w="108" w:type="dxa"/>
          </w:tblCellMar>
        </w:tblPrEx>
        <w:trPr>
          <w:trHeight w:val="397" w:hRule="atLeast"/>
        </w:trPr>
        <w:tc>
          <w:tcPr>
            <w:tcW w:w="583" w:type="pct"/>
            <w:vMerge w:val="restart"/>
            <w:tcBorders>
              <w:top w:val="single" w:color="888E93" w:sz="8" w:space="0"/>
              <w:left w:val="single" w:color="474747" w:sz="8" w:space="0"/>
              <w:bottom w:val="nil"/>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（二）</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化工过程安全分析技术</w:t>
            </w:r>
            <w:r>
              <w:rPr>
                <w:rFonts w:hint="eastAsia" w:ascii="方正仿宋_GBK" w:hAnsi="方正仿宋_GBK" w:eastAsia="方正仿宋_GBK" w:cs="方正仿宋_GBK"/>
                <w:color w:val="000000"/>
                <w:kern w:val="0"/>
                <w:sz w:val="21"/>
                <w:szCs w:val="21"/>
                <w:lang w:bidi="ar"/>
              </w:rPr>
              <w:br w:type="textWrapping"/>
            </w:r>
            <w:r>
              <w:rPr>
                <w:rFonts w:hint="eastAsia" w:ascii="方正仿宋_GBK" w:hAnsi="方正仿宋_GBK" w:eastAsia="方正仿宋_GBK" w:cs="方正仿宋_GBK"/>
                <w:color w:val="000000"/>
                <w:kern w:val="0"/>
                <w:sz w:val="21"/>
                <w:szCs w:val="21"/>
                <w:lang w:bidi="ar"/>
              </w:rPr>
              <w:t>（35%）</w:t>
            </w: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选取事故场景角色</w:t>
            </w:r>
          </w:p>
        </w:tc>
        <w:tc>
          <w:tcPr>
            <w:tcW w:w="2166" w:type="pct"/>
            <w:tcBorders>
              <w:top w:val="single" w:color="888E93" w:sz="8" w:space="0"/>
              <w:left w:val="single" w:color="888E93" w:sz="8" w:space="0"/>
              <w:bottom w:val="nil"/>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确定每位队员角色，完成任务期间不变换角色。</w:t>
            </w:r>
          </w:p>
        </w:tc>
        <w:tc>
          <w:tcPr>
            <w:tcW w:w="1088" w:type="pct"/>
            <w:vMerge w:val="restart"/>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100分</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（计算机判分）</w:t>
            </w: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nil"/>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隐患排除</w:t>
            </w:r>
          </w:p>
        </w:tc>
        <w:tc>
          <w:tcPr>
            <w:tcW w:w="2166" w:type="pct"/>
            <w:tcBorders>
              <w:top w:val="single" w:color="888E93" w:sz="8" w:space="0"/>
              <w:left w:val="single" w:color="888E93" w:sz="8" w:space="0"/>
              <w:bottom w:val="nil"/>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找出事故点，明确事故原因</w:t>
            </w:r>
          </w:p>
        </w:tc>
        <w:tc>
          <w:tcPr>
            <w:tcW w:w="1088" w:type="pct"/>
            <w:vMerge w:val="continue"/>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color w:val="000000"/>
                <w:sz w:val="21"/>
                <w:szCs w:val="21"/>
              </w:rPr>
            </w:pP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nil"/>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事故处置</w:t>
            </w:r>
          </w:p>
        </w:tc>
        <w:tc>
          <w:tcPr>
            <w:tcW w:w="2166"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事故处置迅速、准确</w:t>
            </w:r>
          </w:p>
        </w:tc>
        <w:tc>
          <w:tcPr>
            <w:tcW w:w="1088" w:type="pct"/>
            <w:vMerge w:val="continue"/>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color w:val="000000"/>
                <w:sz w:val="21"/>
                <w:szCs w:val="21"/>
              </w:rPr>
            </w:pP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nil"/>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应急救援</w:t>
            </w:r>
          </w:p>
        </w:tc>
        <w:tc>
          <w:tcPr>
            <w:tcW w:w="2166"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成功救援</w:t>
            </w:r>
          </w:p>
        </w:tc>
        <w:tc>
          <w:tcPr>
            <w:tcW w:w="1088" w:type="pct"/>
            <w:vMerge w:val="continue"/>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color w:val="000000"/>
                <w:sz w:val="21"/>
                <w:szCs w:val="21"/>
              </w:rPr>
            </w:pP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nil"/>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事故分析报告</w:t>
            </w:r>
          </w:p>
        </w:tc>
        <w:tc>
          <w:tcPr>
            <w:tcW w:w="2166" w:type="pct"/>
            <w:tcBorders>
              <w:top w:val="single" w:color="888E93" w:sz="8" w:space="0"/>
              <w:left w:val="single" w:color="888E93" w:sz="8" w:space="0"/>
              <w:bottom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完成事故分析报告</w:t>
            </w:r>
          </w:p>
        </w:tc>
        <w:tc>
          <w:tcPr>
            <w:tcW w:w="1088" w:type="pct"/>
            <w:vMerge w:val="continue"/>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color w:val="000000"/>
                <w:sz w:val="21"/>
                <w:szCs w:val="21"/>
              </w:rPr>
            </w:pPr>
          </w:p>
        </w:tc>
      </w:tr>
      <w:tr>
        <w:tblPrEx>
          <w:tblCellMar>
            <w:top w:w="0" w:type="dxa"/>
            <w:left w:w="108" w:type="dxa"/>
            <w:bottom w:w="0" w:type="dxa"/>
            <w:right w:w="108" w:type="dxa"/>
          </w:tblCellMar>
        </w:tblPrEx>
        <w:trPr>
          <w:trHeight w:val="397" w:hRule="atLeast"/>
        </w:trPr>
        <w:tc>
          <w:tcPr>
            <w:tcW w:w="583" w:type="pct"/>
            <w:vMerge w:val="continue"/>
            <w:tcBorders>
              <w:top w:val="single" w:color="888E93" w:sz="8" w:space="0"/>
              <w:left w:val="single" w:color="474747" w:sz="8" w:space="0"/>
              <w:bottom w:val="nil"/>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sz w:val="21"/>
                <w:szCs w:val="21"/>
              </w:rPr>
            </w:pPr>
          </w:p>
        </w:tc>
        <w:tc>
          <w:tcPr>
            <w:tcW w:w="1162"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团队协作</w:t>
            </w:r>
          </w:p>
        </w:tc>
        <w:tc>
          <w:tcPr>
            <w:tcW w:w="2166" w:type="pct"/>
            <w:tcBorders>
              <w:top w:val="single" w:color="888E93" w:sz="8" w:space="0"/>
              <w:left w:val="single" w:color="888E93" w:sz="8" w:space="0"/>
              <w:bottom w:val="nil"/>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分工明确，协作完成任务</w:t>
            </w:r>
          </w:p>
        </w:tc>
        <w:tc>
          <w:tcPr>
            <w:tcW w:w="1088" w:type="pct"/>
            <w:vMerge w:val="continue"/>
            <w:tcBorders>
              <w:top w:val="single" w:color="888E93" w:sz="8" w:space="0"/>
              <w:left w:val="single" w:color="888E93" w:sz="8" w:space="0"/>
              <w:bottom w:val="single" w:color="474747" w:sz="8" w:space="0"/>
              <w:right w:val="single" w:color="474747" w:sz="8" w:space="0"/>
            </w:tcBorders>
            <w:shd w:val="clear" w:color="auto" w:fill="FFFFFF"/>
            <w:noWrap w:val="0"/>
            <w:vAlign w:val="center"/>
          </w:tcPr>
          <w:p>
            <w:pPr>
              <w:keepNext w:val="0"/>
              <w:keepLines w:val="0"/>
              <w:suppressLineNumbers w:val="0"/>
              <w:spacing w:before="0" w:beforeAutospacing="0" w:after="0" w:afterAutospacing="0"/>
              <w:ind w:left="0" w:right="0"/>
              <w:jc w:val="left"/>
              <w:rPr>
                <w:rFonts w:hint="eastAsia" w:ascii="方正仿宋_GBK" w:hAnsi="方正仿宋_GBK" w:eastAsia="方正仿宋_GBK" w:cs="方正仿宋_GBK"/>
                <w:color w:val="000000"/>
                <w:sz w:val="21"/>
                <w:szCs w:val="21"/>
              </w:rPr>
            </w:pPr>
          </w:p>
        </w:tc>
      </w:tr>
      <w:tr>
        <w:tblPrEx>
          <w:tblCellMar>
            <w:top w:w="0" w:type="dxa"/>
            <w:left w:w="108" w:type="dxa"/>
            <w:bottom w:w="0" w:type="dxa"/>
            <w:right w:w="108" w:type="dxa"/>
          </w:tblCellMar>
        </w:tblPrEx>
        <w:trPr>
          <w:trHeight w:val="397" w:hRule="atLeast"/>
        </w:trPr>
        <w:tc>
          <w:tcPr>
            <w:tcW w:w="583" w:type="pct"/>
            <w:vMerge w:val="restart"/>
            <w:tcBorders>
              <w:top w:val="single" w:color="474747" w:sz="8" w:space="0"/>
              <w:left w:val="single" w:color="474747"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（三）</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 xml:space="preserve">化工生产应急处置技能 </w:t>
            </w:r>
          </w:p>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（45%）</w:t>
            </w:r>
          </w:p>
        </w:tc>
        <w:tc>
          <w:tcPr>
            <w:tcW w:w="1162"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涉及工艺装置的火灾、中毒、大面积泄漏、超温超压等事故</w:t>
            </w:r>
          </w:p>
        </w:tc>
        <w:tc>
          <w:tcPr>
            <w:tcW w:w="2166"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从题库中抽取A、B类事故各一个，计算机记录评分</w:t>
            </w:r>
          </w:p>
        </w:tc>
        <w:tc>
          <w:tcPr>
            <w:tcW w:w="1088" w:type="pct"/>
            <w:vMerge w:val="restart"/>
            <w:tcBorders>
              <w:top w:val="single" w:color="888E93" w:sz="8" w:space="0"/>
              <w:left w:val="single" w:color="888E93"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1.总分100 分；</w:t>
            </w:r>
          </w:p>
          <w:p>
            <w:pPr>
              <w:keepNext w:val="0"/>
              <w:keepLines w:val="0"/>
              <w:widowControl/>
              <w:suppressLineNumbers w:val="0"/>
              <w:spacing w:before="0" w:beforeAutospacing="0" w:after="0" w:afterAutospacing="0"/>
              <w:ind w:left="0" w:right="0"/>
              <w:jc w:val="left"/>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2.A类题占分比重为60%，B类题占分比重为40%；</w:t>
            </w:r>
          </w:p>
        </w:tc>
      </w:tr>
      <w:tr>
        <w:tblPrEx>
          <w:tblCellMar>
            <w:top w:w="0" w:type="dxa"/>
            <w:left w:w="108" w:type="dxa"/>
            <w:bottom w:w="0" w:type="dxa"/>
            <w:right w:w="108" w:type="dxa"/>
          </w:tblCellMar>
        </w:tblPrEx>
        <w:trPr>
          <w:trHeight w:val="397" w:hRule="atLeast"/>
        </w:trPr>
        <w:tc>
          <w:tcPr>
            <w:tcW w:w="583" w:type="pct"/>
            <w:vMerge w:val="continue"/>
            <w:tcBorders>
              <w:top w:val="single" w:color="474747" w:sz="8" w:space="0"/>
              <w:left w:val="single" w:color="474747" w:sz="8" w:space="0"/>
              <w:bottom w:val="single" w:color="474747" w:sz="8" w:space="0"/>
              <w:right w:val="single" w:color="888E93" w:sz="8"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p>
        </w:tc>
        <w:tc>
          <w:tcPr>
            <w:tcW w:w="1162"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选手的个体防护、规范操作和安全文明生产等情况</w:t>
            </w:r>
          </w:p>
        </w:tc>
        <w:tc>
          <w:tcPr>
            <w:tcW w:w="2166" w:type="pct"/>
            <w:tcBorders>
              <w:top w:val="single" w:color="888E93" w:sz="8" w:space="0"/>
              <w:left w:val="single" w:color="888E93"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both"/>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highlight w:val="none"/>
                <w:lang w:bidi="ar"/>
              </w:rPr>
              <w:t>取</w:t>
            </w:r>
            <w:r>
              <w:rPr>
                <w:rFonts w:hint="eastAsia" w:ascii="方正仿宋_GBK" w:hAnsi="方正仿宋_GBK" w:eastAsia="方正仿宋_GBK" w:cs="方正仿宋_GBK"/>
                <w:color w:val="000000"/>
                <w:kern w:val="0"/>
                <w:sz w:val="21"/>
                <w:szCs w:val="21"/>
                <w:highlight w:val="none"/>
                <w:lang w:val="en-US" w:eastAsia="zh-CN" w:bidi="ar"/>
              </w:rPr>
              <w:t>3</w:t>
            </w:r>
            <w:r>
              <w:rPr>
                <w:rFonts w:hint="eastAsia" w:ascii="方正仿宋_GBK" w:hAnsi="方正仿宋_GBK" w:eastAsia="方正仿宋_GBK" w:cs="方正仿宋_GBK"/>
                <w:color w:val="000000"/>
                <w:kern w:val="0"/>
                <w:sz w:val="21"/>
                <w:szCs w:val="21"/>
                <w:highlight w:val="none"/>
                <w:lang w:bidi="ar"/>
              </w:rPr>
              <w:t>个现场裁判员打分的平均值</w:t>
            </w:r>
          </w:p>
        </w:tc>
        <w:tc>
          <w:tcPr>
            <w:tcW w:w="1088" w:type="pct"/>
            <w:vMerge w:val="continue"/>
            <w:tcBorders>
              <w:left w:val="single" w:color="888E93" w:sz="8" w:space="0"/>
              <w:bottom w:val="single" w:color="474747" w:sz="8" w:space="0"/>
              <w:right w:val="single" w:color="888E93" w:sz="8"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rPr>
            </w:pPr>
          </w:p>
        </w:tc>
      </w:tr>
    </w:tbl>
    <w:p>
      <w:pPr>
        <w:numPr>
          <w:ilvl w:val="0"/>
          <w:numId w:val="0"/>
        </w:numPr>
        <w:adjustRightInd w:val="0"/>
        <w:snapToGrid w:val="0"/>
        <w:spacing w:line="560" w:lineRule="exact"/>
        <w:ind w:right="210" w:rightChars="100" w:firstLine="640" w:firstLineChars="200"/>
        <w:jc w:val="left"/>
        <w:rPr>
          <w:rFonts w:hint="eastAsia" w:ascii="Times New Roman" w:hAnsi="Times New Roman" w:eastAsia="楷体_GB2312" w:cs="楷体"/>
          <w:sz w:val="32"/>
          <w:szCs w:val="32"/>
          <w:lang w:val="zh-TW" w:eastAsia="zh-TW"/>
        </w:rPr>
      </w:pPr>
      <w:r>
        <w:rPr>
          <w:rFonts w:hint="eastAsia" w:ascii="Times New Roman" w:hAnsi="Times New Roman" w:eastAsia="楷体_GB2312" w:cs="楷体"/>
          <w:sz w:val="32"/>
          <w:szCs w:val="32"/>
          <w:lang w:val="zh-TW" w:eastAsia="zh-TW"/>
        </w:rPr>
        <w:t>（三）评分方法</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1.本赛项模块一“现代化工HSE理论知识”，考核时间为60分钟，考核的成绩采用 3 名成员的平均值，占总成绩的20％；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2.本赛项模块二“化工过程安全分析技术”，考核时间为 60 分钟，考核的成绩采用3名成员的平均值，占总成绩的35％；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3.本赛项模块三“化工生产应急处置技能操作”，考核时间为 60 分钟，考核 的成绩分两部分，一部分为现场裁判统一打分，一部分为计算机判分，两部分的总成绩占该赛项的 45%。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4.最终成绩评定：(A1+A2+A3)/3×20%＋(B1+B2+B3)/3×35%＋[</w:t>
      </w:r>
      <w:r>
        <w:rPr>
          <w:rFonts w:ascii="仿宋_GB2312" w:hAnsi="仿宋" w:eastAsia="仿宋_GB2312"/>
          <w:sz w:val="32"/>
          <w:szCs w:val="32"/>
        </w:rPr>
        <w:t>A</w:t>
      </w:r>
      <w:r>
        <w:rPr>
          <w:rFonts w:hint="eastAsia" w:ascii="仿宋_GB2312" w:hAnsi="仿宋" w:eastAsia="仿宋_GB2312"/>
          <w:sz w:val="32"/>
          <w:szCs w:val="32"/>
        </w:rPr>
        <w:t>类题（百分制）×</w:t>
      </w:r>
      <w:r>
        <w:rPr>
          <w:rFonts w:ascii="仿宋_GB2312" w:hAnsi="仿宋" w:eastAsia="仿宋_GB2312"/>
          <w:sz w:val="32"/>
          <w:szCs w:val="32"/>
        </w:rPr>
        <w:t>6</w:t>
      </w:r>
      <w:r>
        <w:rPr>
          <w:rFonts w:hint="eastAsia" w:ascii="仿宋_GB2312" w:hAnsi="仿宋" w:eastAsia="仿宋_GB2312"/>
          <w:sz w:val="32"/>
          <w:szCs w:val="32"/>
        </w:rPr>
        <w:t>0%+</w:t>
      </w:r>
      <w:r>
        <w:rPr>
          <w:rFonts w:ascii="仿宋_GB2312" w:hAnsi="仿宋" w:eastAsia="仿宋_GB2312"/>
          <w:sz w:val="32"/>
          <w:szCs w:val="32"/>
        </w:rPr>
        <w:t>B</w:t>
      </w:r>
      <w:r>
        <w:rPr>
          <w:rFonts w:hint="eastAsia" w:ascii="仿宋_GB2312" w:hAnsi="仿宋" w:eastAsia="仿宋_GB2312"/>
          <w:sz w:val="32"/>
          <w:szCs w:val="32"/>
        </w:rPr>
        <w:t>类题（百分制）×</w:t>
      </w:r>
      <w:r>
        <w:rPr>
          <w:rFonts w:ascii="仿宋_GB2312" w:hAnsi="仿宋" w:eastAsia="仿宋_GB2312"/>
          <w:sz w:val="32"/>
          <w:szCs w:val="32"/>
        </w:rPr>
        <w:t>4</w:t>
      </w:r>
      <w:r>
        <w:rPr>
          <w:rFonts w:hint="eastAsia" w:ascii="仿宋_GB2312" w:hAnsi="仿宋" w:eastAsia="仿宋_GB2312"/>
          <w:sz w:val="32"/>
          <w:szCs w:val="32"/>
        </w:rPr>
        <w:t xml:space="preserve">0%]×45%。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A1、A2、A3 分别为个人赛项“现代化工 HSE 理论知识”的每位队员的个人机考成绩；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B1、B2、B3 分别为团体和个人结合赛项“化工过程安全分析技术”的每位队员的机评成绩；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C 机（百分制）为团体赛项“化工生产应急处置技能”的机评成绩；C 裁（百分制）为团体赛项“化工生产应急处置技能”的裁判评分。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5.竞赛名次按团队总成绩高低排定。总成绩相同者，则“化工过程安全分析技 术”和“化工生产应急处置技能”成绩高者为先；总成绩相同且“化工过程安全分析技术”和“化工生产应急处置技能”两个实操的总成绩也相同时，则以“化工生产应急处置技能”成绩高者为先；若“化工生产应急处置技能”成绩也相同时，则以比赛完成时间短者为先。 </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6.在完成比赛任务的过程中，因操作不当损坏比赛设备，裁判根据评分细则在比赛总分中扣分。 </w:t>
      </w: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rPr>
        <w:t>十</w:t>
      </w:r>
      <w:r>
        <w:rPr>
          <w:rFonts w:hint="eastAsia" w:eastAsia="黑体"/>
          <w:sz w:val="32"/>
          <w:szCs w:val="32"/>
          <w:lang w:val="en-US" w:eastAsia="zh-CN"/>
        </w:rPr>
        <w:t>二</w:t>
      </w:r>
      <w:r>
        <w:rPr>
          <w:rFonts w:hint="eastAsia" w:eastAsia="黑体"/>
          <w:sz w:val="32"/>
          <w:szCs w:val="32"/>
        </w:rPr>
        <w:t>、</w:t>
      </w:r>
      <w:r>
        <w:rPr>
          <w:rFonts w:eastAsia="黑体"/>
          <w:sz w:val="32"/>
          <w:szCs w:val="32"/>
        </w:rPr>
        <w:t>奖项设置</w:t>
      </w:r>
    </w:p>
    <w:p>
      <w:pPr>
        <w:widowControl/>
        <w:spacing w:line="560" w:lineRule="exact"/>
        <w:ind w:firstLine="640" w:firstLineChars="200"/>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按照《河南省教育厅办公室关于举办2024年河南省高等职业教育技能大赛的通知》（教办职成〔2024〕331号）文件规定执行。</w:t>
      </w: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rPr>
        <w:t>十</w:t>
      </w:r>
      <w:r>
        <w:rPr>
          <w:rFonts w:hint="eastAsia" w:eastAsia="黑体"/>
          <w:sz w:val="32"/>
          <w:szCs w:val="32"/>
          <w:lang w:val="en-US" w:eastAsia="zh-CN"/>
        </w:rPr>
        <w:t>三</w:t>
      </w:r>
      <w:r>
        <w:rPr>
          <w:rFonts w:hint="eastAsia" w:eastAsia="黑体"/>
          <w:sz w:val="32"/>
          <w:szCs w:val="32"/>
        </w:rPr>
        <w:t>、</w:t>
      </w:r>
      <w:r>
        <w:rPr>
          <w:rFonts w:eastAsia="黑体"/>
          <w:sz w:val="32"/>
          <w:szCs w:val="32"/>
        </w:rPr>
        <w:t>赛项预案</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（一）专业知识与化工过程安全分析技术考核中出现计算机“死机”情况的处理预案</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1.对考核软件增设定期保存功能，如在考核过程中出现“死机”现象，在计算机恢复后给予适当补时。</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2.适当增加计算机冗余数量，若出现计算机损坏并无法恢复时，及时更换计算机，确保选手考核正常进行。</w:t>
      </w:r>
    </w:p>
    <w:p>
      <w:pPr>
        <w:adjustRightInd w:val="0"/>
        <w:snapToGrid w:val="0"/>
        <w:spacing w:line="560" w:lineRule="exact"/>
        <w:ind w:right="210" w:rightChars="100" w:firstLine="640" w:firstLineChars="200"/>
        <w:jc w:val="left"/>
        <w:rPr>
          <w:rFonts w:hint="eastAsia" w:eastAsia="楷体_GB2312" w:cs="楷体"/>
          <w:sz w:val="32"/>
          <w:szCs w:val="32"/>
          <w:lang w:val="zh-TW" w:eastAsia="zh-TW"/>
        </w:rPr>
      </w:pPr>
      <w:r>
        <w:rPr>
          <w:rFonts w:hint="eastAsia" w:eastAsia="楷体_GB2312" w:cs="楷体"/>
          <w:sz w:val="32"/>
          <w:szCs w:val="32"/>
          <w:lang w:val="zh-TW" w:eastAsia="zh-TW"/>
        </w:rPr>
        <w:t>（二）化工生产应急处置技能设备故障的处理预案</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1.配备相关技术保障人员，及时对设备故障进行抢修。</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2.若设备损坏并无法修复时，及时按规更换比赛场次并顺延比赛时间，确保考核正常进行。</w:t>
      </w: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rPr>
        <w:t>十</w:t>
      </w:r>
      <w:r>
        <w:rPr>
          <w:rFonts w:hint="eastAsia" w:eastAsia="黑体"/>
          <w:sz w:val="32"/>
          <w:szCs w:val="32"/>
          <w:lang w:val="en-US" w:eastAsia="zh-CN"/>
        </w:rPr>
        <w:t>四</w:t>
      </w:r>
      <w:r>
        <w:rPr>
          <w:rFonts w:hint="eastAsia" w:eastAsia="黑体"/>
          <w:sz w:val="32"/>
          <w:szCs w:val="32"/>
        </w:rPr>
        <w:t>、</w:t>
      </w:r>
      <w:r>
        <w:rPr>
          <w:rFonts w:eastAsia="黑体"/>
          <w:sz w:val="32"/>
          <w:szCs w:val="32"/>
        </w:rPr>
        <w:t>竞赛须知</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各参赛代表队要发扬良好道德风尚，听从指挥，服从裁判，不弄虚作假。如发现弄虚作假者，取消参赛资格，名次无效。</w:t>
      </w:r>
    </w:p>
    <w:p>
      <w:pPr>
        <w:adjustRightInd w:val="0"/>
        <w:snapToGrid w:val="0"/>
        <w:spacing w:line="560" w:lineRule="exact"/>
        <w:ind w:right="210" w:rightChars="100" w:firstLine="640" w:firstLineChars="200"/>
        <w:jc w:val="left"/>
        <w:rPr>
          <w:rFonts w:hint="eastAsia" w:eastAsia="楷体_GB2312" w:cs="楷体"/>
          <w:sz w:val="32"/>
          <w:szCs w:val="32"/>
        </w:rPr>
      </w:pPr>
      <w:r>
        <w:rPr>
          <w:rFonts w:hint="eastAsia" w:eastAsia="楷体_GB2312" w:cs="楷体"/>
          <w:sz w:val="32"/>
          <w:szCs w:val="32"/>
        </w:rPr>
        <w:t>（一）参赛队须知</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1.本赛项选手参加竞赛的批次和竞赛工位将通过抽签决定。</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2.领队：每个参赛队设领队 1 名，负责竞赛的协调工作。</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3.参赛队对赛项执委会发布的所有文件都要仔细阅读，确切了解比赛的时间安排、评判细节等，以保证顺利参加比赛。</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4.参赛队领队负责本参赛队的参赛组织和与大赛的联络，并按时参加领队会议。</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5.参赛队按照赛项赛程安排，凭赛项组委会颁发的参赛证和有效身份证件参加竞赛及相关活动。</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6.参赛队须为参赛选手购买比赛期间的人身意外伤害保险，有效期必须为比赛举行期间，不得以其他长期保险代替。</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7.参赛选手应自觉遵守赛场纪律，服从裁判、听从指挥。</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8.对于本规则没有规定的行为，裁判组有权做出裁决。在有争议的情况下，裁判裁决是最终裁决，任何媒体资料都不做参考。</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9.本竞赛项目的解释权归赛项组委会。</w:t>
      </w:r>
    </w:p>
    <w:p>
      <w:pPr>
        <w:adjustRightInd w:val="0"/>
        <w:snapToGrid w:val="0"/>
        <w:spacing w:line="560" w:lineRule="exact"/>
        <w:ind w:right="210" w:rightChars="100" w:firstLine="640" w:firstLineChars="200"/>
        <w:jc w:val="left"/>
        <w:rPr>
          <w:rFonts w:hint="eastAsia" w:eastAsia="楷体_GB2312" w:cs="楷体"/>
          <w:sz w:val="32"/>
          <w:szCs w:val="32"/>
        </w:rPr>
      </w:pPr>
      <w:r>
        <w:rPr>
          <w:rFonts w:hint="eastAsia" w:eastAsia="楷体_GB2312" w:cs="楷体"/>
          <w:sz w:val="32"/>
          <w:szCs w:val="32"/>
        </w:rPr>
        <w:t>（二）指导教师须知</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1.每个参赛队限2名指导教师。指导教师经报名并通过资格审查后确定，选手和指导教师的对应关系一经确定不得随意变更。</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2.做好本单位比赛选手的业务辅导、心理疏导和思想引导工作，对参赛选手及比赛过程报以平和、包容的心态；共同维护竞赛秩序。</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3.自觉遵守竞赛规则，尊重和支持裁判工作，不随意进入比赛现场及其他禁止入内的区域，发现违规取消该队参赛资格。</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当本单位参赛选手对比赛进程中出现异常或疑问，应及时了解情况，客观做出判断，并做好选手的安抚工作，经内部进行协商，认为有必要时可在规定时限内向赛项监督仲裁工作组反映情况或提出书面仲裁申请。</w:t>
      </w:r>
    </w:p>
    <w:p>
      <w:pPr>
        <w:adjustRightInd w:val="0"/>
        <w:snapToGrid w:val="0"/>
        <w:spacing w:line="560" w:lineRule="exact"/>
        <w:ind w:right="210" w:rightChars="100" w:firstLine="640" w:firstLineChars="200"/>
        <w:jc w:val="left"/>
        <w:rPr>
          <w:rFonts w:hint="eastAsia" w:eastAsia="楷体_GB2312" w:cs="楷体"/>
          <w:sz w:val="32"/>
          <w:szCs w:val="32"/>
        </w:rPr>
      </w:pPr>
      <w:r>
        <w:rPr>
          <w:rFonts w:hint="eastAsia" w:eastAsia="楷体_GB2312" w:cs="楷体"/>
          <w:sz w:val="32"/>
          <w:szCs w:val="32"/>
        </w:rPr>
        <w:t>（三）参赛选手须知</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 参赛选手严格遵守赛场规章、操作规程，保证人身及设备安全，接受裁判员的监督和警示，文明竞赛。</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2．参赛选手应持参赛有效证件（身份证、学生证、参赛证），按竞赛顺序、项目场次和竞赛时间，提前30分钟到各考核项目指定地点接受检录、抽签决定竞赛装置号、机位号等。</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3．检录后的选手，应在工作人员的引进下，提前10 分钟到达竞赛现场，从竞赛计时开始，选手未到即取消该项目的参赛资格。</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4．参赛选手进入赛场，应佩戴参赛证，并根据竞赛项目要求统一着装，做到衣着整洁，符合安全生产及竞赛要求。</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5．参赛选手应认真阅读各项目竞赛操作须知，自觉遵守赛场纪律，按竞赛规则、项目与赛场要求进行竞赛，不得携带任何书面或电子资料、U 盘、手机等电子或通讯设备进入赛场，不得有任何舞弊行为，否则视情节轻重执行赛场纪律。</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6．竞赛期间，竞赛选手应服从裁判评判，若对裁判评分产生异议，不得与裁判争执、顶撞，但可于规定时限内由领队向竞赛监督仲裁委员会提出书面仲裁申请；由竞赛监督仲裁委员会调查核实并处理。</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7．参加技能操作竞赛的选手如提前完成作业，选手应在指定的区域等待，经裁判同意方可离开考场。</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8．竞赛过程中如因竞赛设备或检测仪器发生故障，应及时报告裁判，不得私自处理，否则取消本场次比赛资格。</w:t>
      </w:r>
    </w:p>
    <w:p>
      <w:pPr>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640" w:firstLineChars="200"/>
        <w:jc w:val="left"/>
        <w:textAlignment w:val="auto"/>
        <w:rPr>
          <w:rFonts w:hint="eastAsia" w:eastAsia="楷体_GB2312" w:cs="楷体"/>
          <w:sz w:val="32"/>
          <w:szCs w:val="32"/>
        </w:rPr>
      </w:pPr>
      <w:r>
        <w:rPr>
          <w:rFonts w:hint="eastAsia" w:eastAsia="楷体_GB2312" w:cs="楷体"/>
          <w:sz w:val="32"/>
          <w:szCs w:val="32"/>
        </w:rPr>
        <w:t>（四）工作人员及志愿者须知</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1．工作人员要服从竞赛执委会的统一领导，服从相关工作组长的工作安排，树立服务观念，一切为选手着想，以高度负责的精神、严肃认真的态度和严谨细致的作风，积极完成本职任务。</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2．按规定统一着装，注意文明礼貌，保持良好形象，熟悉大赛指南。</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3．赛前40 分钟到达赛场，严守工作岗位，不迟到，不早退，不无故离岗，特殊情况需向竞赛执委会请假。</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4．熟悉竞赛规程，严格遵守岗位职责，严格按照工作程序和有关规定办事，遇突发事件，按照安全工作预案，组织指挥人员疏散，确保人员安全。</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5．保持通信畅通，服从统一领导，严格遵守竞赛纪律，加强协作配合，提高工作效率。</w:t>
      </w:r>
    </w:p>
    <w:p>
      <w:pPr>
        <w:widowControl/>
        <w:adjustRightInd w:val="0"/>
        <w:snapToGrid w:val="0"/>
        <w:spacing w:line="560" w:lineRule="exact"/>
        <w:ind w:firstLine="640" w:firstLineChars="200"/>
        <w:jc w:val="left"/>
        <w:rPr>
          <w:rFonts w:eastAsia="黑体"/>
          <w:sz w:val="32"/>
          <w:szCs w:val="32"/>
        </w:rPr>
      </w:pPr>
      <w:r>
        <w:rPr>
          <w:rFonts w:hint="eastAsia" w:eastAsia="黑体"/>
          <w:sz w:val="32"/>
          <w:szCs w:val="32"/>
        </w:rPr>
        <w:t>十</w:t>
      </w:r>
      <w:r>
        <w:rPr>
          <w:rFonts w:hint="eastAsia" w:eastAsia="黑体"/>
          <w:sz w:val="32"/>
          <w:szCs w:val="32"/>
          <w:lang w:val="en-US" w:eastAsia="zh-CN"/>
        </w:rPr>
        <w:t>五</w:t>
      </w:r>
      <w:r>
        <w:rPr>
          <w:rFonts w:hint="eastAsia" w:eastAsia="黑体"/>
          <w:sz w:val="32"/>
          <w:szCs w:val="32"/>
        </w:rPr>
        <w:t>、</w:t>
      </w:r>
      <w:r>
        <w:rPr>
          <w:rFonts w:eastAsia="黑体"/>
          <w:sz w:val="32"/>
          <w:szCs w:val="32"/>
        </w:rPr>
        <w:t>申诉与仲裁</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参赛队对不符合大赛和赛项规程规定的仪器、设备、工装、材料、物件、计算机软硬件、竞赛使用工具、用品、竞赛执裁、赛场管理以及工作人员的不规范行为等，可向赛项监督仲裁组提出申诉。</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一）申诉主体为参赛队领队。申诉启动时，领队向赛项监督仲裁组递交亲笔签字同意的书面申诉报告。申诉报告应对申诉事件的现象、发生时间、涉及人员、申诉依据等进行充分、实事求是的叙述。事实依据不充分、仅凭主观臆断的申诉将不予受理。申诉报告须有申诉的参赛选手、领队签名。非书面申诉不予受理。</w:t>
      </w:r>
    </w:p>
    <w:p>
      <w:pPr>
        <w:widowControl/>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（二）提出申诉的时间应在竞赛结束后（选手赛场竞赛内容全部完成）2 小时内，超过时效不予受理。</w:t>
      </w:r>
    </w:p>
    <w:p>
      <w:pPr>
        <w:widowControl/>
        <w:spacing w:line="560" w:lineRule="exact"/>
        <w:ind w:firstLine="640" w:firstLineChars="200"/>
        <w:rPr>
          <w:rFonts w:hint="eastAsia" w:ascii="仿宋_GB2312" w:hAnsi="仿宋" w:eastAsia="仿宋_GB2312"/>
          <w:sz w:val="28"/>
          <w:szCs w:val="28"/>
        </w:rPr>
      </w:pPr>
      <w:r>
        <w:rPr>
          <w:rFonts w:hint="eastAsia" w:ascii="仿宋_GB2312" w:hAnsi="仿宋" w:eastAsia="仿宋_GB2312"/>
          <w:sz w:val="32"/>
          <w:szCs w:val="32"/>
        </w:rPr>
        <w:t>（三）赛项监督仲裁组在接到申诉报告后的 2 小时内组织复议，并及时将复议结果以书面形式告知申诉方。申诉方可随时提出放弃申诉。</w:t>
      </w:r>
    </w:p>
    <w:p/>
    <w:sectPr>
      <w:pgSz w:w="11906" w:h="16838"/>
      <w:pgMar w:top="1247" w:right="1247" w:bottom="1134" w:left="136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华文仿宋">
    <w:altName w:val="汉仪仿宋简"/>
    <w:panose1 w:val="02010600040101010101"/>
    <w:charset w:val="86"/>
    <w:family w:val="auto"/>
    <w:pitch w:val="default"/>
    <w:sig w:usb0="00000000" w:usb1="00000000" w:usb2="00000000" w:usb3="00000000" w:csb0="0004009F" w:csb1="DFD70000"/>
  </w:font>
  <w:font w:name="仿宋^.....">
    <w:altName w:val="仿宋"/>
    <w:panose1 w:val="00000000000000000000"/>
    <w:charset w:val="86"/>
    <w:family w:val="roman"/>
    <w:pitch w:val="default"/>
    <w:sig w:usb0="00000000" w:usb1="00000000" w:usb2="0000001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方正小标宋_GBK">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false" upright="false">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zql5uc8AAAAFAQAADwAAAAAAAAABACAA&#10;AAA4AAAAZHJzL2Rvd25yZXYueG1sUEsBAhQAFAAAAAgAh07iQGEXbt7HAQAAewMAAA4AAAAAAAAA&#10;AQAgAAAANAEAAGRycy9lMm9Eb2MueG1sUEsFBgAAAAAGAAYAWQEAAG0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39E72"/>
    <w:multiLevelType w:val="singleLevel"/>
    <w:tmpl w:val="B7339E72"/>
    <w:lvl w:ilvl="0" w:tentative="0">
      <w:start w:val="1"/>
      <w:numFmt w:val="upperLetter"/>
      <w:lvlText w:val="%1."/>
      <w:lvlJc w:val="left"/>
      <w:pPr>
        <w:tabs>
          <w:tab w:val="left" w:pos="312"/>
        </w:tabs>
      </w:pPr>
    </w:lvl>
  </w:abstractNum>
  <w:abstractNum w:abstractNumId="1">
    <w:nsid w:val="1F4CB373"/>
    <w:multiLevelType w:val="singleLevel"/>
    <w:tmpl w:val="1F4CB373"/>
    <w:lvl w:ilvl="0" w:tentative="0">
      <w:start w:val="2"/>
      <w:numFmt w:val="chineseCounting"/>
      <w:suff w:val="nothing"/>
      <w:lvlText w:val="（%1）"/>
      <w:lvlJc w:val="left"/>
      <w:rPr>
        <w:rFonts w:hint="eastAsia"/>
      </w:rPr>
    </w:lvl>
  </w:abstractNum>
  <w:abstractNum w:abstractNumId="2">
    <w:nsid w:val="4396E70E"/>
    <w:multiLevelType w:val="singleLevel"/>
    <w:tmpl w:val="4396E70E"/>
    <w:lvl w:ilvl="0" w:tentative="0">
      <w:start w:val="1"/>
      <w:numFmt w:val="chineseCounting"/>
      <w:suff w:val="nothing"/>
      <w:lvlText w:val="%1、"/>
      <w:lvlJc w:val="left"/>
      <w:rPr>
        <w:rFonts w:hint="eastAsia"/>
      </w:rPr>
    </w:lvl>
  </w:abstractNum>
  <w:abstractNum w:abstractNumId="3">
    <w:nsid w:val="4E22EC98"/>
    <w:multiLevelType w:val="singleLevel"/>
    <w:tmpl w:val="4E22EC98"/>
    <w:lvl w:ilvl="0" w:tentative="0">
      <w:start w:val="1"/>
      <w:numFmt w:val="chineseCounting"/>
      <w:suff w:val="nothing"/>
      <w:lvlText w:val="%1、"/>
      <w:lvlJc w:val="left"/>
      <w:rPr>
        <w:rFonts w:hint="eastAsia"/>
      </w:rPr>
    </w:lvl>
  </w:abstractNum>
  <w:abstractNum w:abstractNumId="4">
    <w:nsid w:val="57D2C8A8"/>
    <w:multiLevelType w:val="singleLevel"/>
    <w:tmpl w:val="57D2C8A8"/>
    <w:lvl w:ilvl="0" w:tentative="0">
      <w:start w:val="2"/>
      <w:numFmt w:val="chineseCounting"/>
      <w:suff w:val="nothing"/>
      <w:lvlText w:val="（%1）"/>
      <w:lvlJc w:val="left"/>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420"/>
  <w:hyphenationZone w:val="360"/>
  <w:drawingGridVerticalSpacing w:val="160"/>
  <w:displayHorizontalDrawingGridEvery w:val="1"/>
  <w:displayVerticalDrawingGridEvery w:val="2"/>
  <w:noPunctuationKerning w:val="true"/>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5OTEzZDlhODlmOGIxYTA4ZDg1ZGFkODdmMzUzOTcifQ=="/>
  </w:docVars>
  <w:rsids>
    <w:rsidRoot w:val="00187A03"/>
    <w:rsid w:val="000043C2"/>
    <w:rsid w:val="00014826"/>
    <w:rsid w:val="00036E7E"/>
    <w:rsid w:val="000942B7"/>
    <w:rsid w:val="000A3E1B"/>
    <w:rsid w:val="000D2468"/>
    <w:rsid w:val="000D34B3"/>
    <w:rsid w:val="00113543"/>
    <w:rsid w:val="0012123C"/>
    <w:rsid w:val="00187A03"/>
    <w:rsid w:val="001A06EB"/>
    <w:rsid w:val="00203BFF"/>
    <w:rsid w:val="00241263"/>
    <w:rsid w:val="002B5BC1"/>
    <w:rsid w:val="00343612"/>
    <w:rsid w:val="003B528D"/>
    <w:rsid w:val="00403D7B"/>
    <w:rsid w:val="004871C0"/>
    <w:rsid w:val="004E17B5"/>
    <w:rsid w:val="004F3472"/>
    <w:rsid w:val="00501FD2"/>
    <w:rsid w:val="00530FE8"/>
    <w:rsid w:val="005B0770"/>
    <w:rsid w:val="00604405"/>
    <w:rsid w:val="0068012C"/>
    <w:rsid w:val="0071263D"/>
    <w:rsid w:val="0074463A"/>
    <w:rsid w:val="007A5654"/>
    <w:rsid w:val="007C26B1"/>
    <w:rsid w:val="008F1C20"/>
    <w:rsid w:val="00910376"/>
    <w:rsid w:val="009A2DCD"/>
    <w:rsid w:val="009D7487"/>
    <w:rsid w:val="009E3022"/>
    <w:rsid w:val="00A55D24"/>
    <w:rsid w:val="00A86B4A"/>
    <w:rsid w:val="00AF084E"/>
    <w:rsid w:val="00B327AA"/>
    <w:rsid w:val="00BA7694"/>
    <w:rsid w:val="00BB562A"/>
    <w:rsid w:val="00C77316"/>
    <w:rsid w:val="00CB71B6"/>
    <w:rsid w:val="00D36D94"/>
    <w:rsid w:val="00D86122"/>
    <w:rsid w:val="00DD3483"/>
    <w:rsid w:val="00DD5360"/>
    <w:rsid w:val="00E436D1"/>
    <w:rsid w:val="00E75EFD"/>
    <w:rsid w:val="00EC24D5"/>
    <w:rsid w:val="00F406FB"/>
    <w:rsid w:val="00F648C5"/>
    <w:rsid w:val="00FF441B"/>
    <w:rsid w:val="01574D00"/>
    <w:rsid w:val="01B72FDE"/>
    <w:rsid w:val="03394EB3"/>
    <w:rsid w:val="039727DC"/>
    <w:rsid w:val="03F60985"/>
    <w:rsid w:val="045771EC"/>
    <w:rsid w:val="078057A6"/>
    <w:rsid w:val="087A34A0"/>
    <w:rsid w:val="089963F4"/>
    <w:rsid w:val="09AA1DED"/>
    <w:rsid w:val="0A5D2E90"/>
    <w:rsid w:val="0CAF0367"/>
    <w:rsid w:val="0EBB70C4"/>
    <w:rsid w:val="1047091D"/>
    <w:rsid w:val="12402E84"/>
    <w:rsid w:val="124A70DD"/>
    <w:rsid w:val="1266043A"/>
    <w:rsid w:val="14C52C6D"/>
    <w:rsid w:val="154E1A79"/>
    <w:rsid w:val="15B62387"/>
    <w:rsid w:val="16A803DE"/>
    <w:rsid w:val="16A9799F"/>
    <w:rsid w:val="16D74CB7"/>
    <w:rsid w:val="16DA007F"/>
    <w:rsid w:val="17C36FE9"/>
    <w:rsid w:val="18426DC6"/>
    <w:rsid w:val="18B95189"/>
    <w:rsid w:val="194F6D87"/>
    <w:rsid w:val="19E02D11"/>
    <w:rsid w:val="1A3C6783"/>
    <w:rsid w:val="1AC71375"/>
    <w:rsid w:val="1B80591D"/>
    <w:rsid w:val="1BA71A66"/>
    <w:rsid w:val="1BD46E76"/>
    <w:rsid w:val="1BF55A49"/>
    <w:rsid w:val="1C8F393E"/>
    <w:rsid w:val="1CD31DC0"/>
    <w:rsid w:val="1D4A4435"/>
    <w:rsid w:val="1D647572"/>
    <w:rsid w:val="1D8B67FB"/>
    <w:rsid w:val="1F680BA2"/>
    <w:rsid w:val="21121472"/>
    <w:rsid w:val="22327245"/>
    <w:rsid w:val="231177A3"/>
    <w:rsid w:val="24B36F31"/>
    <w:rsid w:val="25D81371"/>
    <w:rsid w:val="275508F3"/>
    <w:rsid w:val="275B1F43"/>
    <w:rsid w:val="27651E6B"/>
    <w:rsid w:val="283F446A"/>
    <w:rsid w:val="284C75AE"/>
    <w:rsid w:val="290106D1"/>
    <w:rsid w:val="292C2C40"/>
    <w:rsid w:val="296B7929"/>
    <w:rsid w:val="297F5DA9"/>
    <w:rsid w:val="29B42C36"/>
    <w:rsid w:val="29CE019B"/>
    <w:rsid w:val="2A9A5C48"/>
    <w:rsid w:val="2C35005E"/>
    <w:rsid w:val="2C8B5ED0"/>
    <w:rsid w:val="2CAF1B90"/>
    <w:rsid w:val="2CB41D34"/>
    <w:rsid w:val="30281C88"/>
    <w:rsid w:val="30552F0E"/>
    <w:rsid w:val="325B00F2"/>
    <w:rsid w:val="326B53F4"/>
    <w:rsid w:val="33737CD5"/>
    <w:rsid w:val="33997B48"/>
    <w:rsid w:val="33A04928"/>
    <w:rsid w:val="33BA709B"/>
    <w:rsid w:val="33DA1BB7"/>
    <w:rsid w:val="3428494C"/>
    <w:rsid w:val="34550620"/>
    <w:rsid w:val="34A37A02"/>
    <w:rsid w:val="34A8750F"/>
    <w:rsid w:val="34DD5737"/>
    <w:rsid w:val="35F607CB"/>
    <w:rsid w:val="36867657"/>
    <w:rsid w:val="379F4F25"/>
    <w:rsid w:val="37E34E12"/>
    <w:rsid w:val="3B32542E"/>
    <w:rsid w:val="3C6B206F"/>
    <w:rsid w:val="3CD13DD3"/>
    <w:rsid w:val="3CED6733"/>
    <w:rsid w:val="3DAE69E5"/>
    <w:rsid w:val="3DEE5ECF"/>
    <w:rsid w:val="3F3044EF"/>
    <w:rsid w:val="3FFB2473"/>
    <w:rsid w:val="40511B68"/>
    <w:rsid w:val="40EC7911"/>
    <w:rsid w:val="4151103E"/>
    <w:rsid w:val="41DB6C4C"/>
    <w:rsid w:val="424010B3"/>
    <w:rsid w:val="43265B48"/>
    <w:rsid w:val="432E7BB7"/>
    <w:rsid w:val="44427364"/>
    <w:rsid w:val="450308A1"/>
    <w:rsid w:val="46435D9F"/>
    <w:rsid w:val="46EE10DD"/>
    <w:rsid w:val="47046B53"/>
    <w:rsid w:val="47321FD8"/>
    <w:rsid w:val="47BB6757"/>
    <w:rsid w:val="47BC11DC"/>
    <w:rsid w:val="485921CD"/>
    <w:rsid w:val="48DB63FB"/>
    <w:rsid w:val="49240122"/>
    <w:rsid w:val="4A1F36EE"/>
    <w:rsid w:val="4A677B24"/>
    <w:rsid w:val="4C034374"/>
    <w:rsid w:val="4D1B0752"/>
    <w:rsid w:val="4F6E3410"/>
    <w:rsid w:val="50F9524E"/>
    <w:rsid w:val="512B4ABF"/>
    <w:rsid w:val="51562B56"/>
    <w:rsid w:val="545731F3"/>
    <w:rsid w:val="54DB2F72"/>
    <w:rsid w:val="56011B71"/>
    <w:rsid w:val="575A71C6"/>
    <w:rsid w:val="58311772"/>
    <w:rsid w:val="58B01B9D"/>
    <w:rsid w:val="5B240084"/>
    <w:rsid w:val="5B974F87"/>
    <w:rsid w:val="5BA20639"/>
    <w:rsid w:val="5BEF1728"/>
    <w:rsid w:val="5C545F27"/>
    <w:rsid w:val="5DAB2583"/>
    <w:rsid w:val="5DC42740"/>
    <w:rsid w:val="5E7C551C"/>
    <w:rsid w:val="60C3205F"/>
    <w:rsid w:val="61677770"/>
    <w:rsid w:val="61F45CEA"/>
    <w:rsid w:val="62095549"/>
    <w:rsid w:val="63097573"/>
    <w:rsid w:val="63B55005"/>
    <w:rsid w:val="63BB2509"/>
    <w:rsid w:val="63C178E1"/>
    <w:rsid w:val="64FE0B75"/>
    <w:rsid w:val="65554576"/>
    <w:rsid w:val="6694184A"/>
    <w:rsid w:val="66F53062"/>
    <w:rsid w:val="67C537C4"/>
    <w:rsid w:val="6807531A"/>
    <w:rsid w:val="681D48E2"/>
    <w:rsid w:val="68AD6DCC"/>
    <w:rsid w:val="68D47EA0"/>
    <w:rsid w:val="68E0459C"/>
    <w:rsid w:val="69195AC9"/>
    <w:rsid w:val="6A9736B6"/>
    <w:rsid w:val="6AB23944"/>
    <w:rsid w:val="6B54127A"/>
    <w:rsid w:val="6BBA6E91"/>
    <w:rsid w:val="6C8B6FC3"/>
    <w:rsid w:val="6C9500C9"/>
    <w:rsid w:val="6D121B88"/>
    <w:rsid w:val="6D535C20"/>
    <w:rsid w:val="6D672299"/>
    <w:rsid w:val="6E763023"/>
    <w:rsid w:val="6ED87C8F"/>
    <w:rsid w:val="700663BD"/>
    <w:rsid w:val="708A020E"/>
    <w:rsid w:val="71D5629F"/>
    <w:rsid w:val="722901C5"/>
    <w:rsid w:val="737E5413"/>
    <w:rsid w:val="73E21922"/>
    <w:rsid w:val="7407096C"/>
    <w:rsid w:val="74D20667"/>
    <w:rsid w:val="75856371"/>
    <w:rsid w:val="75EF25F8"/>
    <w:rsid w:val="790F0FFF"/>
    <w:rsid w:val="797846B3"/>
    <w:rsid w:val="7A1C2495"/>
    <w:rsid w:val="7A4C71DC"/>
    <w:rsid w:val="7AAF244C"/>
    <w:rsid w:val="7C72188D"/>
    <w:rsid w:val="7D474DB5"/>
    <w:rsid w:val="7D7358BD"/>
    <w:rsid w:val="7DCB56D3"/>
    <w:rsid w:val="7E5259DD"/>
    <w:rsid w:val="7EFF7672"/>
    <w:rsid w:val="7FDD2FE6"/>
    <w:rsid w:val="BBE353AE"/>
    <w:rsid w:val="BDF9540D"/>
    <w:rsid w:val="DF7C612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
    <w:pPr>
      <w:keepNext/>
      <w:keepLines/>
      <w:outlineLvl w:val="0"/>
    </w:pPr>
    <w:rPr>
      <w:b/>
      <w:bCs/>
      <w:kern w:val="44"/>
      <w:sz w:val="44"/>
      <w:szCs w:val="44"/>
    </w:rPr>
  </w:style>
  <w:style w:type="paragraph" w:styleId="6">
    <w:name w:val="heading 2"/>
    <w:basedOn w:val="1"/>
    <w:next w:val="1"/>
    <w:link w:val="19"/>
    <w:qFormat/>
    <w:uiPriority w:val="0"/>
    <w:pPr>
      <w:keepNext/>
      <w:keepLines/>
      <w:widowControl w:val="0"/>
      <w:suppressLineNumbers w:val="0"/>
      <w:spacing w:before="150" w:beforeAutospacing="0" w:after="150" w:afterAutospacing="0" w:line="360" w:lineRule="auto"/>
      <w:ind w:left="0" w:right="0" w:firstLine="0"/>
      <w:jc w:val="both"/>
      <w:outlineLvl w:val="1"/>
    </w:pPr>
    <w:rPr>
      <w:rFonts w:ascii="Cambria" w:hAnsi="Cambria" w:eastAsia="华文仿宋" w:cs="Times New Roman"/>
      <w:b/>
      <w:bCs/>
      <w:kern w:val="2"/>
      <w:sz w:val="30"/>
      <w:szCs w:val="32"/>
      <w:lang w:val="en-US" w:eastAsia="zh-CN" w:bidi="ar"/>
    </w:rPr>
  </w:style>
  <w:style w:type="paragraph" w:styleId="7">
    <w:name w:val="heading 4"/>
    <w:basedOn w:val="1"/>
    <w:next w:val="1"/>
    <w:link w:val="20"/>
    <w:qFormat/>
    <w:uiPriority w:val="9"/>
    <w:pPr>
      <w:keepNext/>
      <w:keepLines/>
      <w:widowControl w:val="0"/>
      <w:suppressLineNumbers w:val="0"/>
      <w:spacing w:before="225" w:beforeAutospacing="0" w:after="225" w:afterAutospacing="0" w:line="360" w:lineRule="auto"/>
      <w:ind w:left="0" w:right="0" w:firstLine="0"/>
      <w:jc w:val="both"/>
      <w:outlineLvl w:val="3"/>
    </w:pPr>
    <w:rPr>
      <w:rFonts w:ascii="Cambria" w:hAnsi="Cambria" w:eastAsia="华文仿宋" w:cs="Times New Roman"/>
      <w:b/>
      <w:bCs/>
      <w:kern w:val="2"/>
      <w:sz w:val="24"/>
      <w:szCs w:val="28"/>
      <w:lang w:val="en-US" w:eastAsia="zh-CN" w:bidi="ar"/>
    </w:rPr>
  </w:style>
  <w:style w:type="character" w:default="1" w:styleId="16">
    <w:name w:val="Default Paragraph Font"/>
    <w:semiHidden/>
    <w:qFormat/>
    <w:uiPriority w:val="0"/>
  </w:style>
  <w:style w:type="table" w:default="1" w:styleId="14">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Body Text First Indent"/>
    <w:basedOn w:val="3"/>
    <w:unhideWhenUsed/>
    <w:qFormat/>
    <w:uiPriority w:val="0"/>
    <w:pPr>
      <w:ind w:firstLine="420" w:firstLineChars="100"/>
    </w:pPr>
    <w:rPr>
      <w:rFonts w:ascii="Times New Roman" w:hAnsi="Times New Roman"/>
      <w:szCs w:val="24"/>
    </w:rPr>
  </w:style>
  <w:style w:type="paragraph" w:styleId="3">
    <w:name w:val="Body Text"/>
    <w:basedOn w:val="1"/>
    <w:next w:val="4"/>
    <w:link w:val="18"/>
    <w:qFormat/>
    <w:uiPriority w:val="0"/>
    <w:pPr>
      <w:widowControl w:val="0"/>
      <w:numPr>
        <w:ilvl w:val="0"/>
        <w:numId w:val="0"/>
      </w:numPr>
      <w:kinsoku/>
      <w:wordWrap/>
      <w:overflowPunct/>
      <w:topLinePunct w:val="0"/>
      <w:autoSpaceDE w:val="0"/>
      <w:autoSpaceDN w:val="0"/>
      <w:adjustRightInd w:val="0"/>
      <w:ind w:left="149"/>
      <w:jc w:val="left"/>
      <w:textAlignment w:val="auto"/>
    </w:pPr>
    <w:rPr>
      <w:rFonts w:ascii="宋体" w:hAnsi="Times New Roman" w:eastAsia="宋体" w:cs="Times New Roman"/>
      <w:sz w:val="28"/>
      <w:szCs w:val="28"/>
    </w:rPr>
  </w:style>
  <w:style w:type="paragraph" w:customStyle="1" w:styleId="4">
    <w:name w:val="Default"/>
    <w:qFormat/>
    <w:uiPriority w:val="0"/>
    <w:pPr>
      <w:widowControl w:val="0"/>
      <w:autoSpaceDE w:val="0"/>
      <w:autoSpaceDN w:val="0"/>
      <w:adjustRightInd w:val="0"/>
    </w:pPr>
    <w:rPr>
      <w:rFonts w:ascii="仿宋^....." w:hAnsi="等线" w:eastAsia="仿宋^....." w:cs="仿宋^....."/>
      <w:color w:val="000000"/>
      <w:sz w:val="24"/>
      <w:szCs w:val="24"/>
      <w:lang w:val="en-US" w:eastAsia="zh-CN" w:bidi="ar-SA"/>
    </w:rPr>
  </w:style>
  <w:style w:type="paragraph" w:styleId="8">
    <w:name w:val="annotation text"/>
    <w:basedOn w:val="1"/>
    <w:link w:val="21"/>
    <w:qFormat/>
    <w:uiPriority w:val="0"/>
    <w:pPr>
      <w:jc w:val="left"/>
    </w:pPr>
  </w:style>
  <w:style w:type="paragraph" w:styleId="9">
    <w:name w:val="Body Text Indent"/>
    <w:basedOn w:val="1"/>
    <w:qFormat/>
    <w:uiPriority w:val="0"/>
    <w:pPr>
      <w:spacing w:line="360" w:lineRule="auto"/>
      <w:ind w:firstLine="314" w:firstLineChars="131"/>
    </w:pPr>
    <w:rPr>
      <w:rFonts w:ascii="宋体" w:hAnsi="宋体" w:eastAsia="宋体" w:cs="Times New Roman"/>
      <w:sz w:val="24"/>
    </w:rPr>
  </w:style>
  <w:style w:type="paragraph" w:styleId="10">
    <w:name w:val="footer"/>
    <w:basedOn w:val="1"/>
    <w:link w:val="22"/>
    <w:qFormat/>
    <w:uiPriority w:val="0"/>
    <w:pPr>
      <w:tabs>
        <w:tab w:val="center" w:pos="4153"/>
        <w:tab w:val="right" w:pos="8306"/>
      </w:tabs>
      <w:snapToGrid w:val="0"/>
      <w:jc w:val="left"/>
    </w:pPr>
    <w:rPr>
      <w:sz w:val="18"/>
      <w:szCs w:val="18"/>
    </w:rPr>
  </w:style>
  <w:style w:type="paragraph" w:styleId="11">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2">
    <w:name w:val="annotation subject"/>
    <w:basedOn w:val="8"/>
    <w:next w:val="8"/>
    <w:link w:val="24"/>
    <w:qFormat/>
    <w:uiPriority w:val="0"/>
    <w:rPr>
      <w:b/>
      <w:bCs/>
    </w:rPr>
  </w:style>
  <w:style w:type="paragraph" w:styleId="13">
    <w:name w:val="Body Text First Indent 2"/>
    <w:basedOn w:val="9"/>
    <w:unhideWhenUsed/>
    <w:qFormat/>
    <w:uiPriority w:val="99"/>
    <w:pPr>
      <w:ind w:firstLine="420" w:firstLineChars="200"/>
    </w:pPr>
    <w:rPr>
      <w:rFonts w:eastAsia="宋体"/>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qFormat/>
    <w:uiPriority w:val="0"/>
    <w:rPr>
      <w:sz w:val="21"/>
      <w:szCs w:val="21"/>
    </w:rPr>
  </w:style>
  <w:style w:type="character" w:customStyle="1" w:styleId="18">
    <w:name w:val="正文文本 字符"/>
    <w:link w:val="3"/>
    <w:qFormat/>
    <w:uiPriority w:val="0"/>
    <w:rPr>
      <w:kern w:val="2"/>
      <w:sz w:val="21"/>
      <w:szCs w:val="24"/>
    </w:rPr>
  </w:style>
  <w:style w:type="character" w:customStyle="1" w:styleId="19">
    <w:name w:val="标题 2 字符"/>
    <w:link w:val="6"/>
    <w:qFormat/>
    <w:uiPriority w:val="0"/>
    <w:rPr>
      <w:rFonts w:hint="default" w:ascii="Cambria" w:hAnsi="Cambria" w:eastAsia="华文仿宋" w:cs="Times New Roman"/>
      <w:b/>
      <w:bCs/>
      <w:kern w:val="2"/>
      <w:sz w:val="30"/>
      <w:szCs w:val="32"/>
    </w:rPr>
  </w:style>
  <w:style w:type="character" w:customStyle="1" w:styleId="20">
    <w:name w:val="标题 4 字符"/>
    <w:link w:val="7"/>
    <w:qFormat/>
    <w:uiPriority w:val="0"/>
    <w:rPr>
      <w:rFonts w:hint="default" w:ascii="Cambria" w:hAnsi="Cambria" w:eastAsia="华文仿宋" w:cs="Times New Roman"/>
      <w:b/>
      <w:bCs/>
      <w:kern w:val="2"/>
      <w:sz w:val="24"/>
      <w:szCs w:val="28"/>
    </w:rPr>
  </w:style>
  <w:style w:type="character" w:customStyle="1" w:styleId="21">
    <w:name w:val="批注文字 字符"/>
    <w:link w:val="8"/>
    <w:qFormat/>
    <w:uiPriority w:val="0"/>
    <w:rPr>
      <w:kern w:val="2"/>
      <w:sz w:val="21"/>
      <w:szCs w:val="24"/>
    </w:rPr>
  </w:style>
  <w:style w:type="character" w:customStyle="1" w:styleId="22">
    <w:name w:val="页脚 字符"/>
    <w:link w:val="10"/>
    <w:qFormat/>
    <w:uiPriority w:val="0"/>
    <w:rPr>
      <w:kern w:val="2"/>
      <w:sz w:val="18"/>
      <w:szCs w:val="18"/>
    </w:rPr>
  </w:style>
  <w:style w:type="character" w:customStyle="1" w:styleId="23">
    <w:name w:val="页眉 字符"/>
    <w:link w:val="11"/>
    <w:qFormat/>
    <w:uiPriority w:val="0"/>
    <w:rPr>
      <w:kern w:val="2"/>
      <w:sz w:val="18"/>
      <w:szCs w:val="18"/>
    </w:rPr>
  </w:style>
  <w:style w:type="character" w:customStyle="1" w:styleId="24">
    <w:name w:val="批注主题 字符"/>
    <w:link w:val="12"/>
    <w:qFormat/>
    <w:uiPriority w:val="0"/>
    <w:rPr>
      <w:b/>
      <w:bCs/>
      <w:kern w:val="2"/>
      <w:sz w:val="21"/>
      <w:szCs w:val="24"/>
    </w:rPr>
  </w:style>
  <w:style w:type="paragraph" w:customStyle="1" w:styleId="25">
    <w:name w:val="Table Paragraph"/>
    <w:basedOn w:val="1"/>
    <w:qFormat/>
    <w:uiPriority w:val="1"/>
    <w:rPr>
      <w:rFonts w:ascii="宋体" w:hAnsi="宋体" w:eastAsia="宋体" w:cs="宋体"/>
    </w:rPr>
  </w:style>
  <w:style w:type="character" w:customStyle="1" w:styleId="26">
    <w:name w:val="NormalCharacter"/>
    <w:semiHidden/>
    <w:qFormat/>
    <w:uiPriority w:val="0"/>
  </w:style>
  <w:style w:type="character" w:customStyle="1" w:styleId="27">
    <w:name w:val="15"/>
    <w:qFormat/>
    <w:uiPriority w:val="0"/>
    <w:rPr>
      <w:rFonts w:hint="default" w:ascii="Calibri" w:hAnsi="Calibri" w:eastAsia="宋体" w:cs="Calibri"/>
    </w:rPr>
  </w:style>
  <w:style w:type="character" w:customStyle="1" w:styleId="28">
    <w:name w:val="font31"/>
    <w:basedOn w:val="16"/>
    <w:qFormat/>
    <w:uiPriority w:val="0"/>
    <w:rPr>
      <w:rFonts w:ascii="宋体" w:hAnsi="宋体" w:eastAsia="宋体" w:cs="宋体"/>
      <w:color w:val="000000"/>
      <w:sz w:val="28"/>
      <w:szCs w:val="28"/>
      <w:u w:val="none"/>
    </w:rPr>
  </w:style>
  <w:style w:type="character" w:customStyle="1" w:styleId="29">
    <w:name w:val="font41"/>
    <w:basedOn w:val="16"/>
    <w:qFormat/>
    <w:uiPriority w:val="0"/>
    <w:rPr>
      <w:rFonts w:ascii="宋体" w:hAnsi="宋体" w:eastAsia="宋体" w:cs="宋体"/>
      <w:color w:val="000000"/>
      <w:sz w:val="22"/>
      <w:szCs w:val="22"/>
      <w:u w:val="none"/>
    </w:rPr>
  </w:style>
  <w:style w:type="character" w:customStyle="1" w:styleId="30">
    <w:name w:val="font81"/>
    <w:basedOn w:val="16"/>
    <w:qFormat/>
    <w:uiPriority w:val="0"/>
    <w:rPr>
      <w:rFonts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3039</Words>
  <Characters>3546</Characters>
  <Lines>115</Lines>
  <Paragraphs>32</Paragraphs>
  <TotalTime>27</TotalTime>
  <ScaleCrop>false</ScaleCrop>
  <LinksUpToDate>false</LinksUpToDate>
  <CharactersWithSpaces>3629</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2024-03-04T22:29:00Z</dcterms:created>
  <dc:creator>Administrator</dc:creator>
  <cp:lastModifiedBy>uos</cp:lastModifiedBy>
  <cp:lastPrinted>2023-11-09T19:06:00Z</cp:lastPrinted>
  <dcterms:modified xsi:type="dcterms:W3CDTF">2024-12-09T17:59:49Z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29CAF07ED63D4CE9A50210BAB37E29F6_13</vt:lpwstr>
  </property>
</Properties>
</file>