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2024年河南省高等职业教育技能大赛</w:t>
      </w:r>
    </w:p>
    <w:p>
      <w:pPr>
        <w:spacing w:after="0" w:line="240" w:lineRule="auto"/>
        <w:ind w:left="0" w:right="0" w:firstLine="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sz w:val="44"/>
          <w:szCs w:val="44"/>
        </w:rPr>
        <w:t>药品生产赛项竞赛实施方案</w:t>
      </w:r>
    </w:p>
    <w:p>
      <w:pPr>
        <w:pStyle w:val="5"/>
        <w:spacing w:after="0" w:line="560" w:lineRule="exact"/>
        <w:ind w:left="0" w:leftChars="0" w:right="0" w:rightChars="0" w:firstLine="0"/>
        <w:rPr>
          <w:rFonts w:hint="eastAsia"/>
          <w:sz w:val="30"/>
          <w:szCs w:val="30"/>
        </w:rPr>
      </w:pP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sz w:val="30"/>
          <w:szCs w:val="30"/>
        </w:rPr>
        <w:t>一、赛项名称</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赛项名称：药品生产</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赛项编号：GZ011</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赛项组别：赛道小组赛</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专业大类：食品药品与粮食</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竞赛形式：团体赛</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承办单位：河南医学高等专科学校</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sz w:val="30"/>
          <w:szCs w:val="30"/>
        </w:rPr>
        <w:t>二、竞赛</w:t>
      </w:r>
      <w:r>
        <w:rPr>
          <w:rFonts w:hint="eastAsia"/>
          <w:sz w:val="30"/>
          <w:szCs w:val="30"/>
        </w:rPr>
        <w:t>目的</w:t>
      </w:r>
      <w:r>
        <w:rPr>
          <w:sz w:val="30"/>
          <w:szCs w:val="30"/>
        </w:rPr>
        <w:t xml:space="preserve">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为贯彻落实中国共产党第二十次全国代表大会报告、《健康中国 2030 规划纲要》、《国家职业教育改革实施方案》及我国医药工业落实制造强国等战略, 大力推进健康中国建设，全面提高医药产业链现代化水平，加快医药工业创新驱动发展转型，培育新发展新动能，推动医药产业高端化、智能化、绿色化，通过大赛引导职业院校人才培养紧跟产业发展，推动药品生产信息化、智能化发展，重点聚焦药品生产中“人、机、料、环、法、检”等全生产要素的管理、应用职业技能及职业道德素养，从而提升职业院校人才培养质量。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本次大赛坚持源于教学、高于教学、引领教学的原则设计竞赛内容，强化实践教学，选取在医药行业广泛涉及的药物制剂生产、制药设备运行维护等岗位要求作为比赛内容，旨在提升药品生产相关专业学生技术技能水平，</w:t>
      </w:r>
      <w:r>
        <w:rPr>
          <w:rFonts w:hint="eastAsia"/>
          <w:sz w:val="30"/>
          <w:szCs w:val="30"/>
        </w:rPr>
        <w:t>提高</w:t>
      </w:r>
      <w:r>
        <w:rPr>
          <w:sz w:val="30"/>
          <w:szCs w:val="30"/>
        </w:rPr>
        <w:t xml:space="preserve">学生发现问题和解决问题的能力，主要考查选手药品规范生产、典型生产设备使用与维护、质量检测技能；团队合作能力、清洁作业习惯、安全和质量监管等职业素养。通过药品生产技能竞赛推进药学相关高职院校加强教学改革，加快专业建设，特别是实践教学条件建设，实现专业与产业对接、课程内容与职业标准对接，达到以赛促教、以赛促学，展现紧跟市场需求、贴近行业标准、依托产教融合、对接岗位技能的教学成果，实现岗课赛证融通，增强职业教育的社会影响力，同时助力助推三教改革，带动教师在产教融合、专业实践、技术创新等方面的专业成长，满足制药行业智能化升级、数字化改造对人才能力提升的需求，培育新时代医药领域的能工巧匠，从而为制药行业发展培养更多高素质技术技能型人才,促进健康中国建设。 </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rFonts w:hint="eastAsia"/>
          <w:sz w:val="30"/>
          <w:szCs w:val="30"/>
        </w:rPr>
        <w:t>三</w:t>
      </w:r>
      <w:r>
        <w:rPr>
          <w:sz w:val="30"/>
          <w:szCs w:val="30"/>
        </w:rPr>
        <w:t>、</w:t>
      </w:r>
      <w:r>
        <w:rPr>
          <w:rFonts w:hint="eastAsia"/>
          <w:sz w:val="30"/>
          <w:szCs w:val="30"/>
        </w:rPr>
        <w:t>参赛资格</w:t>
      </w:r>
      <w:r>
        <w:rPr>
          <w:sz w:val="30"/>
          <w:szCs w:val="30"/>
        </w:rPr>
        <w:t xml:space="preserve">  </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sz w:val="30"/>
          <w:szCs w:val="30"/>
        </w:rPr>
      </w:pPr>
      <w:r>
        <w:rPr>
          <w:sz w:val="30"/>
          <w:szCs w:val="30"/>
        </w:rPr>
        <w:t>本赛项是团体赛制，采用线下比赛形式。</w:t>
      </w:r>
    </w:p>
    <w:p>
      <w:pPr>
        <w:pageBreakBefore w:val="0"/>
        <w:widowControl/>
        <w:kinsoku/>
        <w:wordWrap/>
        <w:overflowPunct/>
        <w:topLinePunct w:val="0"/>
        <w:autoSpaceDE/>
        <w:autoSpaceDN/>
        <w:bidi w:val="0"/>
        <w:adjustRightInd/>
        <w:snapToGrid/>
        <w:spacing w:after="0" w:line="560" w:lineRule="exact"/>
        <w:ind w:left="0" w:right="0" w:firstLine="602" w:firstLineChars="200"/>
        <w:textAlignment w:val="auto"/>
        <w:rPr>
          <w:rFonts w:hint="eastAsia"/>
          <w:sz w:val="30"/>
          <w:szCs w:val="30"/>
        </w:rPr>
      </w:pPr>
      <w:r>
        <w:rPr>
          <w:b/>
          <w:bCs/>
          <w:sz w:val="30"/>
          <w:szCs w:val="30"/>
        </w:rPr>
        <w:t>参赛名额：</w:t>
      </w:r>
      <w:r>
        <w:rPr>
          <w:sz w:val="30"/>
          <w:szCs w:val="30"/>
        </w:rPr>
        <w:t>各院校限报1</w:t>
      </w:r>
      <w:r>
        <w:rPr>
          <w:rFonts w:hint="eastAsia"/>
          <w:sz w:val="30"/>
          <w:szCs w:val="30"/>
        </w:rPr>
        <w:t>-2支</w:t>
      </w:r>
      <w:r>
        <w:rPr>
          <w:sz w:val="30"/>
          <w:szCs w:val="30"/>
        </w:rPr>
        <w:t>参赛队，每队限报</w:t>
      </w:r>
      <w:r>
        <w:rPr>
          <w:rFonts w:hint="eastAsia"/>
          <w:sz w:val="30"/>
          <w:szCs w:val="30"/>
        </w:rPr>
        <w:t>4</w:t>
      </w:r>
      <w:r>
        <w:rPr>
          <w:sz w:val="30"/>
          <w:szCs w:val="30"/>
        </w:rPr>
        <w:t>名选手和2名指导教师。不允许跨校组队</w:t>
      </w:r>
      <w:r>
        <w:rPr>
          <w:rFonts w:hint="eastAsia"/>
          <w:sz w:val="30"/>
          <w:szCs w:val="30"/>
        </w:rPr>
        <w:t>。</w:t>
      </w:r>
      <w:r>
        <w:rPr>
          <w:sz w:val="30"/>
          <w:szCs w:val="30"/>
        </w:rPr>
        <w:t xml:space="preserve"> </w:t>
      </w:r>
    </w:p>
    <w:p>
      <w:pPr>
        <w:pageBreakBefore w:val="0"/>
        <w:widowControl/>
        <w:kinsoku/>
        <w:wordWrap/>
        <w:overflowPunct/>
        <w:topLinePunct w:val="0"/>
        <w:autoSpaceDE/>
        <w:autoSpaceDN/>
        <w:bidi w:val="0"/>
        <w:adjustRightInd/>
        <w:snapToGrid/>
        <w:spacing w:after="0" w:line="560" w:lineRule="exact"/>
        <w:ind w:left="0" w:right="0" w:firstLine="602" w:firstLineChars="200"/>
        <w:textAlignment w:val="auto"/>
        <w:rPr>
          <w:rFonts w:hint="eastAsia"/>
          <w:sz w:val="30"/>
          <w:szCs w:val="30"/>
        </w:rPr>
      </w:pPr>
      <w:r>
        <w:rPr>
          <w:b/>
          <w:bCs/>
          <w:sz w:val="30"/>
          <w:szCs w:val="30"/>
        </w:rPr>
        <w:t>选手资格：</w:t>
      </w:r>
      <w:r>
        <w:rPr>
          <w:sz w:val="30"/>
          <w:szCs w:val="30"/>
        </w:rPr>
        <w:t>参赛选手须为高等职业学校全日制在籍学生；本科院校中高职类全日制在籍学生；五年制高职四、五年级学生可报名参加高职组比赛</w:t>
      </w:r>
      <w:r>
        <w:rPr>
          <w:rFonts w:hint="eastAsia"/>
          <w:sz w:val="30"/>
          <w:szCs w:val="30"/>
        </w:rPr>
        <w:t>。</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rFonts w:hint="eastAsia"/>
          <w:sz w:val="30"/>
          <w:szCs w:val="30"/>
        </w:rPr>
        <w:t>四</w:t>
      </w:r>
      <w:r>
        <w:rPr>
          <w:sz w:val="30"/>
          <w:szCs w:val="30"/>
        </w:rPr>
        <w:t>、参赛报名</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sz w:val="30"/>
          <w:szCs w:val="30"/>
        </w:rPr>
      </w:pPr>
      <w:r>
        <w:rPr>
          <w:rFonts w:hint="eastAsia"/>
          <w:sz w:val="30"/>
          <w:szCs w:val="30"/>
        </w:rPr>
        <w:t>（一）参赛院校须于12月12日前登录河南省高职院校技能大赛报名系统（http://39.105.49.188/），按要求填报并提交参赛信息。</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sz w:val="30"/>
          <w:szCs w:val="30"/>
        </w:rPr>
      </w:pPr>
      <w:r>
        <w:rPr>
          <w:rFonts w:hint="eastAsia"/>
          <w:sz w:val="30"/>
          <w:szCs w:val="30"/>
        </w:rPr>
        <w:t>（二）各参赛校以学校为单位注册报名平台，专人负责报名工作。（技术支持：王晗，电话：18338338901）。</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sz w:val="30"/>
          <w:szCs w:val="30"/>
        </w:rPr>
      </w:pPr>
      <w:r>
        <w:rPr>
          <w:rFonts w:hint="eastAsia"/>
          <w:sz w:val="30"/>
          <w:szCs w:val="30"/>
        </w:rPr>
        <w:t>（三）提交报名信息后，参赛院校从系统导出参赛选手报名表、参赛信息汇总表后，连同参赛选手身份证复印件和学信网“教育部学籍在线验证报告”或省招办录取名册复印件各1份并加盖院校公章，报送或邮寄到赛项承办院校（河南机电职业学院）。纸质报名材料接收截止时间为12月13日，以邮戳时间为准。</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sz w:val="30"/>
          <w:szCs w:val="30"/>
        </w:rPr>
      </w:pPr>
      <w:r>
        <w:rPr>
          <w:rFonts w:hint="eastAsia"/>
          <w:sz w:val="30"/>
          <w:szCs w:val="30"/>
        </w:rPr>
        <w:t>邮寄地址：新郑市龙湖镇双湖大道8号河南医学高等专科学校，联系人：马莉，联系电话：18737137397。</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ascii="仿宋_GB2312" w:hAnsi="仿宋_GB2312" w:eastAsia="仿宋_GB2312" w:cs="仿宋_GB2312"/>
          <w:sz w:val="32"/>
          <w:szCs w:val="32"/>
        </w:rPr>
      </w:pPr>
      <w:r>
        <w:rPr>
          <w:rFonts w:hint="eastAsia"/>
          <w:sz w:val="30"/>
          <w:szCs w:val="30"/>
        </w:rPr>
        <w:t>（四）承办院校收到纸质报名材料，按参赛条件的要求认真审核参赛选手和指导教师资格，审核通过报名成功</w:t>
      </w:r>
      <w:r>
        <w:rPr>
          <w:rFonts w:hint="eastAsia" w:ascii="仿宋_GB2312" w:hAnsi="仿宋_GB2312" w:eastAsia="仿宋_GB2312" w:cs="仿宋_GB2312"/>
          <w:sz w:val="30"/>
          <w:szCs w:val="30"/>
        </w:rPr>
        <w:t>。</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sz w:val="30"/>
          <w:szCs w:val="30"/>
        </w:rPr>
        <w:t>五、竞赛时间安排</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sz w:val="30"/>
          <w:szCs w:val="30"/>
        </w:rPr>
      </w:pPr>
      <w:r>
        <w:rPr>
          <w:rFonts w:hint="eastAsia"/>
          <w:sz w:val="30"/>
          <w:szCs w:val="30"/>
        </w:rPr>
        <w:t>竞赛时间：2024年12月25日至28日。12月25日12：00前集中报到，下午14：30举行开幕式、领队会议及比赛抽签等仪式。12月26日-12月28日正式比赛。</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rFonts w:hint="eastAsia"/>
          <w:sz w:val="30"/>
          <w:szCs w:val="30"/>
        </w:rPr>
        <w:t>六</w:t>
      </w:r>
      <w:r>
        <w:rPr>
          <w:sz w:val="30"/>
          <w:szCs w:val="30"/>
        </w:rPr>
        <w:t xml:space="preserve">、竞赛内容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本赛项以典型口服固体制剂片剂智能制造生产为背景，考查选手的技术技能和涵盖的职业典型工作任务，考核内容主要包含：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1.学生选手执行《药品生产质量管理规范》及附录（2010年修订）与《药品生产质量管理规范实施指南》（2010年修订）等国家相关法律法规的能力。 </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sz w:val="30"/>
          <w:szCs w:val="30"/>
        </w:rPr>
      </w:pPr>
      <w:r>
        <w:rPr>
          <w:rFonts w:hint="eastAsia"/>
          <w:sz w:val="30"/>
          <w:szCs w:val="30"/>
        </w:rPr>
        <w:t>2.制粒</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用现场操作的形式</w:t>
      </w:r>
      <w:r>
        <w:rPr>
          <w:rFonts w:hint="eastAsia"/>
          <w:sz w:val="30"/>
          <w:szCs w:val="30"/>
        </w:rPr>
        <w:t>，</w:t>
      </w:r>
      <w:r>
        <w:rPr>
          <w:sz w:val="30"/>
          <w:szCs w:val="30"/>
        </w:rPr>
        <w:t>按照《药品生产质量管理规范》，完成</w:t>
      </w:r>
      <w:r>
        <w:rPr>
          <w:rFonts w:hint="eastAsia"/>
          <w:sz w:val="30"/>
          <w:szCs w:val="30"/>
        </w:rPr>
        <w:t>颗粒</w:t>
      </w:r>
      <w:r>
        <w:rPr>
          <w:sz w:val="30"/>
          <w:szCs w:val="30"/>
        </w:rPr>
        <w:t>制备过程中物料的领取、生产前检查、</w:t>
      </w:r>
      <w:r>
        <w:rPr>
          <w:rFonts w:hint="eastAsia"/>
          <w:sz w:val="30"/>
          <w:szCs w:val="30"/>
        </w:rPr>
        <w:t>制粒</w:t>
      </w:r>
      <w:r>
        <w:rPr>
          <w:sz w:val="30"/>
          <w:szCs w:val="30"/>
        </w:rPr>
        <w:t>工艺的操作、在线质量控制、物料进出中间站管理、生产结束的清场及生产文件的应用与管理。</w:t>
      </w:r>
      <w:r>
        <w:rPr>
          <w:rFonts w:hint="eastAsia"/>
          <w:sz w:val="30"/>
          <w:szCs w:val="30"/>
        </w:rPr>
        <w:t>在2小时内生产出合格的产品，安全文明规范生产。</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rFonts w:hint="eastAsia"/>
          <w:sz w:val="30"/>
          <w:szCs w:val="30"/>
        </w:rPr>
        <w:t>3</w:t>
      </w:r>
      <w:r>
        <w:rPr>
          <w:sz w:val="30"/>
          <w:szCs w:val="30"/>
        </w:rPr>
        <w:t>.空白片制备</w:t>
      </w:r>
      <w:r>
        <w:rPr>
          <w:rFonts w:hint="eastAsia"/>
          <w:sz w:val="30"/>
          <w:szCs w:val="30"/>
        </w:rPr>
        <w:t xml:space="preserve"> </w:t>
      </w:r>
      <w:r>
        <w:rPr>
          <w:sz w:val="30"/>
          <w:szCs w:val="30"/>
        </w:rPr>
        <w:t xml:space="preserve">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bookmarkStart w:id="0" w:name="_Hlk182750817"/>
      <w:r>
        <w:rPr>
          <w:sz w:val="30"/>
          <w:szCs w:val="30"/>
        </w:rPr>
        <w:t>用现场操作的形式</w:t>
      </w:r>
      <w:r>
        <w:rPr>
          <w:rFonts w:hint="eastAsia"/>
          <w:sz w:val="30"/>
          <w:szCs w:val="30"/>
        </w:rPr>
        <w:t>，</w:t>
      </w:r>
      <w:r>
        <w:rPr>
          <w:sz w:val="30"/>
          <w:szCs w:val="30"/>
        </w:rPr>
        <w:t>按照《药品生产质量管理规范》，完成空白片制备过程中物料的领取、生产前检查、空白片压制工艺的操作、在线质量控制、物料进出中间站管理、生产结束的清场及生产文件的应用与管理。</w:t>
      </w:r>
      <w:r>
        <w:rPr>
          <w:rFonts w:hint="eastAsia"/>
          <w:sz w:val="30"/>
          <w:szCs w:val="30"/>
        </w:rPr>
        <w:t>在2小时内生产出合格的产品，安全文明规范生产。</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eastAsiaTheme="minorEastAsia"/>
          <w:sz w:val="30"/>
          <w:szCs w:val="30"/>
        </w:rPr>
      </w:pPr>
      <w:r>
        <w:rPr>
          <w:rFonts w:hint="eastAsia"/>
          <w:sz w:val="30"/>
          <w:szCs w:val="30"/>
        </w:rPr>
        <w:t>4.每组4人抽签决定制粒和压片操作的选手分配，制粒和压片所用原料同时提供，制粒和压片生产操作同时进行。比赛总时长2小时。</w:t>
      </w:r>
      <w:bookmarkEnd w:id="0"/>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rFonts w:hint="eastAsia"/>
          <w:sz w:val="30"/>
          <w:szCs w:val="30"/>
        </w:rPr>
        <w:t>七</w:t>
      </w:r>
      <w:r>
        <w:rPr>
          <w:sz w:val="30"/>
          <w:szCs w:val="30"/>
        </w:rPr>
        <w:t xml:space="preserve">、竞赛环境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根据赛项要求和参赛人数规模，分别设置检录区、候赛区、竞赛区、工作区、安全应急处理区等。</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对于技能操作场地，依据《药品生产质量管理规范》（2010 年修订）及相关附录要求，技能操作赛场设置有：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1．人员进出生产岗位的一更、二更、缓冲间，连体式洁净服、洗手池、烘手器、手消毒器等人员卫生所需硬件设施；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2．设置有独立的称量室、物料中转间，配有台秤、物料周转桶等器具；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3．设置有中间体质量检测操作场所，配有相应检测仪器；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4．场内设备、环境（包括温湿度计、压差表）、工位摆放、操作台设置和编号符合该生产岗位的特点和安全操作规范的要求。每岗位生产记录表齐全。 </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rFonts w:hint="eastAsia"/>
          <w:sz w:val="30"/>
          <w:szCs w:val="30"/>
        </w:rPr>
        <w:t>八</w:t>
      </w:r>
      <w:r>
        <w:rPr>
          <w:sz w:val="30"/>
          <w:szCs w:val="30"/>
        </w:rPr>
        <w:t xml:space="preserve">、技术规范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 xml:space="preserve">（一）本项大赛技术规范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竞赛项目的命题结合药品生产、药品质量检测、药品质量管理，并按照以下规范：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1.《中华人民共和国药典》（2020年版）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2.《药物制剂工国家职业技能标准》（2019年版）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3.《药品生产质量管理规范》（2010年修订）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4.《药品生产质量管理规范实施指南》（第 2 版）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 xml:space="preserve">5. GB/T30748-2014 旋转式压片机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b/>
          <w:bCs/>
          <w:sz w:val="30"/>
          <w:szCs w:val="30"/>
        </w:rPr>
      </w:pPr>
      <w:r>
        <w:rPr>
          <w:rFonts w:hint="eastAsia" w:ascii="方正楷体_GBK" w:hAnsi="方正楷体_GBK" w:eastAsia="方正楷体_GBK" w:cs="方正楷体_GBK"/>
          <w:b w:val="0"/>
          <w:bCs w:val="0"/>
          <w:sz w:val="30"/>
          <w:szCs w:val="30"/>
        </w:rPr>
        <w:t>（二）参赛队员应具备的专业知识和技术技能等要求</w:t>
      </w:r>
      <w:r>
        <w:rPr>
          <w:b/>
          <w:bCs/>
          <w:sz w:val="30"/>
          <w:szCs w:val="30"/>
        </w:rPr>
        <w:t xml:space="preserve"> </w:t>
      </w:r>
      <w:r>
        <w:rPr>
          <w:rFonts w:ascii="Calibri" w:hAnsi="Calibri" w:eastAsia="Calibri" w:cs="Calibri"/>
          <w:b/>
          <w:bCs/>
          <w:sz w:val="30"/>
          <w:szCs w:val="30"/>
        </w:rPr>
        <w:t xml:space="preserve"> </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1.能进行生产前的准备和作业确认；</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2.能使用衡器、量器，计量、配制原辅料；</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3.能操作制剂成型设备和分装机、灌装机及辅助设备，生产固体、半固体、液体制剂；</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4.能操作洗涤设备，清洗、干燥直接接触药品的包装材料及器具；</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5.能操作灭菌设备，进行直接接触药品的包装材料、器具及制剂中间产品灭菌；</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6.能操作制水设备，制备符合药典标准的制药用水；</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7.能操作空气净化设备，制备洁净空气，并进行环境、设备、器具消毒；</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8.能操作灯检设备和使用目力，鉴别、检查灭菌后液体制剂成品中含有的异物；</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9.能操作包装设备，进行成品分装、包装、扫码；</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10.能判断和处理制剂生产中的故障，维护保养制剂生产设备；</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11.能进行生产现场的清洁作业；</w:t>
      </w:r>
    </w:p>
    <w:p>
      <w:pPr>
        <w:pageBreakBefore w:val="0"/>
        <w:widowControl/>
        <w:kinsoku/>
        <w:wordWrap/>
        <w:overflowPunct/>
        <w:topLinePunct w:val="0"/>
        <w:autoSpaceDE/>
        <w:autoSpaceDN/>
        <w:bidi w:val="0"/>
        <w:adjustRightInd/>
        <w:snapToGrid/>
        <w:spacing w:after="0" w:line="560" w:lineRule="exact"/>
        <w:ind w:left="0" w:right="0" w:firstLine="600" w:firstLineChars="200"/>
        <w:jc w:val="both"/>
        <w:textAlignment w:val="auto"/>
        <w:rPr>
          <w:rFonts w:hint="eastAsia"/>
          <w:sz w:val="30"/>
          <w:szCs w:val="30"/>
        </w:rPr>
      </w:pPr>
      <w:r>
        <w:rPr>
          <w:sz w:val="30"/>
          <w:szCs w:val="30"/>
        </w:rPr>
        <w:t>12.能填写操作过程中的记录。</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sz w:val="30"/>
          <w:szCs w:val="30"/>
        </w:rPr>
      </w:pPr>
      <w:r>
        <w:rPr>
          <w:rFonts w:hint="eastAsia"/>
          <w:sz w:val="30"/>
          <w:szCs w:val="30"/>
        </w:rPr>
        <w:t>九</w:t>
      </w:r>
      <w:r>
        <w:rPr>
          <w:sz w:val="30"/>
          <w:szCs w:val="30"/>
        </w:rPr>
        <w:t>、</w:t>
      </w:r>
      <w:r>
        <w:rPr>
          <w:rFonts w:hint="eastAsia"/>
          <w:sz w:val="30"/>
          <w:szCs w:val="30"/>
        </w:rPr>
        <w:t>参赛设备</w:t>
      </w:r>
      <w:r>
        <w:rPr>
          <w:sz w:val="30"/>
          <w:szCs w:val="30"/>
        </w:rPr>
        <w:t xml:space="preserve"> </w:t>
      </w:r>
    </w:p>
    <w:p>
      <w:pPr>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（一）承办校提供的设备信息参照表1 </w:t>
      </w:r>
    </w:p>
    <w:p>
      <w:pPr>
        <w:spacing w:after="0" w:line="259" w:lineRule="auto"/>
        <w:ind w:left="253" w:right="0"/>
        <w:jc w:val="center"/>
        <w:rPr>
          <w:rFonts w:hint="eastAsia"/>
        </w:rPr>
      </w:pPr>
      <w:r>
        <w:t>表</w:t>
      </w:r>
      <w:r>
        <w:rPr>
          <w:rFonts w:hint="eastAsia"/>
        </w:rPr>
        <w:t>1</w:t>
      </w:r>
      <w:r>
        <w:t xml:space="preserve">各类设备的技术参数 </w:t>
      </w:r>
    </w:p>
    <w:tbl>
      <w:tblPr>
        <w:tblStyle w:val="18"/>
        <w:tblW w:w="5000" w:type="pct"/>
        <w:tblInd w:w="0" w:type="dxa"/>
        <w:tblLayout w:type="autofit"/>
        <w:tblCellMar>
          <w:top w:w="89" w:type="dxa"/>
          <w:left w:w="108" w:type="dxa"/>
          <w:bottom w:w="0" w:type="dxa"/>
          <w:right w:w="0" w:type="dxa"/>
        </w:tblCellMar>
      </w:tblPr>
      <w:tblGrid>
        <w:gridCol w:w="777"/>
        <w:gridCol w:w="4052"/>
        <w:gridCol w:w="4582"/>
      </w:tblGrid>
      <w:tr>
        <w:tblPrEx>
          <w:tblCellMar>
            <w:top w:w="89" w:type="dxa"/>
            <w:left w:w="108" w:type="dxa"/>
            <w:bottom w:w="0" w:type="dxa"/>
            <w:right w:w="0" w:type="dxa"/>
          </w:tblCellMar>
        </w:tblPrEx>
        <w:trPr>
          <w:trHeight w:val="463"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1" w:right="0" w:firstLine="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序号</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6" w:firstLine="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设备名称</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06" w:firstLine="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供货单位或型号规格</w:t>
            </w:r>
          </w:p>
        </w:tc>
      </w:tr>
      <w:tr>
        <w:tblPrEx>
          <w:tblCellMar>
            <w:top w:w="89" w:type="dxa"/>
            <w:left w:w="108" w:type="dxa"/>
            <w:bottom w:w="0" w:type="dxa"/>
            <w:right w:w="0" w:type="dxa"/>
          </w:tblCellMar>
        </w:tblPrEx>
        <w:trPr>
          <w:trHeight w:val="522"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1</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 xml:space="preserve">流化床制粒机 </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浙江迦南科技股份有限公司FZS5</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2</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 w:firstLine="0"/>
              <w:rPr>
                <w:rFonts w:hint="eastAsia"/>
                <w:szCs w:val="24"/>
              </w:rPr>
            </w:pPr>
            <w:r>
              <w:rPr>
                <w:szCs w:val="24"/>
              </w:rPr>
              <w:t>旋转式压片机</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rPr>
              <w:t>中南制药ZP-9，</w:t>
            </w:r>
            <w:r>
              <w:t>冲头数量：9</w:t>
            </w:r>
            <w:r>
              <w:rPr>
                <w:rFonts w:hint="eastAsia"/>
              </w:rPr>
              <w:t>；</w:t>
            </w:r>
            <w:r>
              <w:rPr>
                <w:rFonts w:hint="eastAsia"/>
                <w:szCs w:val="24"/>
              </w:rPr>
              <w:t>10</w:t>
            </w:r>
            <w:r>
              <w:rPr>
                <w:szCs w:val="24"/>
              </w:rPr>
              <w:t>mm浅平凹圆冲模</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3</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 w:firstLine="0"/>
              <w:rPr>
                <w:rFonts w:hint="eastAsia"/>
                <w:szCs w:val="24"/>
              </w:rPr>
            </w:pPr>
            <w:r>
              <w:rPr>
                <w:rFonts w:hint="eastAsia"/>
                <w:szCs w:val="24"/>
              </w:rPr>
              <w:t>摇摆式制粒机</w:t>
            </w:r>
            <w:r>
              <w:rPr>
                <w:rFonts w:hint="eastAsia"/>
                <w:szCs w:val="24"/>
              </w:rPr>
              <w:tab/>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中南制药YK-60</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4</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 w:firstLine="0"/>
              <w:rPr>
                <w:rFonts w:hint="eastAsia"/>
                <w:szCs w:val="24"/>
              </w:rPr>
            </w:pPr>
            <w:r>
              <w:rPr>
                <w:rFonts w:hint="eastAsia"/>
                <w:szCs w:val="24"/>
              </w:rPr>
              <w:t>整粒机</w:t>
            </w:r>
            <w:r>
              <w:rPr>
                <w:rFonts w:hint="eastAsia"/>
                <w:szCs w:val="24"/>
              </w:rPr>
              <w:tab/>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中南制药KZ-80</w:t>
            </w:r>
            <w:bookmarkStart w:id="1" w:name="_GoBack"/>
            <w:bookmarkEnd w:id="1"/>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5</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 w:firstLine="0"/>
              <w:rPr>
                <w:rFonts w:hint="eastAsia"/>
                <w:szCs w:val="24"/>
              </w:rPr>
            </w:pPr>
            <w:r>
              <w:rPr>
                <w:rFonts w:hint="eastAsia"/>
                <w:szCs w:val="24"/>
              </w:rPr>
              <w:t>槽型混合机</w:t>
            </w:r>
            <w:r>
              <w:rPr>
                <w:rFonts w:hint="eastAsia"/>
                <w:szCs w:val="24"/>
              </w:rPr>
              <w:tab/>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中南制药CH-10</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6</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 w:firstLine="0"/>
              <w:rPr>
                <w:rFonts w:hint="eastAsia"/>
                <w:szCs w:val="24"/>
              </w:rPr>
            </w:pPr>
            <w:r>
              <w:rPr>
                <w:rFonts w:hint="eastAsia"/>
                <w:szCs w:val="24"/>
              </w:rPr>
              <w:t>快速水分测定仪</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上海佑科仪器仪表有限公司DSH-10A</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7</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 w:firstLine="0"/>
              <w:rPr>
                <w:rFonts w:hint="eastAsia"/>
                <w:szCs w:val="24"/>
              </w:rPr>
            </w:pPr>
            <w:r>
              <w:rPr>
                <w:rFonts w:hint="eastAsia"/>
                <w:szCs w:val="24"/>
              </w:rPr>
              <w:t>热风循环烘箱</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中南制药HG-4</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8</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2" w:firstLine="0"/>
              <w:rPr>
                <w:rFonts w:hint="eastAsia"/>
                <w:szCs w:val="24"/>
              </w:rPr>
            </w:pPr>
            <w:r>
              <w:rPr>
                <w:szCs w:val="24"/>
              </w:rPr>
              <w:t xml:space="preserve">智能硬度仪 </w:t>
            </w:r>
          </w:p>
        </w:tc>
        <w:tc>
          <w:tcPr>
            <w:tcW w:w="243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hint="eastAsia"/>
                <w:szCs w:val="24"/>
              </w:rPr>
            </w:pPr>
            <w:r>
              <w:rPr>
                <w:rFonts w:hint="eastAsia"/>
                <w:szCs w:val="24"/>
              </w:rPr>
              <w:t>天津市精拓仪器科技有限公司</w:t>
            </w:r>
            <w:r>
              <w:rPr>
                <w:szCs w:val="24"/>
              </w:rPr>
              <w:t>YD-2</w:t>
            </w:r>
          </w:p>
        </w:tc>
      </w:tr>
      <w:tr>
        <w:tblPrEx>
          <w:tblCellMar>
            <w:top w:w="89" w:type="dxa"/>
            <w:left w:w="108" w:type="dxa"/>
            <w:bottom w:w="0" w:type="dxa"/>
            <w:right w:w="0" w:type="dxa"/>
          </w:tblCellMar>
        </w:tblPrEx>
        <w:trPr>
          <w:trHeight w:val="463"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9</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脆碎度仪 </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rFonts w:hint="eastAsia"/>
                <w:szCs w:val="24"/>
              </w:rPr>
              <w:t>天津市精拓仪器科技有限公司</w:t>
            </w:r>
            <w:r>
              <w:rPr>
                <w:szCs w:val="24"/>
              </w:rPr>
              <w:t>CS-2</w:t>
            </w:r>
          </w:p>
        </w:tc>
      </w:tr>
      <w:tr>
        <w:tblPrEx>
          <w:tblCellMar>
            <w:top w:w="89" w:type="dxa"/>
            <w:left w:w="108" w:type="dxa"/>
            <w:bottom w:w="0" w:type="dxa"/>
            <w:right w:w="0" w:type="dxa"/>
          </w:tblCellMar>
        </w:tblPrEx>
        <w:trPr>
          <w:trHeight w:val="464"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10</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不锈钢桶 </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定制 </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szCs w:val="24"/>
              </w:rPr>
              <w:t>11</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不锈钢盆 </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定制 </w:t>
            </w:r>
          </w:p>
        </w:tc>
      </w:tr>
      <w:tr>
        <w:tblPrEx>
          <w:tblCellMar>
            <w:top w:w="89" w:type="dxa"/>
            <w:left w:w="108" w:type="dxa"/>
            <w:bottom w:w="0" w:type="dxa"/>
            <w:right w:w="0" w:type="dxa"/>
          </w:tblCellMar>
        </w:tblPrEx>
        <w:trPr>
          <w:trHeight w:val="463"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rFonts w:hint="eastAsia"/>
                <w:szCs w:val="24"/>
              </w:rPr>
              <w:t>12</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不锈钢托盘 </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定制 </w:t>
            </w:r>
          </w:p>
        </w:tc>
      </w:tr>
      <w:tr>
        <w:tblPrEx>
          <w:tblCellMar>
            <w:top w:w="89" w:type="dxa"/>
            <w:left w:w="108" w:type="dxa"/>
            <w:bottom w:w="0" w:type="dxa"/>
            <w:right w:w="0" w:type="dxa"/>
          </w:tblCellMar>
        </w:tblPrEx>
        <w:trPr>
          <w:trHeight w:val="463"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rFonts w:hint="eastAsia"/>
                <w:szCs w:val="24"/>
              </w:rPr>
              <w:t>13</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69" w:firstLine="0"/>
              <w:rPr>
                <w:rFonts w:hint="eastAsia"/>
                <w:szCs w:val="24"/>
              </w:rPr>
            </w:pPr>
            <w:r>
              <w:rPr>
                <w:szCs w:val="24"/>
              </w:rPr>
              <w:t xml:space="preserve">不锈钢料勺 </w:t>
            </w:r>
          </w:p>
        </w:tc>
        <w:tc>
          <w:tcPr>
            <w:tcW w:w="2434"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定制 </w:t>
            </w:r>
          </w:p>
        </w:tc>
      </w:tr>
      <w:tr>
        <w:tblPrEx>
          <w:tblCellMar>
            <w:top w:w="89" w:type="dxa"/>
            <w:left w:w="108" w:type="dxa"/>
            <w:bottom w:w="0" w:type="dxa"/>
            <w:right w:w="0" w:type="dxa"/>
          </w:tblCellMar>
        </w:tblPrEx>
        <w:trPr>
          <w:trHeight w:val="466"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rFonts w:hint="eastAsia"/>
                <w:szCs w:val="24"/>
              </w:rPr>
              <w:t>14</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69" w:firstLine="0"/>
              <w:rPr>
                <w:rFonts w:hint="eastAsia"/>
                <w:szCs w:val="24"/>
              </w:rPr>
            </w:pPr>
            <w:r>
              <w:rPr>
                <w:szCs w:val="24"/>
              </w:rPr>
              <w:t xml:space="preserve">电子天平 </w:t>
            </w:r>
          </w:p>
        </w:tc>
        <w:tc>
          <w:tcPr>
            <w:tcW w:w="243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hint="eastAsia"/>
                <w:szCs w:val="24"/>
              </w:rPr>
            </w:pPr>
            <w:r>
              <w:rPr>
                <w:szCs w:val="24"/>
              </w:rPr>
              <w:t xml:space="preserve">精度1mg，量程0.01g-220g </w:t>
            </w:r>
          </w:p>
        </w:tc>
      </w:tr>
      <w:tr>
        <w:tblPrEx>
          <w:tblCellMar>
            <w:top w:w="89" w:type="dxa"/>
            <w:left w:w="108" w:type="dxa"/>
            <w:bottom w:w="0" w:type="dxa"/>
            <w:right w:w="0" w:type="dxa"/>
          </w:tblCellMar>
        </w:tblPrEx>
        <w:trPr>
          <w:trHeight w:val="458"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rFonts w:hint="eastAsia"/>
                <w:szCs w:val="24"/>
              </w:rPr>
              <w:t>15</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69" w:firstLine="0"/>
              <w:rPr>
                <w:rFonts w:hint="eastAsia"/>
                <w:szCs w:val="24"/>
              </w:rPr>
            </w:pPr>
            <w:r>
              <w:rPr>
                <w:szCs w:val="24"/>
              </w:rPr>
              <w:t>电子天平</w:t>
            </w:r>
          </w:p>
        </w:tc>
        <w:tc>
          <w:tcPr>
            <w:tcW w:w="243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hint="eastAsia"/>
                <w:szCs w:val="24"/>
              </w:rPr>
            </w:pPr>
            <w:r>
              <w:rPr>
                <w:szCs w:val="24"/>
              </w:rPr>
              <w:t xml:space="preserve">精度1g，量程2g-6000g </w:t>
            </w:r>
          </w:p>
        </w:tc>
      </w:tr>
      <w:tr>
        <w:tblPrEx>
          <w:tblCellMar>
            <w:top w:w="89" w:type="dxa"/>
            <w:left w:w="108" w:type="dxa"/>
            <w:bottom w:w="0" w:type="dxa"/>
            <w:right w:w="0" w:type="dxa"/>
          </w:tblCellMar>
        </w:tblPrEx>
        <w:trPr>
          <w:trHeight w:val="463" w:hRule="atLeast"/>
        </w:trPr>
        <w:tc>
          <w:tcPr>
            <w:tcW w:w="41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jc w:val="center"/>
              <w:rPr>
                <w:rFonts w:hint="eastAsia"/>
                <w:szCs w:val="24"/>
              </w:rPr>
            </w:pPr>
            <w:r>
              <w:rPr>
                <w:rFonts w:hint="eastAsia"/>
                <w:szCs w:val="24"/>
              </w:rPr>
              <w:t>16</w:t>
            </w:r>
          </w:p>
        </w:tc>
        <w:tc>
          <w:tcPr>
            <w:tcW w:w="2153"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eastAsia"/>
                <w:szCs w:val="24"/>
              </w:rPr>
            </w:pPr>
            <w:r>
              <w:rPr>
                <w:szCs w:val="24"/>
              </w:rPr>
              <w:t xml:space="preserve">台秤 </w:t>
            </w:r>
          </w:p>
        </w:tc>
        <w:tc>
          <w:tcPr>
            <w:tcW w:w="243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hint="eastAsia"/>
                <w:szCs w:val="24"/>
              </w:rPr>
            </w:pPr>
            <w:r>
              <w:rPr>
                <w:szCs w:val="24"/>
              </w:rPr>
              <w:t xml:space="preserve">精度10g，量程0.2kg-30kg </w:t>
            </w:r>
          </w:p>
        </w:tc>
      </w:tr>
    </w:tbl>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（二） 承办校提供的物料信息 </w:t>
      </w:r>
    </w:p>
    <w:p>
      <w:pPr>
        <w:spacing w:after="0" w:line="560" w:lineRule="exact"/>
        <w:ind w:left="0" w:right="0" w:firstLine="600" w:firstLineChars="200"/>
        <w:jc w:val="both"/>
        <w:rPr>
          <w:rFonts w:hint="eastAsia"/>
          <w:sz w:val="30"/>
          <w:szCs w:val="30"/>
        </w:rPr>
      </w:pPr>
      <w:r>
        <w:rPr>
          <w:rFonts w:hint="eastAsia"/>
          <w:sz w:val="30"/>
          <w:szCs w:val="30"/>
        </w:rPr>
        <w:t>每组提供的物料信息</w:t>
      </w:r>
    </w:p>
    <w:tbl>
      <w:tblPr>
        <w:tblStyle w:val="11"/>
        <w:tblW w:w="5000" w:type="pct"/>
        <w:tblInd w:w="0" w:type="dxa"/>
        <w:tblLayout w:type="fixed"/>
        <w:tblCellMar>
          <w:top w:w="0" w:type="dxa"/>
          <w:left w:w="108" w:type="dxa"/>
          <w:bottom w:w="0" w:type="dxa"/>
          <w:right w:w="108" w:type="dxa"/>
        </w:tblCellMar>
      </w:tblPr>
      <w:tblGrid>
        <w:gridCol w:w="1735"/>
        <w:gridCol w:w="2371"/>
        <w:gridCol w:w="5408"/>
      </w:tblGrid>
      <w:tr>
        <w:tblPrEx>
          <w:tblCellMar>
            <w:top w:w="0" w:type="dxa"/>
            <w:left w:w="108" w:type="dxa"/>
            <w:bottom w:w="0" w:type="dxa"/>
            <w:right w:w="108" w:type="dxa"/>
          </w:tblCellMar>
        </w:tblPrEx>
        <w:trPr>
          <w:trHeight w:val="699" w:hRule="atLeast"/>
        </w:trPr>
        <w:tc>
          <w:tcPr>
            <w:tcW w:w="912" w:type="pct"/>
            <w:vMerge w:val="restart"/>
            <w:tcBorders>
              <w:top w:val="single" w:color="000000" w:sz="4" w:space="0"/>
              <w:left w:val="single" w:color="000000" w:sz="4" w:space="0"/>
              <w:right w:val="single" w:color="000000" w:sz="4" w:space="0"/>
            </w:tcBorders>
            <w:vAlign w:val="center"/>
          </w:tcPr>
          <w:p>
            <w:pPr>
              <w:spacing w:after="0" w:line="259" w:lineRule="auto"/>
              <w:ind w:left="0" w:right="269" w:firstLine="0"/>
              <w:rPr>
                <w:rFonts w:hint="eastAsia"/>
                <w:szCs w:val="24"/>
              </w:rPr>
            </w:pPr>
            <w:r>
              <w:rPr>
                <w:rFonts w:hint="eastAsia"/>
                <w:szCs w:val="24"/>
              </w:rPr>
              <w:t>制粒物料</w:t>
            </w:r>
          </w:p>
        </w:tc>
        <w:tc>
          <w:tcPr>
            <w:tcW w:w="1246"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69" w:firstLine="0"/>
              <w:rPr>
                <w:rFonts w:hint="eastAsia"/>
                <w:szCs w:val="24"/>
              </w:rPr>
            </w:pPr>
            <w:r>
              <w:rPr>
                <w:szCs w:val="24"/>
              </w:rPr>
              <w:t>空白预混粉</w:t>
            </w:r>
            <w:r>
              <w:rPr>
                <w:rFonts w:hint="eastAsia"/>
                <w:szCs w:val="24"/>
              </w:rPr>
              <w:t>1kg</w:t>
            </w:r>
          </w:p>
        </w:tc>
        <w:tc>
          <w:tcPr>
            <w:tcW w:w="2842" w:type="pct"/>
            <w:tcBorders>
              <w:top w:val="single" w:color="000000" w:sz="4" w:space="0"/>
              <w:left w:val="single" w:color="000000" w:sz="4" w:space="0"/>
              <w:bottom w:val="single" w:color="000000" w:sz="4" w:space="0"/>
              <w:right w:val="single" w:color="auto" w:sz="4" w:space="0"/>
            </w:tcBorders>
            <w:vAlign w:val="center"/>
          </w:tcPr>
          <w:p>
            <w:pPr>
              <w:spacing w:after="0" w:line="259" w:lineRule="auto"/>
              <w:ind w:left="0" w:right="269" w:firstLine="0"/>
              <w:rPr>
                <w:rFonts w:hint="eastAsia"/>
                <w:szCs w:val="24"/>
              </w:rPr>
            </w:pPr>
            <w:r>
              <w:rPr>
                <w:szCs w:val="24"/>
              </w:rPr>
              <w:t>处方组成：乳糖</w:t>
            </w:r>
            <w:r>
              <w:rPr>
                <w:rFonts w:hint="eastAsia"/>
                <w:szCs w:val="24"/>
              </w:rPr>
              <w:t>0.56</w:t>
            </w:r>
            <w:r>
              <w:rPr>
                <w:szCs w:val="24"/>
              </w:rPr>
              <w:t xml:space="preserve">kg、低取代羟丙甲纤维素 </w:t>
            </w:r>
            <w:r>
              <w:rPr>
                <w:rFonts w:hint="eastAsia"/>
                <w:szCs w:val="24"/>
              </w:rPr>
              <w:t>0.19</w:t>
            </w:r>
            <w:r>
              <w:rPr>
                <w:szCs w:val="24"/>
              </w:rPr>
              <w:t>kg、微晶纤维素</w:t>
            </w:r>
            <w:r>
              <w:rPr>
                <w:rFonts w:hint="eastAsia"/>
                <w:szCs w:val="24"/>
              </w:rPr>
              <w:t>0.25</w:t>
            </w:r>
            <w:r>
              <w:rPr>
                <w:szCs w:val="24"/>
              </w:rPr>
              <w:t>kg</w:t>
            </w:r>
            <w:r>
              <w:rPr>
                <w:rFonts w:hint="eastAsia"/>
                <w:szCs w:val="24"/>
              </w:rPr>
              <w:t>、</w:t>
            </w:r>
          </w:p>
        </w:tc>
      </w:tr>
      <w:tr>
        <w:tblPrEx>
          <w:tblCellMar>
            <w:top w:w="0" w:type="dxa"/>
            <w:left w:w="108" w:type="dxa"/>
            <w:bottom w:w="0" w:type="dxa"/>
            <w:right w:w="108" w:type="dxa"/>
          </w:tblCellMar>
        </w:tblPrEx>
        <w:trPr>
          <w:trHeight w:val="699" w:hRule="atLeast"/>
        </w:trPr>
        <w:tc>
          <w:tcPr>
            <w:tcW w:w="912" w:type="pct"/>
            <w:vMerge w:val="continue"/>
            <w:tcBorders>
              <w:left w:val="single" w:color="000000" w:sz="4" w:space="0"/>
              <w:bottom w:val="single" w:color="000000" w:sz="4" w:space="0"/>
              <w:right w:val="single" w:color="000000" w:sz="4" w:space="0"/>
            </w:tcBorders>
            <w:vAlign w:val="center"/>
          </w:tcPr>
          <w:p>
            <w:pPr>
              <w:spacing w:after="0" w:line="259" w:lineRule="auto"/>
              <w:ind w:left="0" w:right="269" w:firstLine="0"/>
              <w:rPr>
                <w:rFonts w:hint="eastAsia"/>
                <w:szCs w:val="24"/>
              </w:rPr>
            </w:pPr>
          </w:p>
        </w:tc>
        <w:tc>
          <w:tcPr>
            <w:tcW w:w="1246" w:type="pc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69" w:firstLine="0"/>
              <w:rPr>
                <w:rFonts w:hint="eastAsia"/>
                <w:szCs w:val="24"/>
              </w:rPr>
            </w:pPr>
            <w:r>
              <w:rPr>
                <w:rFonts w:hint="eastAsia"/>
                <w:szCs w:val="24"/>
              </w:rPr>
              <w:t>黏合剂</w:t>
            </w:r>
            <w:r>
              <w:rPr>
                <w:rFonts w:hint="eastAsia"/>
                <w:szCs w:val="24"/>
              </w:rPr>
              <w:tab/>
            </w:r>
            <w:r>
              <w:rPr>
                <w:rFonts w:hint="eastAsia"/>
                <w:szCs w:val="24"/>
              </w:rPr>
              <w:t>0.5kg</w:t>
            </w:r>
          </w:p>
        </w:tc>
        <w:tc>
          <w:tcPr>
            <w:tcW w:w="2842" w:type="pct"/>
            <w:tcBorders>
              <w:top w:val="single" w:color="000000" w:sz="4" w:space="0"/>
              <w:left w:val="single" w:color="000000" w:sz="4" w:space="0"/>
              <w:bottom w:val="single" w:color="000000" w:sz="4" w:space="0"/>
              <w:right w:val="single" w:color="auto" w:sz="4" w:space="0"/>
            </w:tcBorders>
            <w:vAlign w:val="center"/>
          </w:tcPr>
          <w:p>
            <w:pPr>
              <w:spacing w:after="0" w:line="259" w:lineRule="auto"/>
              <w:ind w:left="0" w:right="269" w:firstLine="0"/>
              <w:rPr>
                <w:rFonts w:hint="eastAsia"/>
                <w:szCs w:val="24"/>
              </w:rPr>
            </w:pPr>
            <w:r>
              <w:rPr>
                <w:rFonts w:hint="eastAsia"/>
                <w:szCs w:val="24"/>
              </w:rPr>
              <w:t>8%聚维酮K30水溶液</w:t>
            </w:r>
            <w:r>
              <w:rPr>
                <w:rFonts w:hint="eastAsia"/>
                <w:szCs w:val="24"/>
              </w:rPr>
              <w:tab/>
            </w:r>
          </w:p>
        </w:tc>
      </w:tr>
      <w:tr>
        <w:tblPrEx>
          <w:tblCellMar>
            <w:top w:w="0" w:type="dxa"/>
            <w:left w:w="108" w:type="dxa"/>
            <w:bottom w:w="0" w:type="dxa"/>
            <w:right w:w="108" w:type="dxa"/>
          </w:tblCellMar>
        </w:tblPrEx>
        <w:trPr>
          <w:trHeight w:val="1753" w:hRule="atLeast"/>
        </w:trPr>
        <w:tc>
          <w:tcPr>
            <w:tcW w:w="912" w:type="pct"/>
            <w:tcBorders>
              <w:top w:val="single" w:color="000000" w:sz="4" w:space="0"/>
              <w:left w:val="single" w:color="000000" w:sz="4" w:space="0"/>
              <w:bottom w:val="single" w:color="auto" w:sz="4" w:space="0"/>
              <w:right w:val="single" w:color="000000" w:sz="4" w:space="0"/>
            </w:tcBorders>
            <w:vAlign w:val="center"/>
          </w:tcPr>
          <w:p>
            <w:pPr>
              <w:spacing w:after="0" w:line="259" w:lineRule="auto"/>
              <w:ind w:left="0" w:right="269" w:firstLine="0"/>
              <w:rPr>
                <w:rFonts w:hint="eastAsia"/>
                <w:szCs w:val="24"/>
              </w:rPr>
            </w:pPr>
            <w:r>
              <w:rPr>
                <w:rFonts w:hint="eastAsia"/>
                <w:szCs w:val="24"/>
              </w:rPr>
              <w:t>压片物料</w:t>
            </w:r>
          </w:p>
        </w:tc>
        <w:tc>
          <w:tcPr>
            <w:tcW w:w="1246" w:type="pct"/>
            <w:tcBorders>
              <w:top w:val="single" w:color="000000" w:sz="4" w:space="0"/>
              <w:left w:val="single" w:color="000000" w:sz="4" w:space="0"/>
              <w:bottom w:val="single" w:color="auto" w:sz="4" w:space="0"/>
              <w:right w:val="single" w:color="000000" w:sz="4" w:space="0"/>
            </w:tcBorders>
            <w:vAlign w:val="center"/>
          </w:tcPr>
          <w:p>
            <w:pPr>
              <w:spacing w:after="0" w:line="259" w:lineRule="auto"/>
              <w:ind w:left="0" w:right="269" w:firstLine="0"/>
              <w:rPr>
                <w:rFonts w:hint="eastAsia"/>
                <w:szCs w:val="24"/>
              </w:rPr>
            </w:pPr>
            <w:r>
              <w:rPr>
                <w:szCs w:val="24"/>
              </w:rPr>
              <w:t>空白</w:t>
            </w:r>
            <w:r>
              <w:rPr>
                <w:rFonts w:hint="eastAsia"/>
                <w:szCs w:val="24"/>
              </w:rPr>
              <w:t>颗粒 1kg</w:t>
            </w:r>
          </w:p>
          <w:p>
            <w:pPr>
              <w:spacing w:after="0" w:line="259" w:lineRule="auto"/>
              <w:ind w:left="0" w:right="269"/>
              <w:rPr>
                <w:rFonts w:hint="eastAsia"/>
                <w:szCs w:val="24"/>
              </w:rPr>
            </w:pPr>
          </w:p>
        </w:tc>
        <w:tc>
          <w:tcPr>
            <w:tcW w:w="2842" w:type="pct"/>
            <w:tcBorders>
              <w:top w:val="single" w:color="000000" w:sz="4" w:space="0"/>
              <w:left w:val="single" w:color="000000" w:sz="4" w:space="0"/>
              <w:bottom w:val="single" w:color="auto" w:sz="4" w:space="0"/>
              <w:right w:val="single" w:color="auto" w:sz="4" w:space="0"/>
            </w:tcBorders>
            <w:vAlign w:val="center"/>
          </w:tcPr>
          <w:p>
            <w:pPr>
              <w:spacing w:after="0" w:line="259" w:lineRule="auto"/>
              <w:ind w:left="0" w:right="269" w:firstLine="0"/>
              <w:rPr>
                <w:rFonts w:hint="eastAsia"/>
                <w:szCs w:val="24"/>
              </w:rPr>
            </w:pPr>
            <w:r>
              <w:rPr>
                <w:szCs w:val="24"/>
              </w:rPr>
              <w:t>处方组成：乳糖</w:t>
            </w:r>
            <w:r>
              <w:rPr>
                <w:rFonts w:hint="eastAsia"/>
                <w:szCs w:val="24"/>
              </w:rPr>
              <w:t>0.56</w:t>
            </w:r>
            <w:r>
              <w:rPr>
                <w:szCs w:val="24"/>
              </w:rPr>
              <w:t xml:space="preserve">kg、低取代羟丙甲纤维素 </w:t>
            </w:r>
            <w:r>
              <w:rPr>
                <w:rFonts w:hint="eastAsia"/>
                <w:szCs w:val="24"/>
              </w:rPr>
              <w:t>0.19</w:t>
            </w:r>
            <w:r>
              <w:rPr>
                <w:szCs w:val="24"/>
              </w:rPr>
              <w:t>kg、微晶纤维素</w:t>
            </w:r>
            <w:r>
              <w:rPr>
                <w:rFonts w:hint="eastAsia"/>
                <w:szCs w:val="24"/>
              </w:rPr>
              <w:t>0.25</w:t>
            </w:r>
            <w:r>
              <w:rPr>
                <w:szCs w:val="24"/>
              </w:rPr>
              <w:t>kg</w:t>
            </w:r>
            <w:r>
              <w:rPr>
                <w:rFonts w:hint="eastAsia"/>
                <w:szCs w:val="24"/>
              </w:rPr>
              <w:t>、8%聚维酮K30，</w:t>
            </w:r>
            <w:r>
              <w:rPr>
                <w:szCs w:val="24"/>
              </w:rPr>
              <w:t>滑石粉</w:t>
            </w:r>
            <w:r>
              <w:rPr>
                <w:rFonts w:hint="eastAsia"/>
                <w:szCs w:val="24"/>
              </w:rPr>
              <w:t>0.06kg、</w:t>
            </w:r>
            <w:r>
              <w:rPr>
                <w:szCs w:val="24"/>
              </w:rPr>
              <w:t>硬脂酸镁</w:t>
            </w:r>
            <w:r>
              <w:rPr>
                <w:rFonts w:hint="eastAsia"/>
                <w:szCs w:val="24"/>
              </w:rPr>
              <w:t>0.03kg</w:t>
            </w:r>
          </w:p>
        </w:tc>
      </w:tr>
    </w:tbl>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 承办校提供的场地及环境信息</w:t>
      </w:r>
    </w:p>
    <w:p>
      <w:pPr>
        <w:spacing w:after="0" w:line="560" w:lineRule="exact"/>
        <w:ind w:left="0" w:right="0" w:firstLine="600" w:firstLineChars="200"/>
        <w:jc w:val="both"/>
        <w:rPr>
          <w:rFonts w:hint="eastAsia"/>
          <w:sz w:val="30"/>
          <w:szCs w:val="30"/>
        </w:rPr>
      </w:pPr>
      <w:r>
        <w:rPr>
          <w:rFonts w:hint="eastAsia"/>
          <w:sz w:val="30"/>
          <w:szCs w:val="30"/>
        </w:rPr>
        <w:t>1.比赛区域：我校教学区域的2个操作间(各操作间面积约30m</w:t>
      </w:r>
      <w:r>
        <w:rPr>
          <w:rFonts w:ascii="Calibri" w:hAnsi="Calibri" w:cs="Calibri"/>
          <w:sz w:val="30"/>
          <w:szCs w:val="30"/>
        </w:rPr>
        <w:t>²</w:t>
      </w:r>
      <w:r>
        <w:rPr>
          <w:rFonts w:hint="eastAsia"/>
          <w:sz w:val="30"/>
          <w:szCs w:val="30"/>
        </w:rPr>
        <w:t xml:space="preserve">,无防爆功能); </w:t>
      </w:r>
    </w:p>
    <w:p>
      <w:pPr>
        <w:spacing w:after="0" w:line="560" w:lineRule="exact"/>
        <w:ind w:left="0" w:right="0" w:firstLine="600" w:firstLineChars="200"/>
        <w:jc w:val="both"/>
        <w:rPr>
          <w:rFonts w:hint="eastAsia"/>
          <w:sz w:val="30"/>
          <w:szCs w:val="30"/>
        </w:rPr>
      </w:pPr>
      <w:r>
        <w:rPr>
          <w:rFonts w:hint="eastAsia"/>
          <w:sz w:val="30"/>
          <w:szCs w:val="30"/>
        </w:rPr>
        <w:t>2.检测操作台：尺寸120cm*60cm*80cm 2张，100cm*60cm*80cm 2张；</w:t>
      </w:r>
    </w:p>
    <w:p>
      <w:pPr>
        <w:spacing w:after="0" w:line="560" w:lineRule="exact"/>
        <w:ind w:left="0" w:right="0" w:firstLine="600" w:firstLineChars="200"/>
        <w:jc w:val="both"/>
        <w:rPr>
          <w:rFonts w:hint="eastAsia"/>
          <w:sz w:val="30"/>
          <w:szCs w:val="30"/>
        </w:rPr>
      </w:pPr>
      <w:r>
        <w:rPr>
          <w:rFonts w:hint="eastAsia"/>
          <w:sz w:val="30"/>
          <w:szCs w:val="30"/>
        </w:rPr>
        <w:t xml:space="preserve">3.车间进出通道：规格为宽73mm*高198mm; </w:t>
      </w:r>
    </w:p>
    <w:p>
      <w:pPr>
        <w:spacing w:after="0" w:line="560" w:lineRule="exact"/>
        <w:ind w:left="0" w:right="0" w:firstLine="600" w:firstLineChars="200"/>
        <w:jc w:val="both"/>
        <w:rPr>
          <w:rFonts w:hint="eastAsia"/>
          <w:sz w:val="30"/>
          <w:szCs w:val="30"/>
        </w:rPr>
      </w:pPr>
      <w:r>
        <w:rPr>
          <w:rFonts w:hint="eastAsia"/>
          <w:sz w:val="30"/>
          <w:szCs w:val="30"/>
        </w:rPr>
        <w:t>4.比赛场地无上下水、无网络；</w:t>
      </w:r>
    </w:p>
    <w:p>
      <w:pPr>
        <w:spacing w:after="0" w:line="560" w:lineRule="exact"/>
        <w:ind w:left="0" w:right="0" w:firstLine="600" w:firstLineChars="200"/>
        <w:jc w:val="both"/>
        <w:rPr>
          <w:rFonts w:hint="eastAsia"/>
          <w:sz w:val="30"/>
          <w:szCs w:val="30"/>
        </w:rPr>
      </w:pPr>
      <w:r>
        <w:rPr>
          <w:rFonts w:hint="eastAsia"/>
          <w:sz w:val="30"/>
          <w:szCs w:val="30"/>
        </w:rPr>
        <w:t xml:space="preserve">5.各操作间内380V四孔插座1个，220V五孔插座4个，用电总负荷上限30KW; </w:t>
      </w:r>
    </w:p>
    <w:p>
      <w:pPr>
        <w:spacing w:after="0" w:line="560" w:lineRule="exact"/>
        <w:ind w:left="0" w:right="0" w:firstLine="600" w:firstLineChars="200"/>
        <w:jc w:val="both"/>
        <w:rPr>
          <w:rFonts w:hint="eastAsia"/>
          <w:sz w:val="30"/>
          <w:szCs w:val="30"/>
        </w:rPr>
      </w:pPr>
      <w:r>
        <w:rPr>
          <w:rFonts w:hint="eastAsia"/>
          <w:sz w:val="30"/>
          <w:szCs w:val="30"/>
        </w:rPr>
        <w:t>6.压缩空气机气压0.8MPA，操作间内压缩空气接口一个，规格为12mm。</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（四）参赛设备选择</w:t>
      </w:r>
    </w:p>
    <w:p>
      <w:pPr>
        <w:spacing w:after="0" w:line="560" w:lineRule="exact"/>
        <w:ind w:left="0" w:right="0" w:firstLine="600" w:firstLineChars="200"/>
        <w:jc w:val="both"/>
        <w:rPr>
          <w:rFonts w:hint="eastAsia"/>
          <w:sz w:val="30"/>
          <w:szCs w:val="30"/>
        </w:rPr>
      </w:pPr>
      <w:r>
        <w:rPr>
          <w:rFonts w:hint="eastAsia"/>
          <w:sz w:val="30"/>
          <w:szCs w:val="30"/>
        </w:rPr>
        <w:t>1.</w:t>
      </w:r>
      <w:r>
        <w:rPr>
          <w:sz w:val="30"/>
          <w:szCs w:val="30"/>
        </w:rPr>
        <w:t>参赛所需设备不做统一要求，</w:t>
      </w:r>
      <w:r>
        <w:rPr>
          <w:rFonts w:hint="eastAsia"/>
          <w:sz w:val="30"/>
          <w:szCs w:val="30"/>
        </w:rPr>
        <w:t>以上提供的设备和物料</w:t>
      </w:r>
      <w:r>
        <w:rPr>
          <w:sz w:val="30"/>
          <w:szCs w:val="30"/>
        </w:rPr>
        <w:t>，</w:t>
      </w:r>
      <w:r>
        <w:rPr>
          <w:rFonts w:hint="eastAsia"/>
          <w:sz w:val="30"/>
          <w:szCs w:val="30"/>
        </w:rPr>
        <w:t>供参赛队选择使用。</w:t>
      </w:r>
    </w:p>
    <w:p>
      <w:pPr>
        <w:spacing w:after="0" w:line="560" w:lineRule="exact"/>
        <w:ind w:left="0" w:right="0" w:firstLine="600" w:firstLineChars="200"/>
        <w:jc w:val="both"/>
        <w:rPr>
          <w:rFonts w:hint="eastAsia"/>
          <w:sz w:val="30"/>
          <w:szCs w:val="30"/>
        </w:rPr>
      </w:pPr>
      <w:r>
        <w:rPr>
          <w:rFonts w:hint="eastAsia"/>
          <w:sz w:val="30"/>
          <w:szCs w:val="30"/>
        </w:rPr>
        <w:t>2.</w:t>
      </w:r>
      <w:r>
        <w:rPr>
          <w:sz w:val="30"/>
          <w:szCs w:val="30"/>
        </w:rPr>
        <w:t>参赛队</w:t>
      </w:r>
      <w:r>
        <w:rPr>
          <w:rFonts w:hint="eastAsia"/>
          <w:sz w:val="30"/>
          <w:szCs w:val="30"/>
        </w:rPr>
        <w:t>也可</w:t>
      </w:r>
      <w:r>
        <w:rPr>
          <w:sz w:val="30"/>
          <w:szCs w:val="30"/>
        </w:rPr>
        <w:t>根据</w:t>
      </w:r>
      <w:r>
        <w:rPr>
          <w:rFonts w:hint="eastAsia"/>
          <w:sz w:val="30"/>
          <w:szCs w:val="30"/>
        </w:rPr>
        <w:t>情况自主携带设备。</w:t>
      </w:r>
      <w:r>
        <w:rPr>
          <w:sz w:val="30"/>
          <w:szCs w:val="30"/>
        </w:rPr>
        <w:t>决定自带设备的参赛队，</w:t>
      </w:r>
      <w:r>
        <w:rPr>
          <w:rFonts w:hint="eastAsia"/>
          <w:sz w:val="30"/>
          <w:szCs w:val="30"/>
        </w:rPr>
        <w:t>需要先</w:t>
      </w:r>
      <w:r>
        <w:rPr>
          <w:sz w:val="30"/>
          <w:szCs w:val="30"/>
        </w:rPr>
        <w:t>与承办学校</w:t>
      </w:r>
      <w:r>
        <w:rPr>
          <w:rFonts w:hint="eastAsia"/>
          <w:sz w:val="30"/>
          <w:szCs w:val="30"/>
        </w:rPr>
        <w:t>协商，</w:t>
      </w:r>
      <w:r>
        <w:rPr>
          <w:sz w:val="30"/>
          <w:szCs w:val="30"/>
        </w:rPr>
        <w:t>确认可行后</w:t>
      </w:r>
      <w:r>
        <w:rPr>
          <w:rFonts w:hint="eastAsia"/>
          <w:sz w:val="30"/>
          <w:szCs w:val="30"/>
        </w:rPr>
        <w:t>再</w:t>
      </w:r>
      <w:r>
        <w:rPr>
          <w:sz w:val="30"/>
          <w:szCs w:val="30"/>
        </w:rPr>
        <w:t xml:space="preserve">进场。现场设备技术保障谁提供谁负责。 </w:t>
      </w:r>
    </w:p>
    <w:p>
      <w:pPr>
        <w:spacing w:after="0" w:line="560" w:lineRule="exact"/>
        <w:ind w:left="0" w:right="0" w:firstLine="600" w:firstLineChars="200"/>
        <w:jc w:val="both"/>
        <w:rPr>
          <w:rFonts w:hint="eastAsia"/>
          <w:sz w:val="30"/>
          <w:szCs w:val="30"/>
        </w:rPr>
      </w:pPr>
      <w:r>
        <w:rPr>
          <w:rFonts w:hint="eastAsia"/>
          <w:sz w:val="30"/>
          <w:szCs w:val="30"/>
        </w:rPr>
        <w:t>3.</w:t>
      </w:r>
      <w:r>
        <w:rPr>
          <w:sz w:val="30"/>
          <w:szCs w:val="30"/>
        </w:rPr>
        <w:t xml:space="preserve">设备选择与参赛报名同步进行。各赛程报名时，自带设备的参赛队须与承办学校积极沟通协商并与承办学校签订确认书（附参赛队自带设备清单及赛场环境要求确认信息），在报名系统上传盖章确认书后，由省级教育行政部门在报名系统进行审核确认，完成报名工作。 </w:t>
      </w:r>
    </w:p>
    <w:p>
      <w:pPr>
        <w:pStyle w:val="5"/>
        <w:spacing w:after="0" w:line="560" w:lineRule="exact"/>
        <w:ind w:left="0" w:leftChars="0" w:right="0" w:rightChars="0" w:firstLine="600" w:firstLineChars="200"/>
        <w:rPr>
          <w:rFonts w:hint="eastAsia"/>
          <w:sz w:val="30"/>
          <w:szCs w:val="30"/>
        </w:rPr>
      </w:pPr>
      <w:r>
        <w:rPr>
          <w:sz w:val="30"/>
          <w:szCs w:val="30"/>
        </w:rPr>
        <w:t xml:space="preserve">十、赛项安全 </w:t>
      </w:r>
    </w:p>
    <w:p>
      <w:pPr>
        <w:spacing w:after="0" w:line="560" w:lineRule="exact"/>
        <w:ind w:left="0" w:right="0" w:firstLine="600" w:firstLineChars="200"/>
        <w:jc w:val="both"/>
        <w:rPr>
          <w:rFonts w:hint="eastAsia"/>
          <w:sz w:val="30"/>
          <w:szCs w:val="30"/>
        </w:rPr>
      </w:pPr>
      <w:r>
        <w:rPr>
          <w:sz w:val="30"/>
          <w:szCs w:val="30"/>
        </w:rPr>
        <w:t>赛项执委会采取切实有效措施，保证大赛期间赛场组织与管理人员、裁判员、参赛人员的人身安全，确保本赛项一切工作顺利开展。</w:t>
      </w:r>
    </w:p>
    <w:p>
      <w:pPr>
        <w:spacing w:after="0" w:line="560" w:lineRule="exact"/>
        <w:ind w:left="0" w:right="0" w:firstLine="600" w:firstLineChars="200"/>
        <w:jc w:val="both"/>
        <w:rPr>
          <w:rFonts w:hint="eastAsia"/>
          <w:sz w:val="30"/>
          <w:szCs w:val="30"/>
        </w:rPr>
      </w:pPr>
      <w:r>
        <w:rPr>
          <w:sz w:val="30"/>
          <w:szCs w:val="30"/>
        </w:rPr>
        <w:t>1.赛项执委会须在赛前组织专人对比赛现场、住宿场所和交通保障进行考察，并对安全工作提出明确要求。赛场的布置，赛场内的器材、设备，应符合国家有关安全规定。如有必要，也可进行赛场模拟测试，以发现可能出现的问题。承办院校赛前须按照赛项执委会要求排除安全隐患。</w:t>
      </w:r>
    </w:p>
    <w:p>
      <w:pPr>
        <w:spacing w:after="0" w:line="560" w:lineRule="exact"/>
        <w:ind w:left="0" w:right="0" w:firstLine="600" w:firstLineChars="200"/>
        <w:jc w:val="both"/>
        <w:rPr>
          <w:rFonts w:hint="eastAsia"/>
          <w:sz w:val="30"/>
          <w:szCs w:val="30"/>
        </w:rPr>
      </w:pPr>
      <w:r>
        <w:rPr>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spacing w:after="0" w:line="560" w:lineRule="exact"/>
        <w:ind w:left="0" w:right="0" w:firstLine="600" w:firstLineChars="200"/>
        <w:jc w:val="both"/>
        <w:rPr>
          <w:rFonts w:hint="eastAsia"/>
          <w:sz w:val="30"/>
          <w:szCs w:val="30"/>
        </w:rPr>
      </w:pPr>
      <w:r>
        <w:rPr>
          <w:sz w:val="30"/>
          <w:szCs w:val="30"/>
        </w:rPr>
        <w:t>3.赛项执委会须会同承办院校制定开放赛场和体验区的人员疏导方案。赛场环境中如存在人员密集、车流与人流交错的区域，除了设置齐全的指示标志外，须增加引导人员，并开辟备用通道。</w:t>
      </w:r>
    </w:p>
    <w:p>
      <w:pPr>
        <w:spacing w:after="0" w:line="560" w:lineRule="exact"/>
        <w:ind w:left="0" w:right="0" w:firstLine="600" w:firstLineChars="200"/>
        <w:jc w:val="both"/>
        <w:rPr>
          <w:rFonts w:hint="eastAsia"/>
          <w:sz w:val="30"/>
          <w:szCs w:val="30"/>
        </w:rPr>
      </w:pPr>
      <w:r>
        <w:rPr>
          <w:sz w:val="30"/>
          <w:szCs w:val="30"/>
        </w:rPr>
        <w:t>4.大赛期间，赛项承办院校须在赛场设置医疗医护工作站。在管理的关键岗位，增加力量，建立安全管理日志。</w:t>
      </w:r>
    </w:p>
    <w:p>
      <w:pPr>
        <w:spacing w:after="0" w:line="560" w:lineRule="exact"/>
        <w:ind w:left="0" w:right="0" w:firstLine="600" w:firstLineChars="200"/>
        <w:jc w:val="both"/>
        <w:rPr>
          <w:rFonts w:hint="eastAsia"/>
          <w:sz w:val="30"/>
          <w:szCs w:val="30"/>
        </w:rPr>
      </w:pPr>
      <w:r>
        <w:rPr>
          <w:sz w:val="30"/>
          <w:szCs w:val="30"/>
        </w:rPr>
        <w:t xml:space="preserve">5.参赛选手、赛项裁判、工作人员严禁携带通讯、摄录设备和未经许可的记录用具进入比赛区域；如确有需要，由赛项承办单位统一配置，统一管理。赛项可根据需要配置安检设备，对进入赛场重要区域的人员进行安检，可在赛场相关区域安放无线屏蔽设备。 </w:t>
      </w:r>
    </w:p>
    <w:p>
      <w:pPr>
        <w:pStyle w:val="5"/>
        <w:spacing w:after="0" w:line="560" w:lineRule="exact"/>
        <w:ind w:left="0" w:leftChars="0" w:right="0" w:rightChars="0" w:firstLine="600" w:firstLineChars="200"/>
        <w:rPr>
          <w:rFonts w:hint="eastAsia"/>
          <w:sz w:val="30"/>
          <w:szCs w:val="30"/>
        </w:rPr>
      </w:pPr>
      <w:r>
        <w:rPr>
          <w:sz w:val="30"/>
          <w:szCs w:val="30"/>
        </w:rPr>
        <w:t>十</w:t>
      </w:r>
      <w:r>
        <w:rPr>
          <w:rFonts w:hint="eastAsia"/>
          <w:sz w:val="30"/>
          <w:szCs w:val="30"/>
        </w:rPr>
        <w:t>一</w:t>
      </w:r>
      <w:r>
        <w:rPr>
          <w:sz w:val="30"/>
          <w:szCs w:val="30"/>
        </w:rPr>
        <w:t>、成绩评定</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（一）评分标准 </w:t>
      </w:r>
    </w:p>
    <w:p>
      <w:pPr>
        <w:spacing w:after="0" w:line="560" w:lineRule="exact"/>
        <w:ind w:left="0" w:right="0" w:firstLine="600" w:firstLineChars="200"/>
        <w:jc w:val="both"/>
        <w:rPr>
          <w:rFonts w:hint="eastAsia"/>
          <w:sz w:val="30"/>
          <w:szCs w:val="30"/>
        </w:rPr>
      </w:pPr>
      <w:r>
        <w:rPr>
          <w:sz w:val="30"/>
          <w:szCs w:val="30"/>
        </w:rPr>
        <w:t>根据操作考核标准进行打分，</w:t>
      </w:r>
      <w:r>
        <w:rPr>
          <w:rFonts w:hint="eastAsia"/>
          <w:sz w:val="30"/>
          <w:szCs w:val="30"/>
        </w:rPr>
        <w:t>其中每组制粒100分、压片100分，总成绩为制粒和压片环节成绩之和，满分200分。</w:t>
      </w:r>
    </w:p>
    <w:p>
      <w:pPr>
        <w:spacing w:after="0" w:line="560" w:lineRule="exact"/>
        <w:ind w:left="0" w:right="0" w:firstLine="600" w:firstLineChars="200"/>
        <w:jc w:val="both"/>
        <w:rPr>
          <w:rFonts w:hint="eastAsia"/>
          <w:sz w:val="30"/>
          <w:szCs w:val="30"/>
        </w:rPr>
      </w:pPr>
      <w:r>
        <w:rPr>
          <w:sz w:val="30"/>
          <w:szCs w:val="30"/>
        </w:rPr>
        <w:t>现场操作考试时间为</w:t>
      </w:r>
      <w:r>
        <w:rPr>
          <w:rFonts w:hint="eastAsia"/>
          <w:sz w:val="30"/>
          <w:szCs w:val="30"/>
        </w:rPr>
        <w:t>120</w:t>
      </w:r>
      <w:r>
        <w:rPr>
          <w:sz w:val="30"/>
          <w:szCs w:val="30"/>
        </w:rPr>
        <w:t xml:space="preserve"> 分钟，根据人员净化要求进入生产车间，领取生产指令，按生产指令检查操作间温度、相对湿度、静压差并记录。按照物料管理的相关要求，领取相应的物料，按照《压片岗位标准操作规程》进行</w:t>
      </w:r>
      <w:r>
        <w:rPr>
          <w:rFonts w:hint="eastAsia"/>
          <w:sz w:val="30"/>
          <w:szCs w:val="30"/>
        </w:rPr>
        <w:t>制粒、压片</w:t>
      </w:r>
      <w:r>
        <w:rPr>
          <w:sz w:val="30"/>
          <w:szCs w:val="30"/>
        </w:rPr>
        <w:t>操作，填写相关的生产记录，按照中间产品质量检查要求，抽样检测</w:t>
      </w:r>
      <w:r>
        <w:rPr>
          <w:rFonts w:hint="eastAsia"/>
          <w:sz w:val="30"/>
          <w:szCs w:val="30"/>
        </w:rPr>
        <w:t>颗粒的水分、</w:t>
      </w:r>
      <w:r>
        <w:rPr>
          <w:sz w:val="30"/>
          <w:szCs w:val="30"/>
        </w:rPr>
        <w:t>片剂的片重、硬度、脆碎度，并填写生产记录。</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（二）评分方式</w:t>
      </w:r>
    </w:p>
    <w:p>
      <w:pPr>
        <w:spacing w:after="0" w:line="560" w:lineRule="exact"/>
        <w:ind w:left="0" w:right="0" w:firstLine="600" w:firstLineChars="200"/>
        <w:jc w:val="both"/>
        <w:rPr>
          <w:rFonts w:hint="eastAsia"/>
          <w:sz w:val="30"/>
          <w:szCs w:val="30"/>
        </w:rPr>
      </w:pPr>
      <w:r>
        <w:rPr>
          <w:sz w:val="30"/>
          <w:szCs w:val="30"/>
        </w:rPr>
        <w:t>1.评分方法</w:t>
      </w:r>
    </w:p>
    <w:p>
      <w:pPr>
        <w:spacing w:after="0" w:line="560" w:lineRule="exact"/>
        <w:ind w:left="0" w:right="0" w:firstLine="600" w:firstLineChars="200"/>
        <w:jc w:val="both"/>
        <w:rPr>
          <w:rFonts w:hint="eastAsia"/>
          <w:sz w:val="30"/>
          <w:szCs w:val="30"/>
        </w:rPr>
      </w:pPr>
      <w:r>
        <w:rPr>
          <w:rFonts w:hint="eastAsia"/>
          <w:sz w:val="30"/>
          <w:szCs w:val="30"/>
        </w:rPr>
        <w:t>由现场裁判根据选手现场实际操作表现，依据评分表进行评价。由现场裁判评判4</w:t>
      </w:r>
      <w:r>
        <w:rPr>
          <w:sz w:val="30"/>
          <w:szCs w:val="30"/>
        </w:rPr>
        <w:t>名</w:t>
      </w:r>
      <w:r>
        <w:rPr>
          <w:rFonts w:hint="eastAsia"/>
          <w:sz w:val="30"/>
          <w:szCs w:val="30"/>
        </w:rPr>
        <w:t>选手，项目裁判组长汇同现场裁判实时汇总各赛位号的成绩，经复核无误，由裁判长、监督仲裁人员签字确认后公布。</w:t>
      </w:r>
    </w:p>
    <w:p>
      <w:pPr>
        <w:spacing w:after="0" w:line="560" w:lineRule="exact"/>
        <w:ind w:left="0" w:right="0" w:firstLine="600" w:firstLineChars="200"/>
        <w:jc w:val="both"/>
        <w:rPr>
          <w:rFonts w:hint="eastAsia"/>
          <w:sz w:val="30"/>
          <w:szCs w:val="30"/>
        </w:rPr>
      </w:pPr>
      <w:r>
        <w:rPr>
          <w:sz w:val="30"/>
          <w:szCs w:val="30"/>
        </w:rPr>
        <w:t>3.成绩产生与审核</w:t>
      </w:r>
    </w:p>
    <w:p>
      <w:pPr>
        <w:spacing w:after="0" w:line="560" w:lineRule="exact"/>
        <w:ind w:left="0" w:right="0" w:firstLine="600" w:firstLineChars="200"/>
        <w:jc w:val="both"/>
        <w:rPr>
          <w:rFonts w:hint="eastAsia"/>
          <w:sz w:val="30"/>
          <w:szCs w:val="30"/>
        </w:rPr>
      </w:pPr>
      <w:r>
        <w:rPr>
          <w:rFonts w:hint="eastAsia"/>
          <w:sz w:val="30"/>
          <w:szCs w:val="30"/>
        </w:rPr>
        <w:t>在监督仲裁人员的现场监督下，由加密裁判汇总选手各模块项目评分，并计算出参赛选手的总成绩，复核无误后，经裁判长、监督仲裁人员签字确认后提交监督仲裁组组长再次复核。</w:t>
      </w:r>
    </w:p>
    <w:p>
      <w:pPr>
        <w:spacing w:after="0" w:line="560" w:lineRule="exact"/>
        <w:ind w:left="0" w:right="0" w:firstLine="600" w:firstLineChars="200"/>
        <w:jc w:val="both"/>
        <w:rPr>
          <w:rFonts w:hint="eastAsia"/>
          <w:sz w:val="30"/>
          <w:szCs w:val="30"/>
        </w:rPr>
      </w:pPr>
      <w:r>
        <w:rPr>
          <w:rFonts w:hint="eastAsia"/>
          <w:sz w:val="30"/>
          <w:szCs w:val="30"/>
        </w:rPr>
        <w:t>监督仲裁组对总成绩排名前</w:t>
      </w:r>
      <w:r>
        <w:rPr>
          <w:sz w:val="30"/>
          <w:szCs w:val="30"/>
        </w:rPr>
        <w:t>30%的参赛选手成绩进行再次复核；对其余选手成绩进行抽检复核，抽检覆盖率不得低于15%。如发现成绩错误以书面方式及时告知总裁判长，由总裁判长更正成绩并签字确认。复核、抽检错误率超过5%的，则对所有选手成绩进行复核。</w:t>
      </w:r>
    </w:p>
    <w:p>
      <w:pPr>
        <w:spacing w:after="0" w:line="560" w:lineRule="exact"/>
        <w:ind w:left="0" w:right="0" w:firstLine="600" w:firstLineChars="200"/>
        <w:jc w:val="both"/>
        <w:rPr>
          <w:rFonts w:hint="eastAsia"/>
          <w:sz w:val="30"/>
          <w:szCs w:val="30"/>
        </w:rPr>
      </w:pPr>
      <w:r>
        <w:rPr>
          <w:sz w:val="30"/>
          <w:szCs w:val="30"/>
        </w:rPr>
        <w:t>4.成绩公布</w:t>
      </w:r>
    </w:p>
    <w:p>
      <w:pPr>
        <w:spacing w:after="0" w:line="560" w:lineRule="exact"/>
        <w:ind w:left="0" w:right="0" w:firstLine="600" w:firstLineChars="200"/>
        <w:jc w:val="both"/>
        <w:rPr>
          <w:rFonts w:hint="eastAsia"/>
          <w:sz w:val="30"/>
          <w:szCs w:val="30"/>
        </w:rPr>
      </w:pPr>
      <w:r>
        <w:rPr>
          <w:sz w:val="30"/>
          <w:szCs w:val="30"/>
        </w:rPr>
        <w:t>在监督仲裁人员的现场监督下，加密裁判将解密后的各参赛选手成绩汇总制表，经总裁判长、监督仲裁组组长签字后公示，2小时后无异议，将选手成绩录入赛务管理系统，经总裁判长、监督仲裁组组长在成绩单上审核签字后在闭幕式宣布。</w:t>
      </w:r>
    </w:p>
    <w:p>
      <w:pPr>
        <w:pStyle w:val="5"/>
        <w:spacing w:after="0" w:line="560" w:lineRule="exact"/>
        <w:ind w:left="0" w:leftChars="0" w:right="0" w:rightChars="0" w:firstLine="600" w:firstLineChars="200"/>
        <w:rPr>
          <w:rFonts w:hint="eastAsia"/>
          <w:sz w:val="30"/>
          <w:szCs w:val="30"/>
        </w:rPr>
      </w:pPr>
      <w:r>
        <w:rPr>
          <w:sz w:val="30"/>
          <w:szCs w:val="30"/>
        </w:rPr>
        <w:t>十</w:t>
      </w:r>
      <w:r>
        <w:rPr>
          <w:rFonts w:hint="eastAsia"/>
          <w:sz w:val="30"/>
          <w:szCs w:val="30"/>
        </w:rPr>
        <w:t>二</w:t>
      </w:r>
      <w:r>
        <w:rPr>
          <w:sz w:val="30"/>
          <w:szCs w:val="30"/>
        </w:rPr>
        <w:t xml:space="preserve">、奖项设定 </w:t>
      </w:r>
    </w:p>
    <w:p>
      <w:pPr>
        <w:spacing w:after="0" w:line="560" w:lineRule="exact"/>
        <w:ind w:left="0" w:right="0" w:firstLine="600" w:firstLineChars="200"/>
        <w:jc w:val="both"/>
        <w:rPr>
          <w:rFonts w:hint="eastAsia"/>
          <w:sz w:val="30"/>
          <w:szCs w:val="30"/>
        </w:rPr>
      </w:pPr>
      <w:r>
        <w:rPr>
          <w:rFonts w:hint="eastAsia"/>
          <w:sz w:val="30"/>
          <w:szCs w:val="30"/>
        </w:rPr>
        <w:t>按照《河南省教育厅办公室关于举办2024年河南省高等职业教育技能大赛的通知》（教办职成〔2024〕331号）文件规定执行。</w:t>
      </w:r>
    </w:p>
    <w:p>
      <w:pPr>
        <w:pStyle w:val="5"/>
        <w:spacing w:after="0" w:line="560" w:lineRule="exact"/>
        <w:ind w:left="0" w:leftChars="0" w:right="0" w:rightChars="0" w:firstLine="600" w:firstLineChars="200"/>
        <w:jc w:val="both"/>
        <w:rPr>
          <w:rFonts w:hint="eastAsia" w:cs="微软雅黑"/>
          <w:b/>
          <w:sz w:val="30"/>
          <w:szCs w:val="30"/>
        </w:rPr>
      </w:pPr>
      <w:r>
        <w:rPr>
          <w:sz w:val="30"/>
          <w:szCs w:val="30"/>
        </w:rPr>
        <w:t>十</w:t>
      </w:r>
      <w:r>
        <w:rPr>
          <w:rFonts w:hint="eastAsia"/>
          <w:sz w:val="30"/>
          <w:szCs w:val="30"/>
        </w:rPr>
        <w:t>三</w:t>
      </w:r>
      <w:r>
        <w:rPr>
          <w:sz w:val="30"/>
          <w:szCs w:val="30"/>
        </w:rPr>
        <w:t>、赛</w:t>
      </w:r>
      <w:r>
        <w:rPr>
          <w:rFonts w:hint="eastAsia"/>
          <w:sz w:val="30"/>
          <w:szCs w:val="30"/>
        </w:rPr>
        <w:t>项</w:t>
      </w:r>
      <w:r>
        <w:rPr>
          <w:sz w:val="30"/>
          <w:szCs w:val="30"/>
        </w:rPr>
        <w:t>预案</w:t>
      </w:r>
      <w:r>
        <w:rPr>
          <w:rFonts w:cs="微软雅黑"/>
          <w:b/>
          <w:sz w:val="30"/>
          <w:szCs w:val="30"/>
        </w:rPr>
        <w:t xml:space="preserve"> </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（一）安全预案</w:t>
      </w:r>
    </w:p>
    <w:p>
      <w:pPr>
        <w:spacing w:after="0" w:line="560" w:lineRule="exact"/>
        <w:ind w:left="0" w:right="0" w:firstLine="600" w:firstLineChars="200"/>
        <w:jc w:val="both"/>
        <w:rPr>
          <w:rFonts w:hint="eastAsia"/>
          <w:sz w:val="30"/>
          <w:szCs w:val="30"/>
        </w:rPr>
      </w:pPr>
      <w:r>
        <w:rPr>
          <w:sz w:val="30"/>
          <w:szCs w:val="30"/>
        </w:rPr>
        <w:t>1.原辅料安全管理预案</w:t>
      </w:r>
    </w:p>
    <w:p>
      <w:pPr>
        <w:spacing w:after="0" w:line="560" w:lineRule="exact"/>
        <w:ind w:left="0" w:right="0" w:firstLine="600" w:firstLineChars="200"/>
        <w:jc w:val="both"/>
        <w:rPr>
          <w:rFonts w:hint="eastAsia"/>
          <w:sz w:val="30"/>
          <w:szCs w:val="30"/>
        </w:rPr>
      </w:pPr>
      <w:r>
        <w:rPr>
          <w:rFonts w:hint="eastAsia"/>
          <w:sz w:val="30"/>
          <w:szCs w:val="30"/>
        </w:rPr>
        <w:t>（1）</w:t>
      </w:r>
      <w:r>
        <w:rPr>
          <w:sz w:val="30"/>
          <w:szCs w:val="30"/>
        </w:rPr>
        <w:t>比赛用原辅料由专人统一保管和更换。</w:t>
      </w:r>
    </w:p>
    <w:p>
      <w:pPr>
        <w:spacing w:after="0" w:line="560" w:lineRule="exact"/>
        <w:ind w:left="0" w:right="0" w:firstLine="600" w:firstLineChars="200"/>
        <w:jc w:val="both"/>
        <w:rPr>
          <w:rFonts w:hint="eastAsia"/>
          <w:sz w:val="30"/>
          <w:szCs w:val="30"/>
        </w:rPr>
      </w:pPr>
      <w:r>
        <w:rPr>
          <w:rFonts w:hint="eastAsia"/>
          <w:sz w:val="30"/>
          <w:szCs w:val="30"/>
        </w:rPr>
        <w:t>（2）</w:t>
      </w:r>
      <w:r>
        <w:rPr>
          <w:sz w:val="30"/>
          <w:szCs w:val="30"/>
        </w:rPr>
        <w:t>取用原辅料要佩戴专用防护手套。</w:t>
      </w:r>
    </w:p>
    <w:p>
      <w:pPr>
        <w:spacing w:after="0" w:line="560" w:lineRule="exact"/>
        <w:ind w:left="0" w:right="0" w:firstLine="600" w:firstLineChars="200"/>
        <w:jc w:val="both"/>
        <w:rPr>
          <w:rFonts w:hint="eastAsia"/>
          <w:sz w:val="30"/>
          <w:szCs w:val="30"/>
        </w:rPr>
      </w:pPr>
      <w:r>
        <w:rPr>
          <w:rFonts w:hint="eastAsia"/>
          <w:sz w:val="30"/>
          <w:szCs w:val="30"/>
        </w:rPr>
        <w:t>（3）</w:t>
      </w:r>
      <w:r>
        <w:rPr>
          <w:sz w:val="30"/>
          <w:szCs w:val="30"/>
        </w:rPr>
        <w:t>原辅料分组使用不能串用、混用，使用后要及时归还回位置。</w:t>
      </w:r>
    </w:p>
    <w:p>
      <w:pPr>
        <w:spacing w:after="0" w:line="560" w:lineRule="exact"/>
        <w:ind w:left="0" w:right="0" w:firstLine="600" w:firstLineChars="200"/>
        <w:jc w:val="both"/>
        <w:rPr>
          <w:rFonts w:hint="eastAsia"/>
          <w:sz w:val="30"/>
          <w:szCs w:val="30"/>
        </w:rPr>
      </w:pPr>
      <w:r>
        <w:rPr>
          <w:rFonts w:hint="eastAsia"/>
          <w:sz w:val="30"/>
          <w:szCs w:val="30"/>
        </w:rPr>
        <w:t>（4）</w:t>
      </w:r>
      <w:r>
        <w:rPr>
          <w:sz w:val="30"/>
          <w:szCs w:val="30"/>
        </w:rPr>
        <w:t>发生涉及原辅料的安全事故，由现场人员依不同情况酌情实施急救，并及时上报。</w:t>
      </w:r>
    </w:p>
    <w:p>
      <w:pPr>
        <w:spacing w:after="0" w:line="560" w:lineRule="exact"/>
        <w:ind w:left="0" w:right="0" w:firstLine="600" w:firstLineChars="200"/>
        <w:jc w:val="both"/>
        <w:rPr>
          <w:rFonts w:hint="eastAsia"/>
          <w:sz w:val="30"/>
          <w:szCs w:val="30"/>
        </w:rPr>
      </w:pPr>
      <w:r>
        <w:rPr>
          <w:rFonts w:hint="eastAsia"/>
          <w:sz w:val="30"/>
          <w:szCs w:val="30"/>
        </w:rPr>
        <w:t>（5）</w:t>
      </w:r>
      <w:r>
        <w:rPr>
          <w:sz w:val="30"/>
          <w:szCs w:val="30"/>
        </w:rPr>
        <w:t>组织人员对事发场地外围进行封锁，严禁无关人员进入，防止危害进一步扩大。</w:t>
      </w:r>
    </w:p>
    <w:p>
      <w:pPr>
        <w:spacing w:after="0" w:line="560" w:lineRule="exact"/>
        <w:ind w:left="0" w:right="0" w:firstLine="600" w:firstLineChars="200"/>
        <w:jc w:val="both"/>
        <w:rPr>
          <w:rFonts w:hint="eastAsia"/>
          <w:sz w:val="30"/>
          <w:szCs w:val="30"/>
        </w:rPr>
      </w:pPr>
      <w:r>
        <w:rPr>
          <w:rFonts w:hint="eastAsia"/>
          <w:sz w:val="30"/>
          <w:szCs w:val="30"/>
        </w:rPr>
        <w:t>（6）</w:t>
      </w:r>
      <w:r>
        <w:rPr>
          <w:sz w:val="30"/>
          <w:szCs w:val="30"/>
        </w:rPr>
        <w:t>立即联系医疗救护人员到现场进行医疗救护工作，同时拨打 120 急救电话。</w:t>
      </w:r>
    </w:p>
    <w:p>
      <w:pPr>
        <w:spacing w:after="0" w:line="560" w:lineRule="exact"/>
        <w:ind w:left="0" w:right="0" w:firstLine="600" w:firstLineChars="200"/>
        <w:jc w:val="both"/>
        <w:rPr>
          <w:rFonts w:hint="eastAsia"/>
          <w:sz w:val="30"/>
          <w:szCs w:val="30"/>
        </w:rPr>
      </w:pPr>
      <w:r>
        <w:rPr>
          <w:sz w:val="30"/>
          <w:szCs w:val="30"/>
        </w:rPr>
        <w:t>2.水、电保障应急预案</w:t>
      </w:r>
    </w:p>
    <w:p>
      <w:pPr>
        <w:spacing w:after="0" w:line="560" w:lineRule="exact"/>
        <w:ind w:left="0" w:right="0" w:firstLine="600" w:firstLineChars="200"/>
        <w:jc w:val="both"/>
        <w:rPr>
          <w:rFonts w:hint="eastAsia"/>
          <w:sz w:val="30"/>
          <w:szCs w:val="30"/>
        </w:rPr>
      </w:pPr>
      <w:r>
        <w:rPr>
          <w:rFonts w:hint="eastAsia"/>
          <w:sz w:val="30"/>
          <w:szCs w:val="30"/>
        </w:rPr>
        <w:t>（1）</w:t>
      </w:r>
      <w:r>
        <w:rPr>
          <w:sz w:val="30"/>
          <w:szCs w:val="30"/>
        </w:rPr>
        <w:t>一旦发生水电路故障、停水、停电等现象，现场人员要在第一时间向应急处置小组报告，并采取有效措施，防止发生事故。</w:t>
      </w:r>
    </w:p>
    <w:p>
      <w:pPr>
        <w:spacing w:after="0" w:line="560" w:lineRule="exact"/>
        <w:ind w:left="0" w:right="0" w:firstLine="600" w:firstLineChars="200"/>
        <w:jc w:val="both"/>
        <w:rPr>
          <w:rFonts w:hint="eastAsia"/>
          <w:sz w:val="30"/>
          <w:szCs w:val="30"/>
        </w:rPr>
      </w:pPr>
      <w:r>
        <w:rPr>
          <w:rFonts w:hint="eastAsia"/>
          <w:sz w:val="30"/>
          <w:szCs w:val="30"/>
        </w:rPr>
        <w:t>（2）</w:t>
      </w:r>
      <w:r>
        <w:rPr>
          <w:sz w:val="30"/>
          <w:szCs w:val="30"/>
        </w:rPr>
        <w:t>一旦发生触电事故，首先要在安全的情况下使触电者尽快脱离电源。</w:t>
      </w:r>
    </w:p>
    <w:p>
      <w:pPr>
        <w:spacing w:after="0" w:line="560" w:lineRule="exact"/>
        <w:ind w:left="0" w:right="0" w:firstLine="600" w:firstLineChars="200"/>
        <w:jc w:val="both"/>
        <w:rPr>
          <w:rFonts w:hint="eastAsia"/>
          <w:sz w:val="30"/>
          <w:szCs w:val="30"/>
        </w:rPr>
      </w:pPr>
      <w:r>
        <w:rPr>
          <w:rFonts w:hint="eastAsia"/>
          <w:sz w:val="30"/>
          <w:szCs w:val="30"/>
        </w:rPr>
        <w:t>（3）</w:t>
      </w:r>
      <w:r>
        <w:rPr>
          <w:sz w:val="30"/>
          <w:szCs w:val="30"/>
        </w:rPr>
        <w:t>责任人员负责协调救援工作，下达救援指令等工作。并向承办单位相关部门及主要领导报告救援信息。</w:t>
      </w:r>
    </w:p>
    <w:p>
      <w:pPr>
        <w:spacing w:after="0" w:line="560" w:lineRule="exact"/>
        <w:ind w:left="0" w:right="0" w:firstLine="600" w:firstLineChars="200"/>
        <w:jc w:val="both"/>
        <w:rPr>
          <w:rFonts w:hint="eastAsia"/>
          <w:sz w:val="30"/>
          <w:szCs w:val="30"/>
        </w:rPr>
      </w:pPr>
      <w:r>
        <w:rPr>
          <w:rFonts w:hint="eastAsia"/>
          <w:sz w:val="30"/>
          <w:szCs w:val="30"/>
        </w:rPr>
        <w:t>（4）</w:t>
      </w:r>
      <w:r>
        <w:rPr>
          <w:sz w:val="30"/>
          <w:szCs w:val="30"/>
        </w:rPr>
        <w:t>根据触电者症状及时进行现场紧急救护。触电者脱离电源后，救护者应立即将其就近移至干燥通风处，可依不同情况酌情实施救护。</w:t>
      </w:r>
    </w:p>
    <w:p>
      <w:pPr>
        <w:spacing w:after="0" w:line="560" w:lineRule="exact"/>
        <w:ind w:left="0" w:right="0" w:firstLine="600" w:firstLineChars="200"/>
        <w:jc w:val="both"/>
        <w:rPr>
          <w:rFonts w:hint="eastAsia"/>
          <w:sz w:val="30"/>
          <w:szCs w:val="30"/>
        </w:rPr>
      </w:pPr>
      <w:r>
        <w:rPr>
          <w:rFonts w:hint="eastAsia"/>
          <w:sz w:val="30"/>
          <w:szCs w:val="30"/>
        </w:rPr>
        <w:t>（5）</w:t>
      </w:r>
      <w:r>
        <w:rPr>
          <w:sz w:val="30"/>
          <w:szCs w:val="30"/>
        </w:rPr>
        <w:t>组织人员对事发场地外围进行封锁，严禁无关人员进入，防止造成更大灾害。</w:t>
      </w:r>
    </w:p>
    <w:p>
      <w:pPr>
        <w:spacing w:after="0" w:line="560" w:lineRule="exact"/>
        <w:ind w:left="0" w:right="0" w:firstLine="600" w:firstLineChars="200"/>
        <w:jc w:val="both"/>
        <w:rPr>
          <w:rFonts w:hint="eastAsia"/>
          <w:sz w:val="30"/>
          <w:szCs w:val="30"/>
        </w:rPr>
      </w:pPr>
      <w:r>
        <w:rPr>
          <w:rFonts w:hint="eastAsia"/>
          <w:sz w:val="30"/>
          <w:szCs w:val="30"/>
        </w:rPr>
        <w:t>（6）</w:t>
      </w:r>
      <w:r>
        <w:rPr>
          <w:sz w:val="30"/>
          <w:szCs w:val="30"/>
        </w:rPr>
        <w:t>立即联系医疗救护人员到现场进行医疗救护工作，同时拨打120急救电话。</w:t>
      </w:r>
    </w:p>
    <w:p>
      <w:pPr>
        <w:spacing w:after="0" w:line="560" w:lineRule="exact"/>
        <w:ind w:left="0" w:right="0" w:firstLine="600" w:firstLineChars="200"/>
        <w:jc w:val="both"/>
        <w:rPr>
          <w:rFonts w:hint="eastAsia"/>
          <w:sz w:val="30"/>
          <w:szCs w:val="30"/>
        </w:rPr>
      </w:pPr>
      <w:r>
        <w:rPr>
          <w:sz w:val="30"/>
          <w:szCs w:val="30"/>
        </w:rPr>
        <w:t>3.生产设备管理预案</w:t>
      </w:r>
    </w:p>
    <w:p>
      <w:pPr>
        <w:spacing w:after="0" w:line="560" w:lineRule="exact"/>
        <w:ind w:left="0" w:right="0" w:firstLine="600" w:firstLineChars="200"/>
        <w:jc w:val="both"/>
        <w:rPr>
          <w:rFonts w:hint="eastAsia"/>
          <w:sz w:val="30"/>
          <w:szCs w:val="30"/>
        </w:rPr>
      </w:pPr>
      <w:r>
        <w:rPr>
          <w:rFonts w:hint="eastAsia"/>
          <w:sz w:val="30"/>
          <w:szCs w:val="30"/>
        </w:rPr>
        <w:t>（1）</w:t>
      </w:r>
      <w:r>
        <w:rPr>
          <w:sz w:val="30"/>
          <w:szCs w:val="30"/>
        </w:rPr>
        <w:t>生产设备要按规定使用，防止触电及其它伤害事故。</w:t>
      </w:r>
    </w:p>
    <w:p>
      <w:pPr>
        <w:spacing w:after="0" w:line="560" w:lineRule="exact"/>
        <w:ind w:left="0" w:right="0" w:firstLine="600" w:firstLineChars="200"/>
        <w:jc w:val="both"/>
        <w:rPr>
          <w:rFonts w:hint="eastAsia"/>
          <w:sz w:val="30"/>
          <w:szCs w:val="30"/>
        </w:rPr>
      </w:pPr>
      <w:r>
        <w:rPr>
          <w:rFonts w:hint="eastAsia"/>
          <w:sz w:val="30"/>
          <w:szCs w:val="30"/>
        </w:rPr>
        <w:t>（2）</w:t>
      </w:r>
      <w:r>
        <w:rPr>
          <w:sz w:val="30"/>
          <w:szCs w:val="30"/>
        </w:rPr>
        <w:t>如遇生产设备产生故障，由责任人员负责更换。</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（二）对选手成绩产生影响的具体处理措施</w:t>
      </w:r>
    </w:p>
    <w:p>
      <w:pPr>
        <w:spacing w:after="0" w:line="560" w:lineRule="exact"/>
        <w:ind w:left="0" w:right="0" w:firstLine="600" w:firstLineChars="200"/>
        <w:jc w:val="both"/>
        <w:rPr>
          <w:rFonts w:hint="eastAsia"/>
          <w:sz w:val="30"/>
          <w:szCs w:val="30"/>
        </w:rPr>
      </w:pPr>
      <w:r>
        <w:rPr>
          <w:sz w:val="30"/>
          <w:szCs w:val="30"/>
        </w:rPr>
        <w:t xml:space="preserve">如非选手个人因素出现设备故障而无法比赛，由裁判长视具体情况做出裁决；如裁判长确定设备故障可由技术支持人员排除故障后继续比赛，将给参赛选手补足所耽误的比赛时间。 </w:t>
      </w:r>
    </w:p>
    <w:p>
      <w:pPr>
        <w:pStyle w:val="5"/>
        <w:spacing w:after="0" w:line="560" w:lineRule="exact"/>
        <w:ind w:left="0" w:leftChars="0" w:right="0" w:rightChars="0" w:firstLine="600" w:firstLineChars="200"/>
        <w:rPr>
          <w:rFonts w:hint="eastAsia"/>
          <w:sz w:val="30"/>
          <w:szCs w:val="30"/>
        </w:rPr>
      </w:pPr>
      <w:r>
        <w:rPr>
          <w:sz w:val="30"/>
          <w:szCs w:val="30"/>
        </w:rPr>
        <w:t>十</w:t>
      </w:r>
      <w:r>
        <w:rPr>
          <w:rFonts w:hint="eastAsia"/>
          <w:sz w:val="30"/>
          <w:szCs w:val="30"/>
        </w:rPr>
        <w:t>四</w:t>
      </w:r>
      <w:r>
        <w:rPr>
          <w:sz w:val="30"/>
          <w:szCs w:val="30"/>
        </w:rPr>
        <w:t xml:space="preserve">、竞赛须知 </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（一）参赛队须知 </w:t>
      </w:r>
    </w:p>
    <w:p>
      <w:pPr>
        <w:spacing w:after="0" w:line="560" w:lineRule="exact"/>
        <w:ind w:left="0" w:right="0" w:firstLine="600" w:firstLineChars="200"/>
        <w:jc w:val="both"/>
        <w:rPr>
          <w:rFonts w:hint="eastAsia"/>
          <w:sz w:val="30"/>
          <w:szCs w:val="30"/>
        </w:rPr>
      </w:pPr>
      <w:r>
        <w:rPr>
          <w:sz w:val="30"/>
          <w:szCs w:val="30"/>
        </w:rPr>
        <w:t>1.参赛队名称统一使用规定地区的院校名称，不接受跨校组队报名；同一院校只能组</w:t>
      </w:r>
      <w:r>
        <w:rPr>
          <w:rFonts w:hint="eastAsia"/>
          <w:sz w:val="30"/>
          <w:szCs w:val="30"/>
        </w:rPr>
        <w:t>两</w:t>
      </w:r>
      <w:r>
        <w:rPr>
          <w:sz w:val="30"/>
          <w:szCs w:val="30"/>
        </w:rPr>
        <w:t>个参赛队参加同一层次赛项的比赛；指导教师须为本校专兼职教师。</w:t>
      </w:r>
    </w:p>
    <w:p>
      <w:pPr>
        <w:spacing w:after="0" w:line="560" w:lineRule="exact"/>
        <w:ind w:left="0" w:right="0" w:firstLine="600" w:firstLineChars="200"/>
        <w:jc w:val="both"/>
        <w:rPr>
          <w:rFonts w:hint="eastAsia"/>
          <w:sz w:val="30"/>
          <w:szCs w:val="30"/>
        </w:rPr>
      </w:pPr>
      <w:r>
        <w:rPr>
          <w:sz w:val="30"/>
          <w:szCs w:val="30"/>
        </w:rPr>
        <w:t>2.参赛队选手必须统一购买在竞赛期间的意外伤害保险。</w:t>
      </w:r>
    </w:p>
    <w:p>
      <w:pPr>
        <w:spacing w:after="0" w:line="560" w:lineRule="exact"/>
        <w:ind w:left="0" w:right="0" w:firstLine="600" w:firstLineChars="200"/>
        <w:jc w:val="both"/>
        <w:rPr>
          <w:rFonts w:hint="eastAsia"/>
          <w:sz w:val="30"/>
          <w:szCs w:val="30"/>
        </w:rPr>
      </w:pPr>
      <w:r>
        <w:rPr>
          <w:sz w:val="30"/>
          <w:szCs w:val="30"/>
        </w:rPr>
        <w:t>3.参赛队对大赛执委会发布的所有文件都要仔细阅读，确切了解大赛时间安排、评判细节等，以保证顺利参加大赛。</w:t>
      </w:r>
    </w:p>
    <w:p>
      <w:pPr>
        <w:spacing w:after="0" w:line="560" w:lineRule="exact"/>
        <w:ind w:left="0" w:right="0" w:firstLine="600" w:firstLineChars="200"/>
        <w:jc w:val="both"/>
        <w:rPr>
          <w:rFonts w:hint="eastAsia"/>
          <w:sz w:val="30"/>
          <w:szCs w:val="30"/>
        </w:rPr>
      </w:pPr>
      <w:r>
        <w:rPr>
          <w:sz w:val="30"/>
          <w:szCs w:val="30"/>
        </w:rPr>
        <w:t>4.参赛队领队负责本参赛队的参赛组织和与大赛的联络，并按时参加领队会议。</w:t>
      </w:r>
    </w:p>
    <w:p>
      <w:pPr>
        <w:spacing w:after="0" w:line="560" w:lineRule="exact"/>
        <w:ind w:left="0" w:right="0" w:firstLine="600" w:firstLineChars="200"/>
        <w:jc w:val="both"/>
        <w:rPr>
          <w:rFonts w:hint="eastAsia"/>
          <w:sz w:val="30"/>
          <w:szCs w:val="30"/>
        </w:rPr>
      </w:pPr>
      <w:r>
        <w:rPr>
          <w:sz w:val="30"/>
          <w:szCs w:val="30"/>
        </w:rPr>
        <w:t>5.参赛队按照赛项赛程安排，凭赛项组委会颁发的参赛证和有效身份证件参加竞赛及相关活动。</w:t>
      </w:r>
    </w:p>
    <w:p>
      <w:pPr>
        <w:spacing w:after="0" w:line="560" w:lineRule="exact"/>
        <w:ind w:left="0" w:right="0" w:firstLine="600" w:firstLineChars="200"/>
        <w:jc w:val="both"/>
        <w:rPr>
          <w:rFonts w:hint="eastAsia"/>
          <w:sz w:val="30"/>
          <w:szCs w:val="30"/>
        </w:rPr>
      </w:pPr>
      <w:r>
        <w:rPr>
          <w:sz w:val="30"/>
          <w:szCs w:val="30"/>
        </w:rPr>
        <w:t>6.参赛队员将通过抽签决定比赛场地和比赛顺序。</w:t>
      </w:r>
    </w:p>
    <w:p>
      <w:pPr>
        <w:spacing w:after="0" w:line="560" w:lineRule="exact"/>
        <w:ind w:left="0" w:right="0" w:firstLine="600" w:firstLineChars="200"/>
        <w:jc w:val="both"/>
        <w:rPr>
          <w:rFonts w:hint="eastAsia"/>
          <w:sz w:val="30"/>
          <w:szCs w:val="30"/>
        </w:rPr>
      </w:pPr>
      <w:r>
        <w:rPr>
          <w:sz w:val="30"/>
          <w:szCs w:val="30"/>
        </w:rPr>
        <w:t>7.参赛选手应自觉遵守赛场纪律，服从裁判、听从指挥。</w:t>
      </w:r>
    </w:p>
    <w:p>
      <w:pPr>
        <w:spacing w:after="0" w:line="560" w:lineRule="exact"/>
        <w:ind w:left="0" w:right="0" w:firstLine="600" w:firstLineChars="200"/>
        <w:jc w:val="both"/>
        <w:rPr>
          <w:rFonts w:hint="eastAsia"/>
          <w:sz w:val="30"/>
          <w:szCs w:val="30"/>
        </w:rPr>
      </w:pPr>
      <w:r>
        <w:rPr>
          <w:sz w:val="30"/>
          <w:szCs w:val="30"/>
        </w:rPr>
        <w:t>8.对于本规则没有规定的行为，裁判组有权做出裁决。在有争议的情况下，裁判的裁决是最终裁决。</w:t>
      </w:r>
    </w:p>
    <w:p>
      <w:pPr>
        <w:spacing w:after="0" w:line="560" w:lineRule="exact"/>
        <w:ind w:left="0" w:right="0" w:firstLine="600" w:firstLineChars="200"/>
        <w:jc w:val="both"/>
        <w:rPr>
          <w:rFonts w:hint="eastAsia"/>
          <w:sz w:val="30"/>
          <w:szCs w:val="30"/>
        </w:rPr>
      </w:pPr>
      <w:r>
        <w:rPr>
          <w:sz w:val="30"/>
          <w:szCs w:val="30"/>
        </w:rPr>
        <w:t>9.本竞赛项目的解释权归大赛组委会。</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（二）指导老师须知 </w:t>
      </w:r>
    </w:p>
    <w:p>
      <w:pPr>
        <w:spacing w:after="0" w:line="560" w:lineRule="exact"/>
        <w:ind w:left="0" w:right="0" w:firstLine="600" w:firstLineChars="200"/>
        <w:jc w:val="both"/>
        <w:rPr>
          <w:rFonts w:hint="eastAsia"/>
          <w:sz w:val="30"/>
          <w:szCs w:val="30"/>
        </w:rPr>
      </w:pPr>
      <w:r>
        <w:rPr>
          <w:sz w:val="30"/>
          <w:szCs w:val="30"/>
        </w:rPr>
        <w:t>1.做好赛前抽签工作，确认比赛出场顺序，协助大赛承办方组织好本单位比赛选手的各项赛事相关事宜。</w:t>
      </w:r>
    </w:p>
    <w:p>
      <w:pPr>
        <w:spacing w:after="0" w:line="560" w:lineRule="exact"/>
        <w:ind w:left="0" w:right="0" w:firstLine="600" w:firstLineChars="200"/>
        <w:jc w:val="both"/>
        <w:rPr>
          <w:rFonts w:hint="eastAsia"/>
          <w:sz w:val="30"/>
          <w:szCs w:val="30"/>
        </w:rPr>
      </w:pPr>
      <w:r>
        <w:rPr>
          <w:sz w:val="30"/>
          <w:szCs w:val="30"/>
        </w:rPr>
        <w:t>2.做好本单位比赛选手的业务辅导、心理疏导和思想引导工作，对参赛选手及比赛过程报以平和、包容的心态，共同维护竞赛秩序。</w:t>
      </w:r>
    </w:p>
    <w:p>
      <w:pPr>
        <w:spacing w:after="0" w:line="560" w:lineRule="exact"/>
        <w:ind w:left="0" w:right="0" w:firstLine="600" w:firstLineChars="200"/>
        <w:jc w:val="both"/>
        <w:rPr>
          <w:rFonts w:hint="eastAsia"/>
          <w:sz w:val="30"/>
          <w:szCs w:val="30"/>
        </w:rPr>
      </w:pPr>
      <w:r>
        <w:rPr>
          <w:rFonts w:hint="eastAsia"/>
          <w:sz w:val="30"/>
          <w:szCs w:val="30"/>
        </w:rPr>
        <w:t>3.</w:t>
      </w:r>
      <w:r>
        <w:rPr>
          <w:sz w:val="30"/>
          <w:szCs w:val="30"/>
        </w:rPr>
        <w:t>自觉遵守竞赛规则，尊重和支持裁判工作，不随意进入比赛现场及其他禁止入内的区域，确保比赛进程的公平、公正、顺畅、高效。</w:t>
      </w:r>
    </w:p>
    <w:p>
      <w:pPr>
        <w:spacing w:after="0" w:line="560" w:lineRule="exact"/>
        <w:ind w:left="0" w:right="0" w:firstLine="600" w:firstLineChars="200"/>
        <w:jc w:val="both"/>
        <w:rPr>
          <w:rFonts w:hint="eastAsia"/>
          <w:sz w:val="30"/>
          <w:szCs w:val="30"/>
        </w:rPr>
      </w:pPr>
      <w:r>
        <w:rPr>
          <w:rFonts w:hint="eastAsia"/>
          <w:sz w:val="30"/>
          <w:szCs w:val="30"/>
        </w:rPr>
        <w:t>4.</w:t>
      </w:r>
      <w:r>
        <w:rPr>
          <w:sz w:val="30"/>
          <w:szCs w:val="30"/>
        </w:rPr>
        <w:t xml:space="preserve">当本单位参赛选手对比赛进程中出现异常或疑问，应及时了解情况，客观作出判断，并做好选手的安抚工作，经内部进行协商，认为有必要时可在规定时限内向赛项监督仲裁组反映情况或提出书面仲裁申请。 </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（三）参赛选手须知 </w:t>
      </w:r>
    </w:p>
    <w:p>
      <w:pPr>
        <w:spacing w:after="0" w:line="560" w:lineRule="exact"/>
        <w:ind w:left="0" w:right="0" w:firstLine="600" w:firstLineChars="200"/>
        <w:jc w:val="both"/>
        <w:rPr>
          <w:rFonts w:hint="eastAsia"/>
          <w:sz w:val="30"/>
          <w:szCs w:val="30"/>
        </w:rPr>
      </w:pPr>
      <w:r>
        <w:rPr>
          <w:sz w:val="30"/>
          <w:szCs w:val="30"/>
        </w:rPr>
        <w:t xml:space="preserve">1.参赛选手应遵守比赛规则，尊重裁判和赛场工作人员，自觉遵守赛场秩序，服从裁判的管理。 </w:t>
      </w:r>
    </w:p>
    <w:p>
      <w:pPr>
        <w:spacing w:after="0" w:line="560" w:lineRule="exact"/>
        <w:ind w:left="0" w:right="0" w:firstLine="600" w:firstLineChars="200"/>
        <w:jc w:val="both"/>
        <w:rPr>
          <w:rFonts w:hint="eastAsia"/>
          <w:sz w:val="30"/>
          <w:szCs w:val="30"/>
        </w:rPr>
      </w:pPr>
      <w:r>
        <w:rPr>
          <w:sz w:val="30"/>
          <w:szCs w:val="30"/>
        </w:rPr>
        <w:t xml:space="preserve">2.参赛选手应佩戴参赛证，带齐身份证、注册的学生证。在赛场的着装，应符合职业要求。在赛场的表现，应体现自己良好的职业习惯和职业素养。 </w:t>
      </w:r>
    </w:p>
    <w:p>
      <w:pPr>
        <w:spacing w:after="0" w:line="560" w:lineRule="exact"/>
        <w:ind w:left="0" w:right="0" w:firstLine="600" w:firstLineChars="200"/>
        <w:jc w:val="both"/>
        <w:rPr>
          <w:rFonts w:hint="eastAsia"/>
          <w:sz w:val="30"/>
          <w:szCs w:val="30"/>
        </w:rPr>
      </w:pPr>
      <w:r>
        <w:rPr>
          <w:sz w:val="30"/>
          <w:szCs w:val="30"/>
        </w:rPr>
        <w:t xml:space="preserve">3.进入赛场前须将手机等通讯工具交赛场相关人员保管，不能带入赛场。未经检验的工具、电子储存器件和其他不允许带入赛场物品，一律不能进入赛场。 </w:t>
      </w:r>
    </w:p>
    <w:p>
      <w:pPr>
        <w:spacing w:after="0" w:line="560" w:lineRule="exact"/>
        <w:ind w:left="0" w:right="0" w:firstLine="600" w:firstLineChars="200"/>
        <w:jc w:val="both"/>
        <w:rPr>
          <w:rFonts w:hint="eastAsia"/>
          <w:sz w:val="30"/>
          <w:szCs w:val="30"/>
        </w:rPr>
      </w:pPr>
      <w:r>
        <w:rPr>
          <w:sz w:val="30"/>
          <w:szCs w:val="30"/>
        </w:rPr>
        <w:t xml:space="preserve">4.比赛过程中不得大声喧哗；不得有影响其他选手比赛的行为，不准有旁窥、夹带等作弊行为。 </w:t>
      </w:r>
    </w:p>
    <w:p>
      <w:pPr>
        <w:spacing w:after="0" w:line="560" w:lineRule="exact"/>
        <w:ind w:left="0" w:right="0" w:firstLine="600" w:firstLineChars="200"/>
        <w:jc w:val="both"/>
        <w:rPr>
          <w:rFonts w:hint="eastAsia"/>
          <w:sz w:val="30"/>
          <w:szCs w:val="30"/>
        </w:rPr>
      </w:pPr>
      <w:r>
        <w:rPr>
          <w:sz w:val="30"/>
          <w:szCs w:val="30"/>
        </w:rPr>
        <w:t xml:space="preserve">5.参赛选手在比赛的过程中，应遵守安全操作规程，文明的操作。通电调试设备时，应经现场裁判许可，在技术人员监护下进行。 </w:t>
      </w:r>
    </w:p>
    <w:p>
      <w:pPr>
        <w:spacing w:after="0" w:line="560" w:lineRule="exact"/>
        <w:ind w:left="0" w:right="0" w:firstLine="600" w:firstLineChars="200"/>
        <w:jc w:val="both"/>
        <w:rPr>
          <w:rFonts w:hint="eastAsia"/>
          <w:sz w:val="30"/>
          <w:szCs w:val="30"/>
        </w:rPr>
      </w:pPr>
      <w:r>
        <w:rPr>
          <w:sz w:val="30"/>
          <w:szCs w:val="30"/>
        </w:rPr>
        <w:t xml:space="preserve">6.需要更换备品备件、补充耗材时，应向现场裁判报告，并在赛场记录表上填写更换备品备件、耗材名称、规格和型号和数量，更换原因，核实从报告到更换（补充）完成的时间并签工位号确认。更换的备品备件或补充的耗材，现场裁判和技术人员检验后，若与填写的更换原因不符，将从比赛成绩中扣分。 </w:t>
      </w:r>
    </w:p>
    <w:p>
      <w:pPr>
        <w:spacing w:after="0" w:line="560" w:lineRule="exact"/>
        <w:ind w:left="0" w:right="0" w:firstLine="600" w:firstLineChars="200"/>
        <w:jc w:val="both"/>
        <w:rPr>
          <w:rFonts w:hint="eastAsia"/>
          <w:sz w:val="30"/>
          <w:szCs w:val="30"/>
        </w:rPr>
      </w:pPr>
      <w:r>
        <w:rPr>
          <w:sz w:val="30"/>
          <w:szCs w:val="30"/>
        </w:rPr>
        <w:t xml:space="preserve">7.通电调试设备前，应先确定正确无误后，才能在裁判或技术人员批准后通电。调试设备过程中，因操作不当，引起跳闸或熔体熔断，要酌情扣分。 </w:t>
      </w:r>
    </w:p>
    <w:p>
      <w:pPr>
        <w:spacing w:after="0" w:line="560" w:lineRule="exact"/>
        <w:ind w:left="0" w:right="0" w:firstLine="600" w:firstLineChars="200"/>
        <w:jc w:val="both"/>
        <w:rPr>
          <w:rFonts w:hint="eastAsia"/>
          <w:sz w:val="30"/>
          <w:szCs w:val="30"/>
        </w:rPr>
      </w:pPr>
      <w:r>
        <w:rPr>
          <w:sz w:val="30"/>
          <w:szCs w:val="30"/>
        </w:rPr>
        <w:t xml:space="preserve">8.安装调试过程，工具使用、操作方法要符合规范。因工具选择和使用不当，造成设备、器材、工具损坏、工伤事故或影响他人比赛，要酌情扣分。 </w:t>
      </w:r>
    </w:p>
    <w:p>
      <w:pPr>
        <w:spacing w:after="0" w:line="560" w:lineRule="exact"/>
        <w:ind w:left="0" w:right="0" w:firstLine="600" w:firstLineChars="200"/>
        <w:jc w:val="both"/>
        <w:rPr>
          <w:rFonts w:hint="eastAsia"/>
          <w:sz w:val="30"/>
          <w:szCs w:val="30"/>
        </w:rPr>
      </w:pPr>
      <w:r>
        <w:rPr>
          <w:sz w:val="30"/>
          <w:szCs w:val="30"/>
        </w:rPr>
        <w:t xml:space="preserve">9.比赛过程中需要去洗手间，应报告现场裁判，由裁判或赛场工作人员陪同离开赛场。 </w:t>
      </w:r>
    </w:p>
    <w:p>
      <w:pPr>
        <w:spacing w:after="0" w:line="560" w:lineRule="exact"/>
        <w:ind w:left="0" w:right="0" w:firstLine="600" w:firstLineChars="200"/>
        <w:jc w:val="both"/>
        <w:rPr>
          <w:rFonts w:hint="eastAsia"/>
          <w:sz w:val="30"/>
          <w:szCs w:val="30"/>
        </w:rPr>
      </w:pPr>
      <w:r>
        <w:rPr>
          <w:sz w:val="30"/>
          <w:szCs w:val="30"/>
        </w:rPr>
        <w:t xml:space="preserve">10.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 </w:t>
      </w:r>
    </w:p>
    <w:p>
      <w:pPr>
        <w:spacing w:after="0" w:line="560" w:lineRule="exact"/>
        <w:ind w:left="0" w:right="0" w:firstLine="600" w:firstLineChars="200"/>
        <w:jc w:val="both"/>
        <w:rPr>
          <w:rFonts w:hint="eastAsia"/>
          <w:sz w:val="30"/>
          <w:szCs w:val="30"/>
        </w:rPr>
      </w:pPr>
      <w:r>
        <w:rPr>
          <w:sz w:val="30"/>
          <w:szCs w:val="30"/>
        </w:rPr>
        <w:t xml:space="preserve">11.裁判长发出停止比赛的指令，选手应立即停止操作。需要补时的选手由现场裁判按规定进行补时。 </w:t>
      </w:r>
    </w:p>
    <w:p>
      <w:pPr>
        <w:spacing w:after="0" w:line="560" w:lineRule="exact"/>
        <w:ind w:left="0" w:right="0" w:firstLine="600" w:firstLineChars="200"/>
        <w:jc w:val="both"/>
        <w:rPr>
          <w:rFonts w:hint="eastAsia"/>
          <w:sz w:val="30"/>
          <w:szCs w:val="30"/>
        </w:rPr>
      </w:pPr>
      <w:r>
        <w:rPr>
          <w:sz w:val="30"/>
          <w:szCs w:val="30"/>
        </w:rPr>
        <w:t xml:space="preserve">12.如对裁判员的执裁有异议，可在2小时内由领队向赛项仲裁组以书面形式提出申述。 </w:t>
      </w:r>
    </w:p>
    <w:p>
      <w:pPr>
        <w:spacing w:after="0" w:line="560" w:lineRule="exact"/>
        <w:ind w:left="0" w:right="0" w:firstLine="600" w:firstLineChars="200"/>
        <w:jc w:val="both"/>
        <w:rPr>
          <w:rFonts w:hint="eastAsia"/>
          <w:sz w:val="30"/>
          <w:szCs w:val="30"/>
        </w:rPr>
      </w:pPr>
      <w:r>
        <w:rPr>
          <w:sz w:val="30"/>
          <w:szCs w:val="30"/>
        </w:rPr>
        <w:t xml:space="preserve">13.遇突发事件，立即报告裁判和赛场工作人员，按赛场裁判和工作人员的指令行动。 </w:t>
      </w:r>
    </w:p>
    <w:p>
      <w:pPr>
        <w:spacing w:after="0" w:line="560" w:lineRule="exact"/>
        <w:ind w:left="0" w:right="0"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（四）工作人员须知 </w:t>
      </w:r>
    </w:p>
    <w:p>
      <w:pPr>
        <w:spacing w:after="0" w:line="560" w:lineRule="exact"/>
        <w:ind w:left="0" w:right="0" w:firstLine="600" w:firstLineChars="200"/>
        <w:jc w:val="both"/>
        <w:rPr>
          <w:rFonts w:hint="eastAsia"/>
          <w:sz w:val="30"/>
          <w:szCs w:val="30"/>
        </w:rPr>
      </w:pPr>
      <w:r>
        <w:rPr>
          <w:sz w:val="30"/>
          <w:szCs w:val="30"/>
        </w:rPr>
        <w:t xml:space="preserve">1.工作人员必须服从赛项组委会统一指挥，佩戴工作人员标识，认真履行职责，做好服务赛场、服务选手的工作。 </w:t>
      </w:r>
    </w:p>
    <w:p>
      <w:pPr>
        <w:spacing w:after="0" w:line="560" w:lineRule="exact"/>
        <w:ind w:left="0" w:right="0" w:firstLine="600" w:firstLineChars="200"/>
        <w:jc w:val="both"/>
        <w:rPr>
          <w:rFonts w:hint="eastAsia"/>
          <w:sz w:val="30"/>
          <w:szCs w:val="30"/>
        </w:rPr>
      </w:pPr>
      <w:r>
        <w:rPr>
          <w:sz w:val="30"/>
          <w:szCs w:val="30"/>
        </w:rPr>
        <w:t xml:space="preserve">2.工作人员按照分工准时上岗，不得擅自离岗，应认真履行各自的工作职责，保证竞赛工作的顺利进行。 </w:t>
      </w:r>
    </w:p>
    <w:p>
      <w:pPr>
        <w:spacing w:after="0" w:line="560" w:lineRule="exact"/>
        <w:ind w:left="0" w:right="0" w:firstLine="600" w:firstLineChars="200"/>
        <w:jc w:val="both"/>
        <w:rPr>
          <w:rFonts w:hint="eastAsia"/>
          <w:sz w:val="30"/>
          <w:szCs w:val="30"/>
        </w:rPr>
      </w:pPr>
      <w:r>
        <w:rPr>
          <w:sz w:val="30"/>
          <w:szCs w:val="30"/>
        </w:rPr>
        <w:t xml:space="preserve">3.工作人员应在规定的区域内工作，未经许可，不得擅自进入竞赛场地。如需进场，需经过裁判长同意，核准证件，有裁判跟随入场。 </w:t>
      </w:r>
    </w:p>
    <w:p>
      <w:pPr>
        <w:spacing w:after="0" w:line="560" w:lineRule="exact"/>
        <w:ind w:left="0" w:right="0" w:firstLine="600" w:firstLineChars="200"/>
        <w:jc w:val="both"/>
        <w:rPr>
          <w:rFonts w:hint="eastAsia"/>
          <w:sz w:val="30"/>
          <w:szCs w:val="30"/>
        </w:rPr>
      </w:pPr>
      <w:r>
        <w:rPr>
          <w:sz w:val="30"/>
          <w:szCs w:val="30"/>
        </w:rPr>
        <w:t xml:space="preserve">4.如遇突发事件，须及时向裁判长报告，同时做好疏导工作，避免重大事故发生，确保竞赛圆满成功。 </w:t>
      </w:r>
    </w:p>
    <w:p>
      <w:pPr>
        <w:spacing w:after="0" w:line="560" w:lineRule="exact"/>
        <w:ind w:left="0" w:right="0" w:firstLine="600" w:firstLineChars="200"/>
        <w:jc w:val="both"/>
        <w:rPr>
          <w:rFonts w:hint="eastAsia"/>
          <w:sz w:val="30"/>
          <w:szCs w:val="30"/>
        </w:rPr>
      </w:pPr>
      <w:r>
        <w:rPr>
          <w:sz w:val="30"/>
          <w:szCs w:val="30"/>
        </w:rPr>
        <w:t xml:space="preserve">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 </w:t>
      </w:r>
    </w:p>
    <w:p>
      <w:pPr>
        <w:pStyle w:val="5"/>
        <w:spacing w:after="0" w:line="560" w:lineRule="exact"/>
        <w:ind w:left="0" w:leftChars="0" w:right="0" w:rightChars="0" w:firstLine="600" w:firstLineChars="200"/>
        <w:rPr>
          <w:rFonts w:hint="eastAsia"/>
          <w:sz w:val="30"/>
          <w:szCs w:val="30"/>
        </w:rPr>
      </w:pPr>
      <w:r>
        <w:rPr>
          <w:sz w:val="30"/>
          <w:szCs w:val="30"/>
        </w:rPr>
        <w:t>十</w:t>
      </w:r>
      <w:r>
        <w:rPr>
          <w:rFonts w:hint="eastAsia"/>
          <w:sz w:val="30"/>
          <w:szCs w:val="30"/>
        </w:rPr>
        <w:t>五</w:t>
      </w:r>
      <w:r>
        <w:rPr>
          <w:sz w:val="30"/>
          <w:szCs w:val="30"/>
        </w:rPr>
        <w:t xml:space="preserve">、申诉与仲裁 </w:t>
      </w:r>
    </w:p>
    <w:p>
      <w:pPr>
        <w:spacing w:after="0" w:line="560" w:lineRule="exact"/>
        <w:ind w:left="0" w:right="0" w:firstLine="600" w:firstLineChars="200"/>
        <w:jc w:val="both"/>
        <w:rPr>
          <w:rFonts w:hint="eastAsia"/>
          <w:sz w:val="30"/>
          <w:szCs w:val="30"/>
        </w:rPr>
      </w:pPr>
      <w:r>
        <w:rPr>
          <w:rFonts w:hint="eastAsia"/>
          <w:sz w:val="30"/>
          <w:szCs w:val="30"/>
        </w:rPr>
        <w:t>1.</w:t>
      </w:r>
      <w:r>
        <w:rPr>
          <w:sz w:val="30"/>
          <w:szCs w:val="30"/>
        </w:rPr>
        <w:t xml:space="preserve">各参赛队对不符合赛项规程规定的设备、工具、材料、计算机软硬件、竞赛执裁、赛场管理及工作人员的不规范行为等，可向赛项仲裁组提出申诉。 </w:t>
      </w:r>
    </w:p>
    <w:p>
      <w:pPr>
        <w:spacing w:after="0" w:line="560" w:lineRule="exact"/>
        <w:ind w:left="0" w:right="0" w:firstLine="600" w:firstLineChars="200"/>
        <w:jc w:val="both"/>
        <w:rPr>
          <w:rFonts w:hint="eastAsia"/>
          <w:sz w:val="30"/>
          <w:szCs w:val="30"/>
        </w:rPr>
      </w:pPr>
      <w:r>
        <w:rPr>
          <w:rFonts w:hint="eastAsia"/>
          <w:sz w:val="30"/>
          <w:szCs w:val="30"/>
        </w:rPr>
        <w:t>2.</w:t>
      </w:r>
      <w:r>
        <w:rPr>
          <w:sz w:val="30"/>
          <w:szCs w:val="30"/>
        </w:rPr>
        <w:t xml:space="preserve">申诉主体为参赛队领队。 </w:t>
      </w:r>
    </w:p>
    <w:p>
      <w:pPr>
        <w:spacing w:after="0" w:line="560" w:lineRule="exact"/>
        <w:ind w:left="0" w:right="0" w:firstLine="600" w:firstLineChars="200"/>
        <w:jc w:val="both"/>
        <w:rPr>
          <w:rFonts w:hint="eastAsia"/>
          <w:sz w:val="30"/>
          <w:szCs w:val="30"/>
        </w:rPr>
      </w:pPr>
      <w:r>
        <w:rPr>
          <w:rFonts w:hint="eastAsia"/>
          <w:sz w:val="30"/>
          <w:szCs w:val="30"/>
        </w:rPr>
        <w:t>3.</w:t>
      </w:r>
      <w:r>
        <w:rPr>
          <w:sz w:val="30"/>
          <w:szCs w:val="30"/>
        </w:rPr>
        <w:t xml:space="preserve">申诉启动时，参赛队以该队领队签字同意的书面报告的形式递交赛项仲裁组。报告应对申诉事件的现象、发生时间、涉及人员、申诉依据等进行充分、实事求是的叙述。非书面申诉不予受理。 </w:t>
      </w:r>
    </w:p>
    <w:p>
      <w:pPr>
        <w:spacing w:after="0" w:line="560" w:lineRule="exact"/>
        <w:ind w:left="0" w:right="0" w:firstLine="600" w:firstLineChars="200"/>
        <w:jc w:val="both"/>
        <w:rPr>
          <w:rFonts w:hint="eastAsia"/>
          <w:sz w:val="30"/>
          <w:szCs w:val="30"/>
        </w:rPr>
      </w:pPr>
      <w:r>
        <w:rPr>
          <w:rFonts w:hint="eastAsia"/>
          <w:sz w:val="30"/>
          <w:szCs w:val="30"/>
        </w:rPr>
        <w:t>4.</w:t>
      </w:r>
      <w:r>
        <w:rPr>
          <w:sz w:val="30"/>
          <w:szCs w:val="30"/>
        </w:rPr>
        <w:t xml:space="preserve">提出申诉应在赛项比赛结束后2小时内提出。超过2小时不予受理。 </w:t>
      </w:r>
    </w:p>
    <w:p>
      <w:pPr>
        <w:spacing w:after="0" w:line="560" w:lineRule="exact"/>
        <w:ind w:left="0" w:right="0" w:firstLine="600" w:firstLineChars="200"/>
        <w:jc w:val="both"/>
        <w:rPr>
          <w:rFonts w:hint="eastAsia"/>
          <w:sz w:val="30"/>
          <w:szCs w:val="30"/>
        </w:rPr>
      </w:pPr>
      <w:r>
        <w:rPr>
          <w:rFonts w:hint="eastAsia"/>
          <w:sz w:val="30"/>
          <w:szCs w:val="30"/>
        </w:rPr>
        <w:t>5.</w:t>
      </w:r>
      <w:r>
        <w:rPr>
          <w:sz w:val="30"/>
          <w:szCs w:val="30"/>
        </w:rPr>
        <w:t xml:space="preserve">赛项仲裁组在接到申诉报告后的2小时内组织复议，并及时将复议结果以书面形式告知申诉方。申诉方对复议结果仍有异议，可由领队向大赛仲裁工作组提出申诉。大赛仲裁工作组的仲裁结果为最终结果。 </w:t>
      </w:r>
    </w:p>
    <w:p>
      <w:pPr>
        <w:spacing w:after="0" w:line="560" w:lineRule="exact"/>
        <w:ind w:left="0" w:right="0" w:firstLine="600" w:firstLineChars="200"/>
        <w:jc w:val="both"/>
        <w:rPr>
          <w:rFonts w:hint="eastAsia"/>
          <w:sz w:val="30"/>
          <w:szCs w:val="30"/>
        </w:rPr>
      </w:pPr>
      <w:r>
        <w:rPr>
          <w:rFonts w:hint="eastAsia"/>
          <w:sz w:val="30"/>
          <w:szCs w:val="30"/>
        </w:rPr>
        <w:t>6.</w:t>
      </w:r>
      <w:r>
        <w:rPr>
          <w:sz w:val="30"/>
          <w:szCs w:val="30"/>
        </w:rPr>
        <w:t xml:space="preserve">申诉方不得以任何理由拒绝接收仲裁结果；不得以任何理由采取过激行为扰乱赛场秩序。仲裁结果由申诉人签收，不能代收；如在约定时间和地点申诉人离开，视为自行放弃申诉。 </w:t>
      </w:r>
    </w:p>
    <w:p>
      <w:pPr>
        <w:spacing w:after="0" w:line="560" w:lineRule="exact"/>
        <w:ind w:left="0" w:right="0" w:firstLine="600" w:firstLineChars="200"/>
        <w:jc w:val="both"/>
        <w:rPr>
          <w:rFonts w:hint="eastAsia"/>
          <w:sz w:val="30"/>
          <w:szCs w:val="30"/>
        </w:rPr>
      </w:pPr>
      <w:r>
        <w:rPr>
          <w:rFonts w:hint="eastAsia"/>
          <w:sz w:val="30"/>
          <w:szCs w:val="30"/>
        </w:rPr>
        <w:t>7.</w:t>
      </w:r>
      <w:r>
        <w:rPr>
          <w:sz w:val="30"/>
          <w:szCs w:val="30"/>
        </w:rPr>
        <w:t xml:space="preserve">申诉方可随时提出放弃申诉。 </w:t>
      </w:r>
    </w:p>
    <w:p>
      <w:pPr>
        <w:pStyle w:val="5"/>
        <w:spacing w:after="0" w:line="560" w:lineRule="exact"/>
        <w:ind w:left="0" w:leftChars="0" w:right="0" w:rightChars="0" w:firstLine="600" w:firstLineChars="200"/>
        <w:rPr>
          <w:rFonts w:hint="eastAsia"/>
          <w:sz w:val="30"/>
          <w:szCs w:val="30"/>
        </w:rPr>
      </w:pPr>
      <w:r>
        <w:rPr>
          <w:sz w:val="30"/>
          <w:szCs w:val="30"/>
        </w:rPr>
        <w:t>十</w:t>
      </w:r>
      <w:r>
        <w:rPr>
          <w:rFonts w:hint="eastAsia"/>
          <w:sz w:val="30"/>
          <w:szCs w:val="30"/>
        </w:rPr>
        <w:t>六</w:t>
      </w:r>
      <w:r>
        <w:rPr>
          <w:sz w:val="30"/>
          <w:szCs w:val="30"/>
        </w:rPr>
        <w:t xml:space="preserve">、竞赛观摩 </w:t>
      </w:r>
    </w:p>
    <w:p>
      <w:pPr>
        <w:spacing w:after="0" w:line="560" w:lineRule="exact"/>
        <w:ind w:left="0" w:right="0" w:firstLine="600" w:firstLineChars="200"/>
        <w:jc w:val="both"/>
        <w:rPr>
          <w:rFonts w:hint="eastAsia"/>
          <w:sz w:val="30"/>
          <w:szCs w:val="30"/>
        </w:rPr>
      </w:pPr>
      <w:r>
        <w:rPr>
          <w:sz w:val="30"/>
          <w:szCs w:val="30"/>
        </w:rPr>
        <w:t xml:space="preserve">1.比赛期间，组织比赛选手、指导教师等参观承办校赛场以外的有关实训场所，展示学校专业建设与教学成果，让参观者真切体会职业教育实训条件与教学手段之间的内在联系。 </w:t>
      </w:r>
    </w:p>
    <w:p>
      <w:pPr>
        <w:spacing w:after="0" w:line="560" w:lineRule="exact"/>
        <w:ind w:left="0" w:right="0" w:firstLine="600" w:firstLineChars="200"/>
        <w:jc w:val="both"/>
        <w:rPr>
          <w:rFonts w:hint="eastAsia"/>
          <w:sz w:val="30"/>
          <w:szCs w:val="30"/>
        </w:rPr>
      </w:pPr>
      <w:r>
        <w:rPr>
          <w:sz w:val="30"/>
          <w:szCs w:val="30"/>
        </w:rPr>
        <w:t xml:space="preserve">2.基于“药德、药规、药技”理念，制作宣传海报等材料宣传本项赛事，展示竞赛和促进专业建设成果。 </w:t>
      </w:r>
    </w:p>
    <w:p>
      <w:pPr>
        <w:spacing w:after="0" w:line="560" w:lineRule="exact"/>
        <w:ind w:left="0" w:right="0" w:firstLine="600" w:firstLineChars="200"/>
        <w:jc w:val="both"/>
        <w:rPr>
          <w:rFonts w:hint="eastAsia"/>
          <w:color w:val="auto"/>
          <w:sz w:val="30"/>
          <w:szCs w:val="30"/>
        </w:rPr>
      </w:pPr>
      <w:r>
        <w:rPr>
          <w:color w:val="auto"/>
          <w:sz w:val="30"/>
          <w:szCs w:val="30"/>
        </w:rPr>
        <w:t>3.通过网络终端全程直播各实操现场比赛，邀请行业权威和企业工匠代表到现场观摩和体验比赛。</w:t>
      </w:r>
    </w:p>
    <w:p>
      <w:pPr>
        <w:pStyle w:val="5"/>
        <w:spacing w:after="0" w:line="560" w:lineRule="exact"/>
        <w:ind w:left="0" w:leftChars="0" w:right="0" w:rightChars="0" w:firstLine="600" w:firstLineChars="200"/>
        <w:rPr>
          <w:rFonts w:hint="eastAsia"/>
          <w:sz w:val="30"/>
          <w:szCs w:val="30"/>
        </w:rPr>
      </w:pPr>
      <w:r>
        <w:rPr>
          <w:sz w:val="30"/>
          <w:szCs w:val="30"/>
        </w:rPr>
        <w:t>十</w:t>
      </w:r>
      <w:r>
        <w:rPr>
          <w:rFonts w:hint="eastAsia"/>
          <w:sz w:val="30"/>
          <w:szCs w:val="30"/>
        </w:rPr>
        <w:t>七</w:t>
      </w:r>
      <w:r>
        <w:rPr>
          <w:sz w:val="30"/>
          <w:szCs w:val="30"/>
        </w:rPr>
        <w:t xml:space="preserve">、竞赛直播 </w:t>
      </w:r>
    </w:p>
    <w:p>
      <w:pPr>
        <w:spacing w:after="0" w:line="560" w:lineRule="exact"/>
        <w:ind w:left="0" w:right="0" w:firstLine="600" w:firstLineChars="200"/>
        <w:jc w:val="both"/>
        <w:rPr>
          <w:rFonts w:hint="eastAsia"/>
          <w:color w:val="auto"/>
          <w:sz w:val="30"/>
          <w:szCs w:val="30"/>
        </w:rPr>
      </w:pPr>
      <w:r>
        <w:rPr>
          <w:color w:val="auto"/>
          <w:sz w:val="30"/>
          <w:szCs w:val="30"/>
        </w:rPr>
        <w:t xml:space="preserve">为了更好地做好赛事工作的网络化和信息化，更好地向社会公众呈现比赛盛况，共享比赛精彩瞬间，突出赛项的技能重点与优势特色，为宣传、仲裁、资源转化提供全面的信息资料。 </w:t>
      </w:r>
    </w:p>
    <w:p>
      <w:pPr>
        <w:spacing w:after="0" w:line="560" w:lineRule="exact"/>
        <w:ind w:left="0" w:right="0" w:firstLine="600" w:firstLineChars="200"/>
        <w:jc w:val="both"/>
        <w:rPr>
          <w:rFonts w:hint="eastAsia"/>
          <w:color w:val="auto"/>
          <w:sz w:val="30"/>
          <w:szCs w:val="30"/>
        </w:rPr>
      </w:pPr>
      <w:r>
        <w:rPr>
          <w:color w:val="auto"/>
          <w:sz w:val="30"/>
          <w:szCs w:val="30"/>
        </w:rPr>
        <w:t xml:space="preserve">1.本赛项除抽签加密外，根据公平、公正原则，利用现代网络传媒技术对最后一轮次技能操作比赛全过程、全方位全程直播。 </w:t>
      </w:r>
    </w:p>
    <w:p>
      <w:pPr>
        <w:spacing w:after="0" w:line="560" w:lineRule="exact"/>
        <w:ind w:left="0" w:right="0" w:firstLine="600" w:firstLineChars="200"/>
        <w:jc w:val="both"/>
        <w:rPr>
          <w:rFonts w:hint="eastAsia"/>
          <w:color w:val="auto"/>
          <w:sz w:val="30"/>
          <w:szCs w:val="30"/>
        </w:rPr>
      </w:pPr>
      <w:r>
        <w:rPr>
          <w:color w:val="auto"/>
          <w:sz w:val="30"/>
          <w:szCs w:val="30"/>
        </w:rPr>
        <w:t xml:space="preserve">2.在比赛关键位置安装监控设备，录制视频资料，记录比赛全过程，为宣传、仲裁、资源转化提供全面的信息资料。 </w:t>
      </w:r>
    </w:p>
    <w:p>
      <w:pPr>
        <w:pStyle w:val="5"/>
        <w:spacing w:after="0" w:line="560" w:lineRule="exact"/>
        <w:ind w:left="0" w:leftChars="0" w:right="0" w:rightChars="0" w:firstLine="600" w:firstLineChars="200"/>
        <w:rPr>
          <w:rFonts w:hint="eastAsia"/>
          <w:sz w:val="30"/>
          <w:szCs w:val="30"/>
        </w:rPr>
      </w:pPr>
      <w:r>
        <w:rPr>
          <w:sz w:val="30"/>
          <w:szCs w:val="30"/>
        </w:rPr>
        <w:t>十</w:t>
      </w:r>
      <w:r>
        <w:rPr>
          <w:rFonts w:hint="eastAsia"/>
          <w:sz w:val="30"/>
          <w:szCs w:val="30"/>
        </w:rPr>
        <w:t>八</w:t>
      </w:r>
      <w:r>
        <w:rPr>
          <w:sz w:val="30"/>
          <w:szCs w:val="30"/>
        </w:rPr>
        <w:t xml:space="preserve">、其他 </w:t>
      </w:r>
    </w:p>
    <w:p>
      <w:pPr>
        <w:spacing w:after="0" w:line="560" w:lineRule="exact"/>
        <w:ind w:left="0" w:right="0" w:firstLine="600" w:firstLineChars="200"/>
        <w:jc w:val="both"/>
        <w:rPr>
          <w:rFonts w:hint="eastAsia"/>
          <w:sz w:val="30"/>
          <w:szCs w:val="30"/>
        </w:rPr>
      </w:pPr>
      <w:r>
        <w:rPr>
          <w:sz w:val="30"/>
          <w:szCs w:val="30"/>
        </w:rPr>
        <w:t xml:space="preserve">1.参赛选手及相关工作人员，由赛项承办院校统一安排食宿，费用自理。 </w:t>
      </w:r>
    </w:p>
    <w:p>
      <w:pPr>
        <w:spacing w:after="0" w:line="560" w:lineRule="exact"/>
        <w:ind w:left="0" w:right="0" w:firstLine="600" w:firstLineChars="200"/>
        <w:jc w:val="both"/>
        <w:rPr>
          <w:rFonts w:ascii="Times New Roman" w:hAnsi="Times New Roman" w:cs="Times New Roman" w:eastAsiaTheme="minorEastAsia"/>
          <w:b/>
          <w:sz w:val="28"/>
        </w:rPr>
      </w:pPr>
      <w:r>
        <w:rPr>
          <w:sz w:val="30"/>
          <w:szCs w:val="30"/>
        </w:rPr>
        <w:t xml:space="preserve">2.本技术文件的最终解释权归大赛组织委员会。 </w:t>
      </w:r>
      <w:r>
        <w:rPr>
          <w:rFonts w:ascii="Times New Roman" w:hAnsi="Times New Roman" w:eastAsia="Times New Roman" w:cs="Times New Roman"/>
          <w:b/>
          <w:sz w:val="30"/>
          <w:szCs w:val="30"/>
        </w:rPr>
        <w:t xml:space="preserve">  </w:t>
      </w:r>
      <w:r>
        <w:rPr>
          <w:rFonts w:ascii="Times New Roman" w:hAnsi="Times New Roman" w:eastAsia="Times New Roman" w:cs="Times New Roman"/>
          <w:b/>
          <w:sz w:val="28"/>
        </w:rPr>
        <w:t xml:space="preserve"> </w:t>
      </w:r>
      <w:r>
        <w:rPr>
          <w:rFonts w:ascii="Calibri" w:hAnsi="Calibri" w:eastAsia="Calibri" w:cs="Calibri"/>
          <w:sz w:val="18"/>
        </w:rPr>
        <w:t xml:space="preserve"> </w:t>
      </w:r>
      <w:r>
        <w:rPr>
          <w:rFonts w:ascii="Times New Roman" w:hAnsi="Times New Roman" w:eastAsia="Times New Roman" w:cs="Times New Roman"/>
          <w:b/>
          <w:sz w:val="28"/>
        </w:rPr>
        <w:t xml:space="preserve">  </w:t>
      </w:r>
    </w:p>
    <w:p>
      <w:pPr>
        <w:spacing w:after="0" w:line="560" w:lineRule="exact"/>
        <w:ind w:left="0" w:right="0" w:firstLine="720" w:firstLineChars="200"/>
        <w:rPr>
          <w:rFonts w:hint="eastAsia" w:ascii="黑体" w:hAnsi="黑体" w:eastAsia="黑体" w:cs="黑体"/>
          <w:color w:val="auto"/>
          <w:sz w:val="36"/>
          <w:szCs w:val="36"/>
          <w14:ligatures w14:val="none"/>
        </w:rPr>
      </w:pPr>
      <w:r>
        <w:rPr>
          <w:rFonts w:hint="eastAsia" w:ascii="黑体" w:hAnsi="黑体" w:eastAsia="黑体" w:cs="黑体"/>
          <w:color w:val="auto"/>
          <w:sz w:val="36"/>
          <w:szCs w:val="36"/>
          <w14:ligatures w14:val="none"/>
        </w:rPr>
        <w:br w:type="page"/>
      </w:r>
    </w:p>
    <w:p>
      <w:pPr>
        <w:widowControl w:val="0"/>
        <w:spacing w:after="0" w:line="360" w:lineRule="auto"/>
        <w:ind w:left="0" w:right="0" w:firstLine="0"/>
        <w:jc w:val="both"/>
        <w:rPr>
          <w:rFonts w:hint="eastAsia" w:ascii="黑体" w:hAnsi="黑体" w:eastAsia="黑体" w:cs="黑体"/>
          <w:color w:val="auto"/>
          <w:sz w:val="36"/>
          <w:szCs w:val="36"/>
          <w14:ligatures w14:val="none"/>
        </w:rPr>
      </w:pPr>
      <w:r>
        <w:rPr>
          <w:rFonts w:hint="eastAsia" w:ascii="黑体" w:hAnsi="黑体" w:eastAsia="黑体" w:cs="黑体"/>
          <w:color w:val="auto"/>
          <w:sz w:val="36"/>
          <w:szCs w:val="36"/>
          <w14:ligatures w14:val="none"/>
        </w:rPr>
        <w:t>附件1</w:t>
      </w:r>
    </w:p>
    <w:p>
      <w:pPr>
        <w:widowControl w:val="0"/>
        <w:spacing w:after="0" w:line="360" w:lineRule="auto"/>
        <w:ind w:left="0" w:right="0" w:firstLine="0"/>
        <w:jc w:val="center"/>
        <w:rPr>
          <w:rFonts w:hint="eastAsia" w:ascii="方正小标宋_GBK" w:hAnsi="方正小标宋_GBK" w:eastAsia="方正小标宋_GBK" w:cs="方正小标宋_GBK"/>
          <w:color w:val="auto"/>
          <w:sz w:val="36"/>
          <w:szCs w:val="36"/>
          <w14:ligatures w14:val="none"/>
        </w:rPr>
      </w:pPr>
      <w:r>
        <w:rPr>
          <w:rFonts w:hint="eastAsia" w:ascii="方正小标宋_GBK" w:hAnsi="方正小标宋_GBK" w:eastAsia="方正小标宋_GBK" w:cs="方正小标宋_GBK"/>
          <w:color w:val="auto"/>
          <w:sz w:val="36"/>
          <w:szCs w:val="36"/>
          <w14:ligatures w14:val="none"/>
        </w:rPr>
        <w:t>参赛队伍与承办学校就自带设备协商后确认书</w:t>
      </w:r>
    </w:p>
    <w:p>
      <w:pPr>
        <w:widowControl w:val="0"/>
        <w:spacing w:after="0" w:line="360" w:lineRule="auto"/>
        <w:ind w:left="0" w:right="0" w:firstLine="0"/>
        <w:jc w:val="center"/>
        <w:rPr>
          <w:rFonts w:hint="eastAsia" w:ascii="黑体" w:hAnsi="黑体" w:eastAsia="黑体" w:cs="黑体"/>
          <w:color w:val="auto"/>
          <w:sz w:val="36"/>
          <w:szCs w:val="36"/>
          <w14:ligatures w14:val="none"/>
        </w:rPr>
      </w:pPr>
      <w:r>
        <w:rPr>
          <w:rFonts w:hint="eastAsia" w:ascii="黑体" w:hAnsi="黑体" w:eastAsia="黑体" w:cs="黑体"/>
          <w:color w:val="auto"/>
          <w:sz w:val="36"/>
          <w:szCs w:val="36"/>
          <w14:ligatures w14:val="none"/>
        </w:rPr>
        <w:t>(模板)</w:t>
      </w:r>
    </w:p>
    <w:p>
      <w:pPr>
        <w:widowControl w:val="0"/>
        <w:spacing w:after="0" w:line="600" w:lineRule="exact"/>
        <w:ind w:left="0" w:right="0" w:firstLine="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甲方: (承办学校)</w:t>
      </w:r>
    </w:p>
    <w:p>
      <w:pPr>
        <w:widowControl w:val="0"/>
        <w:spacing w:after="0" w:line="600" w:lineRule="exact"/>
        <w:ind w:left="0" w:right="0" w:firstLine="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乙方: (参赛队伍所在学校)</w:t>
      </w:r>
    </w:p>
    <w:p>
      <w:pPr>
        <w:widowControl w:val="0"/>
        <w:spacing w:after="0" w:line="600" w:lineRule="exact"/>
        <w:ind w:left="0" w:right="0" w:firstLine="640" w:firstLineChars="20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乙方参加总决赛争夺赛XXX组别XXX賽道XXXX小组/排位赛XXXX小组/冠军总决赛比賽。在比赛过程中，决定自带比赛设备，现与甲方协商沟通后，确定以下事宜。</w:t>
      </w:r>
    </w:p>
    <w:p>
      <w:pPr>
        <w:pStyle w:val="5"/>
        <w:spacing w:after="0" w:line="600" w:lineRule="exact"/>
        <w:ind w:left="0" w:leftChars="0" w:right="0" w:rightChars="0" w:firstLine="600" w:firstLineChars="200"/>
        <w:rPr>
          <w:rFonts w:hint="eastAsia"/>
          <w:sz w:val="30"/>
          <w:szCs w:val="30"/>
        </w:rPr>
      </w:pPr>
      <w:r>
        <w:rPr>
          <w:rFonts w:hint="eastAsia"/>
          <w:sz w:val="30"/>
          <w:szCs w:val="30"/>
        </w:rPr>
        <w:t>一、需要甲方提供</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(一)场地(包括：工位的面积、水、电、气、网、照明、场地承重等环境要求及实时录像要求等)</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(二)设备进场对接(包括：进场时间、撤离时间；安装、调试等需要承办校的配合及帮助事项等)</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(三)开赛前的设备封存要求</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 (其他)</w:t>
      </w:r>
    </w:p>
    <w:p>
      <w:pPr>
        <w:pStyle w:val="5"/>
        <w:spacing w:after="0" w:line="600" w:lineRule="exact"/>
        <w:ind w:left="0" w:leftChars="0" w:right="0" w:rightChars="0" w:firstLine="600" w:firstLineChars="200"/>
        <w:rPr>
          <w:rFonts w:hint="eastAsia"/>
          <w:sz w:val="30"/>
          <w:szCs w:val="30"/>
        </w:rPr>
      </w:pPr>
      <w:r>
        <w:rPr>
          <w:rFonts w:hint="eastAsia"/>
          <w:sz w:val="30"/>
          <w:szCs w:val="30"/>
        </w:rPr>
        <w:t>二、乙方须自行承担</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(一)进场设备清单</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(二)设备的往来运输</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(三)设备的安装、调试</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(四)设备现场保障及技术支持等</w:t>
      </w:r>
    </w:p>
    <w:p>
      <w:pPr>
        <w:widowControl w:val="0"/>
        <w:spacing w:after="0" w:line="600" w:lineRule="exact"/>
        <w:ind w:left="0" w:right="0" w:firstLine="640" w:firstLineChars="200"/>
        <w:jc w:val="both"/>
        <w:rPr>
          <w:rFonts w:hint="eastAsia" w:ascii="方正楷体_GBK" w:hAnsi="方正楷体_GBK" w:eastAsia="方正楷体_GBK" w:cs="方正楷体_GBK"/>
          <w:color w:val="auto"/>
          <w:sz w:val="32"/>
          <w:szCs w:val="32"/>
          <w14:ligatures w14:val="none"/>
        </w:rPr>
      </w:pPr>
      <w:r>
        <w:rPr>
          <w:rFonts w:hint="eastAsia" w:ascii="方正楷体_GBK" w:hAnsi="方正楷体_GBK" w:eastAsia="方正楷体_GBK" w:cs="方正楷体_GBK"/>
          <w:color w:val="auto"/>
          <w:sz w:val="32"/>
          <w:szCs w:val="32"/>
          <w14:ligatures w14:val="none"/>
        </w:rPr>
        <w:t>(五)工位上所需材料</w:t>
      </w:r>
    </w:p>
    <w:p>
      <w:pPr>
        <w:widowControl w:val="0"/>
        <w:spacing w:after="0" w:line="600" w:lineRule="exact"/>
        <w:ind w:left="0" w:right="0" w:firstLine="640" w:firstLineChars="200"/>
        <w:jc w:val="both"/>
        <w:rPr>
          <w:rFonts w:hint="eastAsia" w:ascii="STKaiti" w:hAnsi="STKaiti" w:eastAsia="STKaiti" w:cs="STKaiti"/>
          <w:color w:val="auto"/>
          <w:sz w:val="32"/>
          <w:szCs w:val="32"/>
          <w14:ligatures w14:val="none"/>
        </w:rPr>
      </w:pPr>
      <w:r>
        <w:rPr>
          <w:rFonts w:hint="eastAsia" w:ascii="STKaiti" w:hAnsi="STKaiti" w:eastAsia="STKaiti" w:cs="STKaiti"/>
          <w:color w:val="auto"/>
          <w:sz w:val="32"/>
          <w:szCs w:val="32"/>
          <w14:ligatures w14:val="none"/>
        </w:rPr>
        <w:t>(六) .... (其他)</w:t>
      </w:r>
    </w:p>
    <w:p>
      <w:pPr>
        <w:pStyle w:val="5"/>
        <w:spacing w:after="0" w:line="600" w:lineRule="exact"/>
        <w:ind w:left="0" w:leftChars="0" w:right="0" w:rightChars="0" w:firstLine="600" w:firstLineChars="200"/>
        <w:rPr>
          <w:rFonts w:hint="eastAsia"/>
          <w:sz w:val="30"/>
          <w:szCs w:val="30"/>
        </w:rPr>
      </w:pPr>
      <w:r>
        <w:rPr>
          <w:rFonts w:hint="eastAsia"/>
          <w:sz w:val="30"/>
          <w:szCs w:val="30"/>
        </w:rPr>
        <w:t>三、其他商议确定的事项</w:t>
      </w:r>
    </w:p>
    <w:p>
      <w:pPr>
        <w:widowControl w:val="0"/>
        <w:spacing w:after="0" w:line="600" w:lineRule="exact"/>
        <w:ind w:left="0" w:right="0" w:firstLine="640" w:firstLineChars="20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 (根据实际双方自行协商确定，包括设备使用安全等内容)</w:t>
      </w:r>
    </w:p>
    <w:p>
      <w:pPr>
        <w:widowControl w:val="0"/>
        <w:spacing w:after="0" w:line="600" w:lineRule="exact"/>
        <w:ind w:left="0" w:right="0" w:firstLine="600" w:firstLineChars="200"/>
        <w:jc w:val="both"/>
        <w:rPr>
          <w:rFonts w:hint="eastAsia" w:ascii="STKaiti" w:hAnsi="STKaiti" w:eastAsia="STKaiti" w:cs="STKaiti"/>
          <w:color w:val="auto"/>
          <w:sz w:val="32"/>
          <w:szCs w:val="32"/>
          <w14:ligatures w14:val="none"/>
        </w:rPr>
      </w:pPr>
      <w:r>
        <w:rPr>
          <w:rFonts w:hint="eastAsia" w:ascii="宋体" w:hAnsi="宋体" w:eastAsia="黑体" w:cs="宋体"/>
          <w:sz w:val="30"/>
          <w:szCs w:val="30"/>
        </w:rPr>
        <w:t>四、确认书</w:t>
      </w:r>
      <w:r>
        <w:rPr>
          <w:rFonts w:hint="eastAsia" w:ascii="STKaiti" w:hAnsi="STKaiti" w:eastAsia="STKaiti" w:cs="STKaiti"/>
          <w:color w:val="auto"/>
          <w:sz w:val="32"/>
          <w:szCs w:val="32"/>
          <w14:ligatures w14:val="none"/>
        </w:rPr>
        <w:t>（附件1、附件2、附件3）</w:t>
      </w:r>
    </w:p>
    <w:p>
      <w:pPr>
        <w:widowControl w:val="0"/>
        <w:spacing w:after="0" w:line="600" w:lineRule="exact"/>
        <w:ind w:left="0" w:right="0" w:firstLine="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甲方:                             乙方:</w:t>
      </w:r>
    </w:p>
    <w:p>
      <w:pPr>
        <w:widowControl w:val="0"/>
        <w:spacing w:after="0" w:line="600" w:lineRule="exact"/>
        <w:ind w:left="0" w:right="0" w:firstLine="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(盖章)                            (盖章)</w:t>
      </w:r>
    </w:p>
    <w:p>
      <w:pPr>
        <w:widowControl w:val="0"/>
        <w:spacing w:after="0" w:line="600" w:lineRule="exact"/>
        <w:ind w:left="0" w:right="0" w:firstLine="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法定代表人/代表:                  法定代表人/代表：</w:t>
      </w:r>
    </w:p>
    <w:p>
      <w:pPr>
        <w:widowControl w:val="0"/>
        <w:spacing w:after="0" w:line="600" w:lineRule="exact"/>
        <w:ind w:left="0" w:right="0" w:firstLine="0"/>
        <w:jc w:val="both"/>
        <w:rPr>
          <w:rFonts w:hint="eastAsia" w:ascii="方正仿宋_GBK" w:hAnsi="方正仿宋_GBK" w:eastAsia="方正仿宋_GBK" w:cs="方正仿宋_GBK"/>
          <w:color w:val="auto"/>
          <w:sz w:val="32"/>
          <w:szCs w:val="32"/>
          <w14:ligatures w14:val="none"/>
        </w:rPr>
      </w:pPr>
      <w:r>
        <w:rPr>
          <w:rFonts w:hint="eastAsia" w:ascii="方正仿宋_GBK" w:hAnsi="方正仿宋_GBK" w:eastAsia="方正仿宋_GBK" w:cs="方正仿宋_GBK"/>
          <w:color w:val="auto"/>
          <w:sz w:val="32"/>
          <w:szCs w:val="32"/>
          <w14:ligatures w14:val="none"/>
        </w:rPr>
        <w:t>时间:  年  月  日                 时间:  年  月  日</w:t>
      </w:r>
    </w:p>
    <w:p>
      <w:pPr>
        <w:widowControl w:val="0"/>
        <w:spacing w:after="0" w:line="360" w:lineRule="auto"/>
        <w:ind w:left="0" w:right="0" w:firstLine="0"/>
        <w:jc w:val="both"/>
        <w:rPr>
          <w:rFonts w:hint="eastAsia" w:ascii="STKaiti" w:hAnsi="STKaiti" w:eastAsia="STKaiti" w:cs="STKaiti"/>
          <w:color w:val="auto"/>
          <w:sz w:val="32"/>
          <w:szCs w:val="32"/>
          <w14:ligatures w14:val="none"/>
        </w:rPr>
      </w:pPr>
    </w:p>
    <w:p>
      <w:pPr>
        <w:spacing w:after="0" w:line="240" w:lineRule="auto"/>
        <w:ind w:left="0" w:right="0" w:firstLine="0"/>
        <w:rPr>
          <w:rFonts w:hint="eastAsia"/>
        </w:rPr>
      </w:pPr>
      <w:r>
        <w:rPr>
          <w:rFonts w:hint="eastAsia"/>
        </w:rPr>
        <w:br w:type="page"/>
      </w:r>
    </w:p>
    <w:p>
      <w:pPr>
        <w:widowControl w:val="0"/>
        <w:spacing w:after="240" w:afterLines="100" w:line="240" w:lineRule="auto"/>
        <w:ind w:left="0" w:right="0" w:firstLine="0"/>
        <w:jc w:val="both"/>
        <w:rPr>
          <w:rFonts w:hint="eastAsia" w:ascii="黑体" w:hAnsi="黑体" w:eastAsia="黑体" w:cs="黑体"/>
          <w:color w:val="auto"/>
          <w:sz w:val="32"/>
          <w:szCs w:val="32"/>
          <w14:ligatures w14:val="none"/>
        </w:rPr>
      </w:pPr>
      <w:r>
        <w:rPr>
          <w:rFonts w:hint="eastAsia" w:ascii="黑体" w:hAnsi="黑体" w:eastAsia="黑体" w:cs="黑体"/>
          <w:color w:val="auto"/>
          <w:sz w:val="32"/>
          <w:szCs w:val="32"/>
          <w14:ligatures w14:val="none"/>
        </w:rPr>
        <w:t>附件2</w:t>
      </w:r>
    </w:p>
    <w:p>
      <w:pPr>
        <w:spacing w:after="240" w:afterLines="100" w:line="240" w:lineRule="auto"/>
        <w:ind w:left="0" w:right="0" w:firstLine="0"/>
        <w:jc w:val="center"/>
        <w:rPr>
          <w:rFonts w:hint="eastAsia" w:ascii="黑体" w:hAnsi="黑体" w:eastAsia="黑体" w:cs="黑体"/>
          <w:color w:val="auto"/>
          <w:sz w:val="32"/>
          <w:szCs w:val="32"/>
          <w14:ligatures w14:val="none"/>
        </w:rPr>
      </w:pPr>
      <w:r>
        <w:rPr>
          <w:rFonts w:hint="eastAsia" w:ascii="黑体" w:hAnsi="黑体" w:eastAsia="黑体" w:cs="黑体"/>
          <w:kern w:val="0"/>
          <w:sz w:val="32"/>
          <w:szCs w:val="32"/>
          <w:lang w:bidi="ar"/>
          <w14:ligatures w14:val="none"/>
        </w:rPr>
        <w:t>参赛队自带设备清单及赛场环境要求确认信息（模板）</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951"/>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参赛学校</w:t>
            </w:r>
          </w:p>
        </w:tc>
        <w:tc>
          <w:tcPr>
            <w:tcW w:w="7039" w:type="dxa"/>
            <w:gridSpan w:val="6"/>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所属赛道</w:t>
            </w:r>
          </w:p>
        </w:tc>
        <w:tc>
          <w:tcPr>
            <w:tcW w:w="2168" w:type="dxa"/>
            <w:gridSpan w:val="2"/>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组别</w:t>
            </w:r>
          </w:p>
        </w:tc>
        <w:tc>
          <w:tcPr>
            <w:tcW w:w="3654" w:type="dxa"/>
            <w:gridSpan w:val="3"/>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自带设备</w:t>
            </w:r>
          </w:p>
        </w:tc>
        <w:tc>
          <w:tcPr>
            <w:tcW w:w="951"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名称</w:t>
            </w: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型号</w:t>
            </w: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主要技</w:t>
            </w: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术参数</w:t>
            </w: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台套数</w:t>
            </w: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设备</w:t>
            </w: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厂商</w:t>
            </w: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硬件</w:t>
            </w:r>
          </w:p>
        </w:tc>
        <w:tc>
          <w:tcPr>
            <w:tcW w:w="951"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软件</w:t>
            </w:r>
          </w:p>
        </w:tc>
        <w:tc>
          <w:tcPr>
            <w:tcW w:w="951"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工具</w:t>
            </w:r>
          </w:p>
        </w:tc>
        <w:tc>
          <w:tcPr>
            <w:tcW w:w="951"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color w:val="auto"/>
                <w:szCs w:val="24"/>
                <w14:ligatures w14:val="none"/>
              </w:rPr>
              <w:t>......</w:t>
            </w:r>
          </w:p>
        </w:tc>
        <w:tc>
          <w:tcPr>
            <w:tcW w:w="951"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7"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c>
          <w:tcPr>
            <w:tcW w:w="1218"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技术支持</w:t>
            </w:r>
          </w:p>
        </w:tc>
        <w:tc>
          <w:tcPr>
            <w:tcW w:w="7039" w:type="dxa"/>
            <w:gridSpan w:val="6"/>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kern w:val="0"/>
                <w:szCs w:val="24"/>
                <w:lang w:bidi="ar"/>
                <w14:ligatures w14:val="none"/>
              </w:rPr>
              <w:t>（情况概述包括设备技术保障、安全操作要求等）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场地及环</w:t>
            </w: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境要求</w:t>
            </w:r>
          </w:p>
        </w:tc>
        <w:tc>
          <w:tcPr>
            <w:tcW w:w="7039" w:type="dxa"/>
            <w:gridSpan w:val="6"/>
            <w:vAlign w:val="center"/>
          </w:tcPr>
          <w:p>
            <w:pPr>
              <w:widowControl w:val="0"/>
              <w:spacing w:after="0" w:line="240" w:lineRule="auto"/>
              <w:ind w:left="0" w:right="0" w:firstLine="0"/>
              <w:jc w:val="center"/>
              <w:rPr>
                <w:rFonts w:hint="eastAsia" w:ascii="方正仿宋_GBK" w:hAnsi="方正仿宋_GBK" w:eastAsia="方正仿宋_GBK" w:cs="方正仿宋_GBK"/>
                <w:kern w:val="0"/>
                <w:szCs w:val="24"/>
                <w:lang w:bidi="ar"/>
                <w14:ligatures w14:val="none"/>
              </w:rPr>
            </w:pPr>
            <w:r>
              <w:rPr>
                <w:rFonts w:hint="eastAsia" w:ascii="方正仿宋_GBK" w:hAnsi="方正仿宋_GBK" w:eastAsia="方正仿宋_GBK" w:cs="方正仿宋_GBK"/>
                <w:kern w:val="0"/>
                <w:szCs w:val="24"/>
                <w:lang w:bidi="ar"/>
                <w14:ligatures w14:val="none"/>
              </w:rPr>
              <w:t>（场地、承重、水、气、电、网等）</w:t>
            </w:r>
          </w:p>
          <w:p>
            <w:pPr>
              <w:widowControl w:val="0"/>
              <w:spacing w:after="0" w:line="240" w:lineRule="auto"/>
              <w:ind w:left="0" w:right="0" w:firstLine="0"/>
              <w:jc w:val="center"/>
              <w:rPr>
                <w:rFonts w:hint="eastAsia" w:ascii="方正仿宋_GBK" w:hAnsi="方正仿宋_GBK" w:eastAsia="方正仿宋_GBK" w:cs="方正仿宋_GBK"/>
                <w:kern w:val="0"/>
                <w:szCs w:val="24"/>
                <w:lang w:bidi="ar"/>
                <w14:ligatures w14:val="none"/>
              </w:rPr>
            </w:pPr>
          </w:p>
          <w:p>
            <w:pPr>
              <w:widowControl w:val="0"/>
              <w:spacing w:after="0" w:line="240" w:lineRule="auto"/>
              <w:ind w:left="0" w:right="0" w:firstLine="0"/>
              <w:jc w:val="center"/>
              <w:rPr>
                <w:rFonts w:hint="eastAsia" w:ascii="方正仿宋_GBK" w:hAnsi="方正仿宋_GBK" w:eastAsia="方正仿宋_GBK" w:cs="方正仿宋_GBK"/>
                <w:kern w:val="0"/>
                <w:szCs w:val="24"/>
                <w:lang w:bidi="ar"/>
                <w14:ligatures w14:val="none"/>
              </w:rPr>
            </w:pPr>
          </w:p>
          <w:p>
            <w:pPr>
              <w:widowControl w:val="0"/>
              <w:spacing w:after="0" w:line="240" w:lineRule="auto"/>
              <w:ind w:left="0" w:right="0" w:firstLine="0"/>
              <w:jc w:val="center"/>
              <w:rPr>
                <w:rFonts w:hint="eastAsia" w:ascii="方正仿宋_GBK" w:hAnsi="方正仿宋_GBK" w:eastAsia="方正仿宋_GBK" w:cs="方正仿宋_GBK"/>
                <w:kern w:val="0"/>
                <w:szCs w:val="24"/>
                <w:lang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r>
              <w:rPr>
                <w:rFonts w:hint="eastAsia" w:ascii="方正仿宋_GBK" w:hAnsi="方正仿宋_GBK" w:eastAsia="方正仿宋_GBK" w:cs="方正仿宋_GBK"/>
                <w:b/>
                <w:bCs/>
                <w:kern w:val="0"/>
                <w:szCs w:val="24"/>
                <w:lang w:bidi="ar"/>
                <w14:ligatures w14:val="none"/>
              </w:rPr>
              <w:t>其他要求</w:t>
            </w:r>
          </w:p>
        </w:tc>
        <w:tc>
          <w:tcPr>
            <w:tcW w:w="7039" w:type="dxa"/>
            <w:gridSpan w:val="6"/>
            <w:vAlign w:val="center"/>
          </w:tcPr>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p>
            <w:pPr>
              <w:widowControl w:val="0"/>
              <w:spacing w:after="0" w:line="240" w:lineRule="auto"/>
              <w:ind w:left="0" w:right="0" w:firstLine="0"/>
              <w:jc w:val="center"/>
              <w:rPr>
                <w:rFonts w:hint="eastAsia" w:ascii="方正仿宋_GBK" w:hAnsi="方正仿宋_GBK" w:eastAsia="方正仿宋_GBK" w:cs="方正仿宋_GBK"/>
                <w:b/>
                <w:bCs/>
                <w:color w:val="auto"/>
                <w:szCs w:val="24"/>
                <w14:ligatures w14:val="none"/>
              </w:rPr>
            </w:pPr>
          </w:p>
        </w:tc>
      </w:tr>
    </w:tbl>
    <w:p>
      <w:pPr>
        <w:spacing w:after="0" w:line="312" w:lineRule="auto"/>
        <w:ind w:left="-17" w:right="0" w:firstLine="482"/>
        <w:jc w:val="both"/>
        <w:rPr>
          <w:rFonts w:hint="eastAsia" w:eastAsiaTheme="minorEastAsia"/>
        </w:rPr>
      </w:pPr>
    </w:p>
    <w:sectPr>
      <w:footerReference r:id="rId7" w:type="first"/>
      <w:footerReference r:id="rId5" w:type="default"/>
      <w:footerReference r:id="rId6" w:type="even"/>
      <w:pgSz w:w="11906" w:h="16838"/>
      <w:pgMar w:top="1247" w:right="1247" w:bottom="1134" w:left="1361" w:header="720" w:footer="86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仿宋^.....">
    <w:altName w:val="仿宋"/>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Kaiti">
    <w:altName w:val="仿宋"/>
    <w:panose1 w:val="00000000000000000000"/>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79"/>
      </w:tabs>
      <w:spacing w:after="0" w:line="259" w:lineRule="auto"/>
      <w:ind w:left="0" w:right="0" w:firstLine="0"/>
      <w:rPr>
        <w:rFonts w:hint="eastAsia"/>
      </w:rPr>
    </w:pPr>
    <w:r>
      <w:rPr>
        <w:rFonts w:ascii="Calibri" w:hAnsi="Calibri" w:eastAsia="Calibri" w:cs="Calibri"/>
        <w:sz w:val="18"/>
      </w:rPr>
      <w:t xml:space="preserve"> </w:t>
    </w:r>
    <w:r>
      <w:rPr>
        <w:rFonts w:ascii="Calibri" w:hAnsi="Calibri" w:eastAsia="Calibri" w:cs="Calibri"/>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79"/>
      </w:tabs>
      <w:spacing w:after="0" w:line="259" w:lineRule="auto"/>
      <w:ind w:left="0" w:right="0" w:firstLine="0"/>
      <w:rPr>
        <w:rFonts w:hint="eastAsia"/>
      </w:rPr>
    </w:pPr>
    <w:r>
      <w:rPr>
        <w:rFonts w:ascii="Calibri" w:hAnsi="Calibri" w:eastAsia="Calibri" w:cs="Calibri"/>
        <w:sz w:val="18"/>
      </w:rPr>
      <w:t xml:space="preserve"> </w:t>
    </w:r>
    <w:r>
      <w:rPr>
        <w:rFonts w:ascii="Calibri" w:hAnsi="Calibri" w:eastAsia="Calibri" w:cs="Calibri"/>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79"/>
      </w:tabs>
      <w:spacing w:after="0" w:line="259" w:lineRule="auto"/>
      <w:ind w:left="0" w:right="0" w:firstLine="0"/>
      <w:rPr>
        <w:rFonts w:hint="eastAsia"/>
      </w:rPr>
    </w:pPr>
    <w:r>
      <w:rPr>
        <w:rFonts w:ascii="Calibri" w:hAnsi="Calibri" w:eastAsia="Calibri" w:cs="Calibri"/>
        <w:sz w:val="18"/>
      </w:rPr>
      <w:t xml:space="preserve"> </w:t>
    </w:r>
    <w:r>
      <w:rPr>
        <w:rFonts w:ascii="Calibri" w:hAnsi="Calibri" w:eastAsia="Calibri" w:cs="Calibri"/>
        <w:sz w:val="18"/>
      </w:rPr>
      <w:tab/>
    </w:r>
    <w:r>
      <w:fldChar w:fldCharType="begin"/>
    </w:r>
    <w:r>
      <w:instrText xml:space="preserve"> PAGE   \* MERGEFORMAT </w:instrText>
    </w:r>
    <w:r>
      <w:fldChar w:fldCharType="separate"/>
    </w:r>
    <w:r>
      <w:rPr>
        <w:rFonts w:ascii="微软雅黑" w:hAnsi="微软雅黑" w:eastAsia="微软雅黑" w:cs="微软雅黑"/>
        <w:sz w:val="30"/>
      </w:rPr>
      <w:t>2</w:t>
    </w:r>
    <w:r>
      <w:rPr>
        <w:rFonts w:ascii="微软雅黑" w:hAnsi="微软雅黑" w:eastAsia="微软雅黑" w:cs="微软雅黑"/>
        <w:sz w:val="3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evenAndOddHeaders w:val="true"/>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C4B88"/>
    <w:rsid w:val="000465B8"/>
    <w:rsid w:val="00050F38"/>
    <w:rsid w:val="00060FA9"/>
    <w:rsid w:val="00074E5C"/>
    <w:rsid w:val="000B454E"/>
    <w:rsid w:val="000C3693"/>
    <w:rsid w:val="000C5414"/>
    <w:rsid w:val="000F39EB"/>
    <w:rsid w:val="00106986"/>
    <w:rsid w:val="0013085C"/>
    <w:rsid w:val="0013231A"/>
    <w:rsid w:val="00134AE7"/>
    <w:rsid w:val="001438AC"/>
    <w:rsid w:val="00147DB4"/>
    <w:rsid w:val="00161E13"/>
    <w:rsid w:val="001711B6"/>
    <w:rsid w:val="00173946"/>
    <w:rsid w:val="0019114C"/>
    <w:rsid w:val="001A4A1A"/>
    <w:rsid w:val="001B04CD"/>
    <w:rsid w:val="001B462B"/>
    <w:rsid w:val="001C4B88"/>
    <w:rsid w:val="001E5A18"/>
    <w:rsid w:val="00203D3A"/>
    <w:rsid w:val="00213ACF"/>
    <w:rsid w:val="0023195E"/>
    <w:rsid w:val="00244F52"/>
    <w:rsid w:val="0027542D"/>
    <w:rsid w:val="00281F45"/>
    <w:rsid w:val="00283957"/>
    <w:rsid w:val="002A20DB"/>
    <w:rsid w:val="002A7134"/>
    <w:rsid w:val="002B03C6"/>
    <w:rsid w:val="002D755E"/>
    <w:rsid w:val="002D776C"/>
    <w:rsid w:val="002E4845"/>
    <w:rsid w:val="00313341"/>
    <w:rsid w:val="0031399A"/>
    <w:rsid w:val="00314DF1"/>
    <w:rsid w:val="00330327"/>
    <w:rsid w:val="00342C49"/>
    <w:rsid w:val="0035727E"/>
    <w:rsid w:val="00364863"/>
    <w:rsid w:val="003725F9"/>
    <w:rsid w:val="003A7284"/>
    <w:rsid w:val="003A72DF"/>
    <w:rsid w:val="003B024A"/>
    <w:rsid w:val="003B07D2"/>
    <w:rsid w:val="003B44CB"/>
    <w:rsid w:val="003F4E04"/>
    <w:rsid w:val="00402EE4"/>
    <w:rsid w:val="0041273C"/>
    <w:rsid w:val="0042126D"/>
    <w:rsid w:val="0043407B"/>
    <w:rsid w:val="0043472E"/>
    <w:rsid w:val="004362DC"/>
    <w:rsid w:val="00437589"/>
    <w:rsid w:val="0044334C"/>
    <w:rsid w:val="0045202E"/>
    <w:rsid w:val="00452795"/>
    <w:rsid w:val="00487008"/>
    <w:rsid w:val="00492EDC"/>
    <w:rsid w:val="004B2CDA"/>
    <w:rsid w:val="004B2E67"/>
    <w:rsid w:val="004D6627"/>
    <w:rsid w:val="004E39D2"/>
    <w:rsid w:val="004F51FA"/>
    <w:rsid w:val="005156DB"/>
    <w:rsid w:val="005159C7"/>
    <w:rsid w:val="00515F74"/>
    <w:rsid w:val="00531224"/>
    <w:rsid w:val="00531541"/>
    <w:rsid w:val="00531B95"/>
    <w:rsid w:val="00535794"/>
    <w:rsid w:val="0054096C"/>
    <w:rsid w:val="005429B4"/>
    <w:rsid w:val="005577F4"/>
    <w:rsid w:val="005867B7"/>
    <w:rsid w:val="00590A38"/>
    <w:rsid w:val="005C1488"/>
    <w:rsid w:val="005C4FEA"/>
    <w:rsid w:val="005C5312"/>
    <w:rsid w:val="005D2DE1"/>
    <w:rsid w:val="005E4055"/>
    <w:rsid w:val="005E427E"/>
    <w:rsid w:val="005F4A60"/>
    <w:rsid w:val="0060276E"/>
    <w:rsid w:val="006069BA"/>
    <w:rsid w:val="00612482"/>
    <w:rsid w:val="006155AE"/>
    <w:rsid w:val="006205B4"/>
    <w:rsid w:val="00631FD0"/>
    <w:rsid w:val="00634584"/>
    <w:rsid w:val="00642F79"/>
    <w:rsid w:val="00653A6B"/>
    <w:rsid w:val="00656E63"/>
    <w:rsid w:val="006571A2"/>
    <w:rsid w:val="00665F39"/>
    <w:rsid w:val="00671EED"/>
    <w:rsid w:val="00693205"/>
    <w:rsid w:val="006A44C3"/>
    <w:rsid w:val="006A543E"/>
    <w:rsid w:val="006B15D0"/>
    <w:rsid w:val="006C2887"/>
    <w:rsid w:val="006D6EEB"/>
    <w:rsid w:val="006F578D"/>
    <w:rsid w:val="00700B46"/>
    <w:rsid w:val="007056A5"/>
    <w:rsid w:val="0072517D"/>
    <w:rsid w:val="00731DD9"/>
    <w:rsid w:val="0074078E"/>
    <w:rsid w:val="00764DAD"/>
    <w:rsid w:val="00787A6C"/>
    <w:rsid w:val="007905E5"/>
    <w:rsid w:val="0079378D"/>
    <w:rsid w:val="007D20B9"/>
    <w:rsid w:val="007F0ABE"/>
    <w:rsid w:val="00821C83"/>
    <w:rsid w:val="00827AFA"/>
    <w:rsid w:val="00841B99"/>
    <w:rsid w:val="00845F7D"/>
    <w:rsid w:val="00850577"/>
    <w:rsid w:val="00850590"/>
    <w:rsid w:val="008524DF"/>
    <w:rsid w:val="0086528D"/>
    <w:rsid w:val="00866B65"/>
    <w:rsid w:val="00882AE5"/>
    <w:rsid w:val="0089251A"/>
    <w:rsid w:val="00894DDA"/>
    <w:rsid w:val="008B4FC0"/>
    <w:rsid w:val="008E1385"/>
    <w:rsid w:val="00902BF3"/>
    <w:rsid w:val="00915B5B"/>
    <w:rsid w:val="00933670"/>
    <w:rsid w:val="00954F64"/>
    <w:rsid w:val="009916C3"/>
    <w:rsid w:val="00995520"/>
    <w:rsid w:val="009B159D"/>
    <w:rsid w:val="009C7820"/>
    <w:rsid w:val="009D1E34"/>
    <w:rsid w:val="009D3D9A"/>
    <w:rsid w:val="00A065BD"/>
    <w:rsid w:val="00A14F7A"/>
    <w:rsid w:val="00A155D2"/>
    <w:rsid w:val="00A23F9E"/>
    <w:rsid w:val="00A30E01"/>
    <w:rsid w:val="00A44AA3"/>
    <w:rsid w:val="00A54109"/>
    <w:rsid w:val="00A72B76"/>
    <w:rsid w:val="00A72D92"/>
    <w:rsid w:val="00A73DC3"/>
    <w:rsid w:val="00A80477"/>
    <w:rsid w:val="00A87696"/>
    <w:rsid w:val="00A94E23"/>
    <w:rsid w:val="00A95E96"/>
    <w:rsid w:val="00AA1EA3"/>
    <w:rsid w:val="00AB24FB"/>
    <w:rsid w:val="00AC31EC"/>
    <w:rsid w:val="00AD3624"/>
    <w:rsid w:val="00AD7D7B"/>
    <w:rsid w:val="00AE7D1E"/>
    <w:rsid w:val="00AF500F"/>
    <w:rsid w:val="00AF6164"/>
    <w:rsid w:val="00B27DB9"/>
    <w:rsid w:val="00B402C5"/>
    <w:rsid w:val="00B4343E"/>
    <w:rsid w:val="00B4568C"/>
    <w:rsid w:val="00B473BB"/>
    <w:rsid w:val="00B53251"/>
    <w:rsid w:val="00B73B94"/>
    <w:rsid w:val="00B84382"/>
    <w:rsid w:val="00B8458A"/>
    <w:rsid w:val="00BB3B93"/>
    <w:rsid w:val="00BB5D68"/>
    <w:rsid w:val="00BB7015"/>
    <w:rsid w:val="00BC3E77"/>
    <w:rsid w:val="00BD3EC3"/>
    <w:rsid w:val="00BE3959"/>
    <w:rsid w:val="00C0385C"/>
    <w:rsid w:val="00C20358"/>
    <w:rsid w:val="00C40953"/>
    <w:rsid w:val="00C60443"/>
    <w:rsid w:val="00C77227"/>
    <w:rsid w:val="00C811C4"/>
    <w:rsid w:val="00C86654"/>
    <w:rsid w:val="00C87D1C"/>
    <w:rsid w:val="00C92EAB"/>
    <w:rsid w:val="00CB7F56"/>
    <w:rsid w:val="00CC1B1E"/>
    <w:rsid w:val="00CC674E"/>
    <w:rsid w:val="00CF2263"/>
    <w:rsid w:val="00CF2B3E"/>
    <w:rsid w:val="00D0102E"/>
    <w:rsid w:val="00D0494D"/>
    <w:rsid w:val="00D23944"/>
    <w:rsid w:val="00D31CB5"/>
    <w:rsid w:val="00D44BF1"/>
    <w:rsid w:val="00D64E5B"/>
    <w:rsid w:val="00D6657A"/>
    <w:rsid w:val="00D672F9"/>
    <w:rsid w:val="00D811E4"/>
    <w:rsid w:val="00D82EE9"/>
    <w:rsid w:val="00D846B7"/>
    <w:rsid w:val="00D926B2"/>
    <w:rsid w:val="00DA1B4A"/>
    <w:rsid w:val="00DA2CA7"/>
    <w:rsid w:val="00DA5D6F"/>
    <w:rsid w:val="00DA6D8B"/>
    <w:rsid w:val="00DB684F"/>
    <w:rsid w:val="00DD025D"/>
    <w:rsid w:val="00DE7132"/>
    <w:rsid w:val="00E02DCB"/>
    <w:rsid w:val="00E12977"/>
    <w:rsid w:val="00E14C8B"/>
    <w:rsid w:val="00E1571C"/>
    <w:rsid w:val="00E27B42"/>
    <w:rsid w:val="00E3624A"/>
    <w:rsid w:val="00E40A36"/>
    <w:rsid w:val="00E5056C"/>
    <w:rsid w:val="00E57DD0"/>
    <w:rsid w:val="00E61C64"/>
    <w:rsid w:val="00E62AB3"/>
    <w:rsid w:val="00E63306"/>
    <w:rsid w:val="00E666F5"/>
    <w:rsid w:val="00E804B7"/>
    <w:rsid w:val="00E83512"/>
    <w:rsid w:val="00E96B08"/>
    <w:rsid w:val="00E97DB9"/>
    <w:rsid w:val="00EA783D"/>
    <w:rsid w:val="00EC25D8"/>
    <w:rsid w:val="00EC6E70"/>
    <w:rsid w:val="00ED052B"/>
    <w:rsid w:val="00F0088F"/>
    <w:rsid w:val="00F16108"/>
    <w:rsid w:val="00F24327"/>
    <w:rsid w:val="00F816AF"/>
    <w:rsid w:val="00F8718F"/>
    <w:rsid w:val="00F96206"/>
    <w:rsid w:val="00FA6CB8"/>
    <w:rsid w:val="00FB4D96"/>
    <w:rsid w:val="00FC5E0B"/>
    <w:rsid w:val="00FC7100"/>
    <w:rsid w:val="00FC7ABC"/>
    <w:rsid w:val="00FE1A1A"/>
    <w:rsid w:val="06747EF8"/>
    <w:rsid w:val="253C4E19"/>
    <w:rsid w:val="3AD93391"/>
    <w:rsid w:val="3D076AAE"/>
    <w:rsid w:val="4BF227B8"/>
    <w:rsid w:val="57DB3421"/>
    <w:rsid w:val="791072B1"/>
    <w:rsid w:val="7FDE6137"/>
    <w:rsid w:val="7FF55873"/>
    <w:rsid w:val="8657B7BA"/>
    <w:rsid w:val="BB77FCF6"/>
    <w:rsid w:val="D3AEE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 w:line="249" w:lineRule="auto"/>
      <w:ind w:left="490" w:right="3326" w:hanging="10"/>
    </w:pPr>
    <w:rPr>
      <w:rFonts w:ascii="仿宋" w:hAnsi="仿宋" w:eastAsia="仿宋" w:cs="仿宋"/>
      <w:color w:val="000000"/>
      <w:kern w:val="2"/>
      <w:sz w:val="24"/>
      <w:szCs w:val="22"/>
      <w:lang w:val="en-US" w:eastAsia="zh-CN" w:bidi="ar-SA"/>
      <w14:ligatures w14:val="standardContextual"/>
    </w:rPr>
  </w:style>
  <w:style w:type="paragraph" w:styleId="5">
    <w:name w:val="heading 1"/>
    <w:next w:val="1"/>
    <w:link w:val="15"/>
    <w:qFormat/>
    <w:uiPriority w:val="9"/>
    <w:pPr>
      <w:keepNext/>
      <w:keepLines/>
      <w:spacing w:after="125" w:line="259" w:lineRule="auto"/>
      <w:ind w:left="92" w:leftChars="100" w:right="100" w:rightChars="100" w:hanging="10"/>
      <w:outlineLvl w:val="0"/>
    </w:pPr>
    <w:rPr>
      <w:rFonts w:ascii="宋体" w:hAnsi="宋体" w:eastAsia="黑体" w:cs="宋体"/>
      <w:color w:val="000000"/>
      <w:kern w:val="2"/>
      <w:sz w:val="28"/>
      <w:szCs w:val="22"/>
      <w:lang w:val="en-US" w:eastAsia="zh-CN" w:bidi="ar-SA"/>
      <w14:ligatures w14:val="standardContextual"/>
    </w:rPr>
  </w:style>
  <w:style w:type="paragraph" w:styleId="6">
    <w:name w:val="heading 2"/>
    <w:next w:val="1"/>
    <w:link w:val="16"/>
    <w:unhideWhenUsed/>
    <w:qFormat/>
    <w:uiPriority w:val="9"/>
    <w:pPr>
      <w:keepNext/>
      <w:keepLines/>
      <w:spacing w:after="131" w:line="259" w:lineRule="auto"/>
      <w:ind w:left="572" w:hanging="10"/>
      <w:outlineLvl w:val="1"/>
    </w:pPr>
    <w:rPr>
      <w:rFonts w:ascii="仿宋" w:hAnsi="仿宋" w:eastAsia="仿宋" w:cs="仿宋"/>
      <w:color w:val="000000"/>
      <w:kern w:val="2"/>
      <w:sz w:val="28"/>
      <w:szCs w:val="22"/>
      <w:lang w:val="en-US" w:eastAsia="zh-CN" w:bidi="ar-SA"/>
      <w14:ligatures w14:val="standardContextual"/>
    </w:rPr>
  </w:style>
  <w:style w:type="paragraph" w:styleId="7">
    <w:name w:val="heading 3"/>
    <w:next w:val="1"/>
    <w:link w:val="14"/>
    <w:unhideWhenUsed/>
    <w:qFormat/>
    <w:uiPriority w:val="9"/>
    <w:pPr>
      <w:keepNext/>
      <w:keepLines/>
      <w:spacing w:line="259" w:lineRule="auto"/>
      <w:ind w:left="490" w:hanging="10"/>
      <w:outlineLvl w:val="2"/>
    </w:pPr>
    <w:rPr>
      <w:rFonts w:ascii="仿宋" w:hAnsi="仿宋" w:eastAsia="仿宋" w:cs="仿宋"/>
      <w:color w:val="000000"/>
      <w:kern w:val="2"/>
      <w:sz w:val="24"/>
      <w:szCs w:val="22"/>
      <w:lang w:val="en-US" w:eastAsia="zh-CN" w:bidi="ar-SA"/>
      <w14:ligatures w14:val="standardContextual"/>
    </w:rPr>
  </w:style>
  <w:style w:type="paragraph" w:styleId="8">
    <w:name w:val="heading 4"/>
    <w:next w:val="1"/>
    <w:link w:val="17"/>
    <w:unhideWhenUsed/>
    <w:qFormat/>
    <w:uiPriority w:val="9"/>
    <w:pPr>
      <w:keepNext/>
      <w:keepLines/>
      <w:spacing w:line="259" w:lineRule="auto"/>
      <w:ind w:left="490" w:hanging="10"/>
      <w:outlineLvl w:val="3"/>
    </w:pPr>
    <w:rPr>
      <w:rFonts w:ascii="仿宋" w:hAnsi="仿宋" w:eastAsia="仿宋" w:cs="仿宋"/>
      <w:color w:val="000000"/>
      <w:kern w:val="2"/>
      <w:sz w:val="24"/>
      <w:szCs w:val="22"/>
      <w:lang w:val="en-US" w:eastAsia="zh-CN" w:bidi="ar-SA"/>
      <w14:ligatures w14:val="standardContextua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next w:val="4"/>
    <w:unhideWhenUsed/>
    <w:qFormat/>
    <w:uiPriority w:val="99"/>
    <w:pPr>
      <w:autoSpaceDE w:val="0"/>
      <w:autoSpaceDN w:val="0"/>
      <w:adjustRightInd w:val="0"/>
      <w:ind w:left="214"/>
    </w:pPr>
    <w:rPr>
      <w:rFonts w:ascii="Arial Unicode MS" w:eastAsia="Arial Unicode MS" w:cs="Arial Unicode MS"/>
      <w:kern w:val="0"/>
    </w:rPr>
  </w:style>
  <w:style w:type="paragraph" w:customStyle="1" w:styleId="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9">
    <w:name w:val="footer"/>
    <w:basedOn w:val="1"/>
    <w:link w:val="21"/>
    <w:semiHidden/>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19"/>
    <w:unhideWhenUsed/>
    <w:qFormat/>
    <w:uiPriority w:val="99"/>
    <w:pPr>
      <w:tabs>
        <w:tab w:val="center" w:pos="4153"/>
        <w:tab w:val="right" w:pos="8306"/>
      </w:tabs>
      <w:snapToGrid w:val="0"/>
      <w:spacing w:line="240" w:lineRule="auto"/>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字符"/>
    <w:link w:val="7"/>
    <w:qFormat/>
    <w:uiPriority w:val="0"/>
    <w:rPr>
      <w:rFonts w:ascii="仿宋" w:hAnsi="仿宋" w:eastAsia="仿宋" w:cs="仿宋"/>
      <w:color w:val="000000"/>
      <w:sz w:val="24"/>
    </w:rPr>
  </w:style>
  <w:style w:type="character" w:customStyle="1" w:styleId="15">
    <w:name w:val="标题 1 字符"/>
    <w:link w:val="5"/>
    <w:qFormat/>
    <w:uiPriority w:val="9"/>
    <w:rPr>
      <w:rFonts w:ascii="宋体" w:hAnsi="宋体" w:eastAsia="黑体" w:cs="宋体"/>
      <w:color w:val="000000"/>
      <w:sz w:val="28"/>
    </w:rPr>
  </w:style>
  <w:style w:type="character" w:customStyle="1" w:styleId="16">
    <w:name w:val="标题 2 字符"/>
    <w:link w:val="6"/>
    <w:qFormat/>
    <w:uiPriority w:val="0"/>
    <w:rPr>
      <w:rFonts w:ascii="仿宋" w:hAnsi="仿宋" w:eastAsia="仿宋" w:cs="仿宋"/>
      <w:color w:val="000000"/>
      <w:sz w:val="28"/>
    </w:rPr>
  </w:style>
  <w:style w:type="character" w:customStyle="1" w:styleId="17">
    <w:name w:val="标题 4 字符"/>
    <w:link w:val="8"/>
    <w:qFormat/>
    <w:uiPriority w:val="0"/>
    <w:rPr>
      <w:rFonts w:ascii="仿宋" w:hAnsi="仿宋" w:eastAsia="仿宋" w:cs="仿宋"/>
      <w:color w:val="000000"/>
      <w:sz w:val="24"/>
    </w:rPr>
  </w:style>
  <w:style w:type="table" w:customStyle="1" w:styleId="18">
    <w:name w:val="TableGrid"/>
    <w:qFormat/>
    <w:uiPriority w:val="0"/>
    <w:tblPr>
      <w:tblCellMar>
        <w:top w:w="0" w:type="dxa"/>
        <w:left w:w="0" w:type="dxa"/>
        <w:bottom w:w="0" w:type="dxa"/>
        <w:right w:w="0" w:type="dxa"/>
      </w:tblCellMar>
    </w:tblPr>
  </w:style>
  <w:style w:type="character" w:customStyle="1" w:styleId="19">
    <w:name w:val="页眉 字符"/>
    <w:basedOn w:val="13"/>
    <w:link w:val="10"/>
    <w:qFormat/>
    <w:uiPriority w:val="99"/>
    <w:rPr>
      <w:rFonts w:ascii="仿宋" w:hAnsi="仿宋" w:eastAsia="仿宋" w:cs="仿宋"/>
      <w:color w:val="000000"/>
      <w:sz w:val="18"/>
      <w:szCs w:val="18"/>
    </w:rPr>
  </w:style>
  <w:style w:type="paragraph" w:styleId="20">
    <w:name w:val="List Paragraph"/>
    <w:basedOn w:val="1"/>
    <w:qFormat/>
    <w:uiPriority w:val="34"/>
    <w:pPr>
      <w:ind w:firstLine="420" w:firstLineChars="200"/>
    </w:pPr>
  </w:style>
  <w:style w:type="character" w:customStyle="1" w:styleId="21">
    <w:name w:val="页脚 字符"/>
    <w:basedOn w:val="13"/>
    <w:link w:val="9"/>
    <w:semiHidden/>
    <w:qFormat/>
    <w:uiPriority w:val="99"/>
    <w:rPr>
      <w:rFonts w:ascii="仿宋" w:hAnsi="仿宋" w:eastAsia="仿宋" w:cs="仿宋"/>
      <w:color w:val="000000"/>
      <w:sz w:val="18"/>
      <w:szCs w:val="18"/>
    </w:rPr>
  </w:style>
  <w:style w:type="table" w:customStyle="1" w:styleId="22">
    <w:name w:val="TableGrid1"/>
    <w:qFormat/>
    <w:uiPriority w:val="0"/>
    <w:tblPr>
      <w:tblCellMar>
        <w:top w:w="0" w:type="dxa"/>
        <w:left w:w="0" w:type="dxa"/>
        <w:bottom w:w="0" w:type="dxa"/>
        <w:right w:w="0" w:type="dxa"/>
      </w:tblCellMar>
    </w:tblPr>
  </w:style>
  <w:style w:type="table" w:customStyle="1" w:styleId="23">
    <w:name w:val="网格型1"/>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1387</Words>
  <Characters>7912</Characters>
  <Lines>65</Lines>
  <Paragraphs>18</Paragraphs>
  <TotalTime>5</TotalTime>
  <ScaleCrop>false</ScaleCrop>
  <LinksUpToDate>false</LinksUpToDate>
  <CharactersWithSpaces>9281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2024-11-17T01:19:00Z</dcterms:created>
  <dc:creator>lenovo</dc:creator>
  <cp:lastModifiedBy>uos</cp:lastModifiedBy>
  <cp:lastPrinted>2024-02-29T16:34:00Z</cp:lastPrinted>
  <dcterms:modified xsi:type="dcterms:W3CDTF">2024-12-09T16:20:24Z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A82FF6DBCC7A4461807C1EA4ED03BB18_13</vt:lpwstr>
  </property>
</Properties>
</file>