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394" w:firstLineChars="100"/>
        <w:rPr>
          <w:rFonts w:hint="eastAsia" w:ascii="方正小标宋简体" w:hAnsi="方正小标宋简体" w:eastAsia="方正小标宋简体" w:cs="黑体"/>
          <w:bCs/>
          <w:spacing w:val="-23"/>
          <w:kern w:val="0"/>
          <w:sz w:val="44"/>
          <w:szCs w:val="44"/>
        </w:rPr>
      </w:pPr>
      <w:r>
        <w:rPr>
          <w:rFonts w:hint="eastAsia" w:ascii="方正小标宋简体" w:hAnsi="方正小标宋简体" w:eastAsia="方正小标宋简体" w:cs="黑体"/>
          <w:bCs/>
          <w:spacing w:val="-23"/>
          <w:kern w:val="0"/>
          <w:sz w:val="44"/>
          <w:szCs w:val="44"/>
        </w:rPr>
        <w:t>202</w:t>
      </w:r>
      <w:bookmarkStart w:id="0" w:name="_Hlk84327361"/>
      <w:r>
        <w:rPr>
          <w:rFonts w:hint="eastAsia" w:ascii="方正小标宋简体" w:hAnsi="方正小标宋简体" w:eastAsia="方正小标宋简体" w:cs="黑体"/>
          <w:bCs/>
          <w:spacing w:val="-23"/>
          <w:kern w:val="0"/>
          <w:sz w:val="44"/>
          <w:szCs w:val="44"/>
        </w:rPr>
        <w:t>3年全国职业院校技能大赛</w:t>
      </w:r>
      <w:r>
        <w:rPr>
          <w:rFonts w:hint="eastAsia" w:ascii="方正小标宋简体" w:hAnsi="方正小标宋简体" w:eastAsia="方正小标宋简体" w:cs="黑体"/>
          <w:bCs/>
          <w:spacing w:val="-23"/>
          <w:kern w:val="0"/>
          <w:sz w:val="44"/>
          <w:szCs w:val="44"/>
          <w:lang w:eastAsia="zh-CN"/>
        </w:rPr>
        <w:t>高职组</w:t>
      </w:r>
      <w:r>
        <w:rPr>
          <w:rFonts w:hint="eastAsia" w:ascii="方正小标宋简体" w:hAnsi="方正小标宋简体" w:eastAsia="方正小标宋简体" w:cs="黑体"/>
          <w:bCs/>
          <w:spacing w:val="-23"/>
          <w:kern w:val="0"/>
          <w:sz w:val="44"/>
          <w:szCs w:val="44"/>
        </w:rPr>
        <w:t>河南省选拔赛</w:t>
      </w:r>
    </w:p>
    <w:bookmarkEnd w:id="0"/>
    <w:p>
      <w:pPr>
        <w:widowControl/>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区块链技术应用赛项竞赛方案</w:t>
      </w:r>
    </w:p>
    <w:p>
      <w:pPr>
        <w:rPr>
          <w:rFonts w:hint="eastAsia"/>
        </w:rPr>
      </w:pPr>
    </w:p>
    <w:p>
      <w:pPr>
        <w:pStyle w:val="3"/>
        <w:spacing w:before="0" w:after="0" w:line="560" w:lineRule="exact"/>
        <w:ind w:firstLine="600" w:firstLineChars="200"/>
        <w:jc w:val="left"/>
        <w:rPr>
          <w:rFonts w:ascii="黑体" w:eastAsia="黑体" w:cstheme="minorBidi"/>
          <w:b w:val="0"/>
          <w:sz w:val="30"/>
          <w:szCs w:val="30"/>
        </w:rPr>
      </w:pPr>
      <w:r>
        <w:rPr>
          <w:rFonts w:hint="eastAsia" w:ascii="黑体" w:eastAsia="黑体" w:cstheme="minorBidi"/>
          <w:b w:val="0"/>
          <w:sz w:val="30"/>
          <w:szCs w:val="30"/>
        </w:rPr>
        <w:t>一、赛项名称</w:t>
      </w:r>
    </w:p>
    <w:p>
      <w:pPr>
        <w:spacing w:line="560" w:lineRule="exact"/>
        <w:ind w:firstLine="600" w:firstLineChars="200"/>
        <w:jc w:val="left"/>
        <w:rPr>
          <w:rFonts w:ascii="仿宋_GB2312" w:hAnsi="仿宋" w:eastAsia="仿宋_GB2312" w:cstheme="minorBidi"/>
          <w:bCs/>
          <w:sz w:val="30"/>
          <w:szCs w:val="30"/>
          <w:highlight w:val="green"/>
        </w:rPr>
      </w:pPr>
      <w:r>
        <w:rPr>
          <w:rFonts w:hint="eastAsia" w:ascii="仿宋_GB2312" w:hAnsi="仿宋" w:eastAsia="仿宋_GB2312" w:cstheme="minorBidi"/>
          <w:bCs/>
          <w:sz w:val="30"/>
          <w:szCs w:val="30"/>
        </w:rPr>
        <w:t>赛项名称：区块链技术应用</w:t>
      </w:r>
    </w:p>
    <w:p>
      <w:pPr>
        <w:spacing w:line="560" w:lineRule="exact"/>
        <w:ind w:firstLine="600" w:firstLineChars="200"/>
        <w:jc w:val="left"/>
        <w:rPr>
          <w:rFonts w:ascii="仿宋_GB2312" w:hAnsi="仿宋" w:eastAsia="仿宋_GB2312" w:cstheme="minorBidi"/>
          <w:bCs/>
          <w:sz w:val="30"/>
          <w:szCs w:val="30"/>
        </w:rPr>
      </w:pPr>
      <w:r>
        <w:rPr>
          <w:rFonts w:hint="eastAsia" w:ascii="仿宋_GB2312" w:hAnsi="仿宋" w:eastAsia="仿宋_GB2312" w:cstheme="minorBidi"/>
          <w:bCs/>
          <w:sz w:val="30"/>
          <w:szCs w:val="30"/>
        </w:rPr>
        <w:t>赛项组别：高职组</w:t>
      </w:r>
    </w:p>
    <w:p>
      <w:pPr>
        <w:spacing w:line="560" w:lineRule="exact"/>
        <w:ind w:firstLine="600" w:firstLineChars="200"/>
        <w:jc w:val="left"/>
        <w:rPr>
          <w:rFonts w:ascii="仿宋_GB2312" w:hAnsi="仿宋" w:eastAsia="仿宋_GB2312" w:cstheme="minorBidi"/>
          <w:bCs/>
          <w:sz w:val="30"/>
          <w:szCs w:val="30"/>
        </w:rPr>
      </w:pPr>
      <w:r>
        <w:rPr>
          <w:rFonts w:hint="eastAsia" w:ascii="仿宋_GB2312" w:hAnsi="仿宋" w:eastAsia="仿宋_GB2312" w:cstheme="minorBidi"/>
          <w:bCs/>
          <w:sz w:val="30"/>
          <w:szCs w:val="30"/>
        </w:rPr>
        <w:t>专业大类：电子与信息</w:t>
      </w:r>
    </w:p>
    <w:p>
      <w:pPr>
        <w:spacing w:line="560" w:lineRule="exact"/>
        <w:ind w:firstLine="600" w:firstLineChars="200"/>
        <w:jc w:val="left"/>
        <w:rPr>
          <w:rFonts w:ascii="仿宋_GB2312" w:hAnsi="仿宋" w:eastAsia="仿宋_GB2312" w:cstheme="minorBidi"/>
          <w:bCs/>
          <w:sz w:val="30"/>
          <w:szCs w:val="30"/>
        </w:rPr>
      </w:pPr>
      <w:r>
        <w:rPr>
          <w:rFonts w:hint="eastAsia" w:ascii="仿宋_GB2312" w:hAnsi="仿宋" w:eastAsia="仿宋_GB2312" w:cstheme="minorBidi"/>
          <w:bCs/>
          <w:sz w:val="30"/>
          <w:szCs w:val="30"/>
        </w:rPr>
        <w:t>主办单位：河南省教育厅</w:t>
      </w:r>
    </w:p>
    <w:p>
      <w:pPr>
        <w:spacing w:line="560" w:lineRule="exact"/>
        <w:ind w:firstLine="600" w:firstLineChars="200"/>
        <w:jc w:val="left"/>
        <w:rPr>
          <w:rFonts w:ascii="仿宋_GB2312" w:hAnsi="仿宋" w:eastAsia="仿宋_GB2312" w:cstheme="minorBidi"/>
          <w:bCs/>
          <w:sz w:val="30"/>
          <w:szCs w:val="30"/>
        </w:rPr>
      </w:pPr>
      <w:r>
        <w:rPr>
          <w:rFonts w:hint="eastAsia" w:ascii="仿宋_GB2312" w:hAnsi="仿宋" w:eastAsia="仿宋_GB2312" w:cstheme="minorBidi"/>
          <w:bCs/>
          <w:sz w:val="30"/>
          <w:szCs w:val="30"/>
        </w:rPr>
        <w:t>承办单位：河南工业职业技术学院</w:t>
      </w:r>
    </w:p>
    <w:p>
      <w:pPr>
        <w:spacing w:line="560" w:lineRule="exact"/>
        <w:ind w:firstLine="600" w:firstLineChars="200"/>
        <w:jc w:val="left"/>
        <w:rPr>
          <w:rFonts w:ascii="仿宋_GB2312" w:hAnsi="仿宋" w:eastAsia="仿宋_GB2312" w:cstheme="minorBidi"/>
          <w:bCs/>
          <w:sz w:val="30"/>
          <w:szCs w:val="30"/>
        </w:rPr>
      </w:pPr>
      <w:r>
        <w:rPr>
          <w:rFonts w:hint="eastAsia" w:ascii="仿宋_GB2312" w:hAnsi="仿宋" w:eastAsia="仿宋_GB2312" w:cstheme="minorBidi"/>
          <w:bCs/>
          <w:sz w:val="30"/>
          <w:szCs w:val="30"/>
        </w:rPr>
        <w:t>报到及推荐住宿地点：另行通知</w:t>
      </w:r>
    </w:p>
    <w:p>
      <w:pPr>
        <w:pStyle w:val="3"/>
        <w:spacing w:before="0" w:after="0" w:line="560" w:lineRule="exact"/>
        <w:ind w:firstLine="600" w:firstLineChars="200"/>
        <w:jc w:val="left"/>
        <w:rPr>
          <w:rFonts w:ascii="黑体" w:hAnsi="黑体" w:eastAsia="黑体" w:cstheme="minorBidi"/>
          <w:b w:val="0"/>
          <w:sz w:val="30"/>
          <w:szCs w:val="30"/>
        </w:rPr>
      </w:pPr>
      <w:r>
        <w:rPr>
          <w:rFonts w:hint="eastAsia" w:ascii="黑体" w:eastAsia="黑体" w:cstheme="minorBidi"/>
          <w:b w:val="0"/>
          <w:sz w:val="30"/>
          <w:szCs w:val="30"/>
        </w:rPr>
        <w:t>二、竞赛目的</w:t>
      </w:r>
    </w:p>
    <w:p>
      <w:pPr>
        <w:spacing w:line="560" w:lineRule="exact"/>
        <w:ind w:firstLine="600" w:firstLineChars="200"/>
        <w:rPr>
          <w:rFonts w:ascii="仿宋_GB2312" w:hAnsi="仿宋" w:eastAsia="仿宋_GB2312" w:cstheme="minorBidi"/>
          <w:bCs/>
          <w:sz w:val="30"/>
          <w:szCs w:val="30"/>
        </w:rPr>
      </w:pPr>
      <w:r>
        <w:rPr>
          <w:rFonts w:hint="eastAsia" w:ascii="仿宋_GB2312" w:hAnsi="仿宋" w:eastAsia="仿宋_GB2312" w:cstheme="minorBidi"/>
          <w:bCs/>
          <w:sz w:val="30"/>
          <w:szCs w:val="30"/>
        </w:rPr>
        <w:t>当前，区块链技术正处于快速发展中并逐渐渗透到我国经济各个领域，是助力我国发展数字经济的重要手段，自2020年全国进入区块链政策热潮以来，各地方政府纷纷发布了区块链相关支持与规范政策。随着区块链技术的持续创新，区块链产业初步形成，并开始在供应链金融、征信、溯源、版权、数字身份、电子票据等领域快速应用，推动国家经济体系实现技术变革，对构建现代化经济体系有着重要贡献。</w:t>
      </w:r>
    </w:p>
    <w:p>
      <w:pPr>
        <w:spacing w:line="560" w:lineRule="exact"/>
        <w:ind w:firstLine="600" w:firstLineChars="200"/>
        <w:rPr>
          <w:rFonts w:ascii="仿宋_GB2312" w:hAnsi="仿宋" w:eastAsia="仿宋_GB2312" w:cstheme="minorBidi"/>
          <w:sz w:val="30"/>
          <w:szCs w:val="30"/>
        </w:rPr>
      </w:pPr>
      <w:r>
        <w:rPr>
          <w:rFonts w:hint="eastAsia" w:ascii="仿宋_GB2312" w:hAnsi="仿宋" w:eastAsia="仿宋_GB2312" w:cstheme="minorBidi"/>
          <w:bCs/>
          <w:sz w:val="30"/>
          <w:szCs w:val="30"/>
        </w:rPr>
        <w:t>为贯彻落实习近平总书记关于技能人才及职业教育工作的重要指示精神，落实高质量发展要求，把区块链作为核心技术自主创新的重要突破口，加快推动区块链技术和产业创新发展，本赛项围绕区块链技术发展趋势和区块链技术在相关产业应用中的典型工作岗位技能而设计。以市场需求为导向，通过同台竞技与交流，促进教学资源、教学模式和教学理念的升级，开拓互联网时代综合性技能人才的培养，促进区块链相关领域的技术创新和教学资源转化，为区块链产业发展提供未来技术和技能人才。</w:t>
      </w:r>
    </w:p>
    <w:p>
      <w:pPr>
        <w:pStyle w:val="3"/>
        <w:spacing w:before="0" w:after="0" w:line="560" w:lineRule="exact"/>
        <w:ind w:firstLine="640" w:firstLineChars="200"/>
        <w:jc w:val="left"/>
        <w:rPr>
          <w:rFonts w:ascii="黑体" w:hAnsi="黑体" w:eastAsia="黑体"/>
          <w:b w:val="0"/>
          <w:szCs w:val="30"/>
        </w:rPr>
      </w:pPr>
      <w:bookmarkStart w:id="1" w:name="_Hlk69776530"/>
      <w:r>
        <w:rPr>
          <w:rFonts w:hint="eastAsia" w:ascii="黑体" w:hAnsi="黑体" w:eastAsia="黑体"/>
          <w:b w:val="0"/>
          <w:szCs w:val="30"/>
        </w:rPr>
        <w:t>三、参赛资格</w:t>
      </w:r>
    </w:p>
    <w:bookmarkEnd w:id="1"/>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（一）参考国赛参赛规程要求，竞赛为团体赛，不计选手个人成绩，统计参赛队的总成绩进行排序，每支参赛队由</w:t>
      </w:r>
      <w:r>
        <w:rPr>
          <w:rFonts w:ascii="仿宋_GB2312" w:hAnsi="仿宋" w:eastAsia="仿宋_GB2312"/>
          <w:sz w:val="30"/>
          <w:szCs w:val="30"/>
        </w:rPr>
        <w:t>2</w:t>
      </w:r>
      <w:r>
        <w:rPr>
          <w:rFonts w:hint="eastAsia" w:ascii="仿宋_GB2312" w:hAnsi="仿宋" w:eastAsia="仿宋_GB2312"/>
          <w:sz w:val="30"/>
          <w:szCs w:val="30"/>
        </w:rPr>
        <w:t>名比赛选手组成，性别不限，指导教师由1-2人组成，每校限报</w:t>
      </w:r>
      <w:r>
        <w:rPr>
          <w:rFonts w:ascii="仿宋_GB2312" w:hAnsi="仿宋" w:eastAsia="仿宋_GB2312"/>
          <w:sz w:val="30"/>
          <w:szCs w:val="30"/>
        </w:rPr>
        <w:t>1</w:t>
      </w:r>
      <w:r>
        <w:rPr>
          <w:rFonts w:hint="eastAsia" w:ascii="仿宋_GB2312" w:hAnsi="仿宋" w:eastAsia="仿宋_GB2312"/>
          <w:sz w:val="30"/>
          <w:szCs w:val="30"/>
        </w:rPr>
        <w:t>个代表队。</w:t>
      </w:r>
    </w:p>
    <w:p>
      <w:pPr>
        <w:spacing w:line="560" w:lineRule="exact"/>
        <w:ind w:firstLine="606" w:firstLineChars="202"/>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sz w:val="30"/>
          <w:szCs w:val="30"/>
        </w:rPr>
        <w:t>（二）</w:t>
      </w:r>
      <w:r>
        <w:rPr>
          <w:rFonts w:hint="eastAsia" w:ascii="仿宋_GB2312" w:hAnsi="仿宋" w:eastAsia="仿宋_GB2312"/>
          <w:color w:val="000000" w:themeColor="text1"/>
          <w:sz w:val="30"/>
          <w:szCs w:val="30"/>
          <w14:textFill>
            <w14:solidFill>
              <w14:schemeClr w14:val="tx1"/>
            </w14:solidFill>
          </w14:textFill>
        </w:rPr>
        <w:t>凡开设有赛项相关专业的高等职业院校和本科院校的高职学生均可报名参加高职组比赛，参赛选手和指导老师必须是2023年同校在籍，五年制高职学生报名参赛的，必须是四、五年级的在籍学生。凡在往届全国、全省技能大赛中获一等奖的学生，不得再参加同一项目同一组别的比赛。</w:t>
      </w:r>
    </w:p>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四、参赛报名</w:t>
      </w:r>
    </w:p>
    <w:p>
      <w:pPr>
        <w:spacing w:line="560" w:lineRule="exact"/>
        <w:ind w:firstLine="606" w:firstLineChars="202"/>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w:t>
      </w:r>
      <w:r>
        <w:rPr>
          <w:rFonts w:ascii="仿宋_GB2312" w:hAnsi="仿宋" w:eastAsia="仿宋_GB2312"/>
          <w:color w:val="000000" w:themeColor="text1"/>
          <w:sz w:val="30"/>
          <w:szCs w:val="30"/>
          <w14:textFill>
            <w14:solidFill>
              <w14:schemeClr w14:val="tx1"/>
            </w14:solidFill>
          </w14:textFill>
        </w:rPr>
        <w:t>参赛院校须于5</w:t>
      </w:r>
      <w:r>
        <w:rPr>
          <w:rFonts w:hint="eastAsia" w:ascii="仿宋_GB2312" w:hAnsi="仿宋" w:eastAsia="仿宋_GB2312"/>
          <w:color w:val="000000" w:themeColor="text1"/>
          <w:sz w:val="30"/>
          <w:szCs w:val="30"/>
          <w14:textFill>
            <w14:solidFill>
              <w14:schemeClr w14:val="tx1"/>
            </w14:solidFill>
          </w14:textFill>
        </w:rPr>
        <w:t>月1</w:t>
      </w:r>
      <w:r>
        <w:rPr>
          <w:rFonts w:ascii="仿宋_GB2312" w:hAnsi="仿宋" w:eastAsia="仿宋_GB2312"/>
          <w:color w:val="000000" w:themeColor="text1"/>
          <w:sz w:val="30"/>
          <w:szCs w:val="30"/>
          <w14:textFill>
            <w14:solidFill>
              <w14:schemeClr w14:val="tx1"/>
            </w14:solidFill>
          </w14:textFill>
        </w:rPr>
        <w:t>8日前登录河南省高职院校技能大赛报名系统（http://39.105.49.188），</w:t>
      </w:r>
      <w:r>
        <w:rPr>
          <w:rFonts w:hint="eastAsia" w:ascii="仿宋_GB2312" w:hAnsi="仿宋" w:eastAsia="仿宋_GB2312"/>
          <w:color w:val="000000" w:themeColor="text1"/>
          <w:sz w:val="30"/>
          <w:szCs w:val="30"/>
          <w14:textFill>
            <w14:solidFill>
              <w14:schemeClr w14:val="tx1"/>
            </w14:solidFill>
          </w14:textFill>
        </w:rPr>
        <w:t>按</w:t>
      </w:r>
      <w:r>
        <w:rPr>
          <w:rFonts w:ascii="仿宋_GB2312" w:hAnsi="仿宋" w:eastAsia="仿宋_GB2312"/>
          <w:color w:val="000000" w:themeColor="text1"/>
          <w:sz w:val="30"/>
          <w:szCs w:val="30"/>
          <w14:textFill>
            <w14:solidFill>
              <w14:schemeClr w14:val="tx1"/>
            </w14:solidFill>
          </w14:textFill>
        </w:rPr>
        <w:t>要求填报并提交参赛信息。</w:t>
      </w:r>
    </w:p>
    <w:p>
      <w:pPr>
        <w:spacing w:line="560" w:lineRule="exact"/>
        <w:ind w:firstLine="606" w:firstLineChars="202"/>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w:t>
      </w:r>
      <w:r>
        <w:rPr>
          <w:rFonts w:hint="eastAsia" w:ascii="仿宋_GB2312" w:hAnsi="仿宋" w:eastAsia="仿宋_GB2312"/>
          <w:bCs/>
          <w:sz w:val="30"/>
          <w:szCs w:val="30"/>
        </w:rPr>
        <w:t>各参赛校以学校为单位注册报名平台，安排专人管理报名账号，做好大赛报名工作</w:t>
      </w:r>
      <w:r>
        <w:rPr>
          <w:rFonts w:ascii="仿宋_GB2312" w:hAnsi="仿宋" w:eastAsia="仿宋_GB2312"/>
          <w:bCs/>
          <w:sz w:val="30"/>
          <w:szCs w:val="30"/>
        </w:rPr>
        <w:t>(技术支持：张玺，电话：19837739696)。</w:t>
      </w:r>
    </w:p>
    <w:p>
      <w:pPr>
        <w:spacing w:line="560" w:lineRule="exact"/>
        <w:ind w:firstLine="606" w:firstLineChars="202"/>
        <w:rPr>
          <w:rFonts w:ascii="仿宋_GB2312" w:hAnsi="仿宋" w:eastAsia="仿宋_GB2312"/>
          <w:sz w:val="30"/>
          <w:szCs w:val="30"/>
        </w:rPr>
      </w:pPr>
      <w:r>
        <w:rPr>
          <w:rFonts w:hint="eastAsia" w:ascii="仿宋_GB2312" w:hAnsi="仿宋" w:eastAsia="仿宋_GB2312"/>
          <w:color w:val="000000" w:themeColor="text1"/>
          <w:sz w:val="30"/>
          <w:szCs w:val="30"/>
          <w14:textFill>
            <w14:solidFill>
              <w14:schemeClr w14:val="tx1"/>
            </w14:solidFill>
          </w14:textFill>
        </w:rPr>
        <w:t>3.</w:t>
      </w:r>
      <w:r>
        <w:rPr>
          <w:rFonts w:ascii="仿宋_GB2312" w:hAnsi="仿宋" w:eastAsia="仿宋_GB2312"/>
          <w:color w:val="000000" w:themeColor="text1"/>
          <w:sz w:val="30"/>
          <w:szCs w:val="30"/>
          <w14:textFill>
            <w14:solidFill>
              <w14:schemeClr w14:val="tx1"/>
            </w14:solidFill>
          </w14:textFill>
        </w:rPr>
        <w:t>提交报名信息后，参赛院校从系统导出参赛选手报名表、参赛信息汇总表后，连同参赛选手身份证复印件和学信网“教育部学籍在线验证报告”或省招办录取名册复印件各1份并加盖院校公章，报送或邮寄到赛项承办院校（</w:t>
      </w:r>
      <w:r>
        <w:rPr>
          <w:rFonts w:hint="eastAsia" w:ascii="仿宋_GB2312" w:hAnsi="仿宋" w:eastAsia="仿宋_GB2312"/>
          <w:color w:val="000000" w:themeColor="text1"/>
          <w:sz w:val="30"/>
          <w:szCs w:val="30"/>
          <w14:textFill>
            <w14:solidFill>
              <w14:schemeClr w14:val="tx1"/>
            </w14:solidFill>
          </w14:textFill>
        </w:rPr>
        <w:t>河南工业职业技术学院</w:t>
      </w:r>
      <w:r>
        <w:rPr>
          <w:rFonts w:ascii="仿宋_GB2312" w:hAnsi="仿宋" w:eastAsia="仿宋_GB2312"/>
          <w:color w:val="000000" w:themeColor="text1"/>
          <w:sz w:val="30"/>
          <w:szCs w:val="30"/>
          <w14:textFill>
            <w14:solidFill>
              <w14:schemeClr w14:val="tx1"/>
            </w14:solidFill>
          </w14:textFill>
        </w:rPr>
        <w:t>）。纸质报名材料接收截止时间为5月</w:t>
      </w:r>
      <w:r>
        <w:rPr>
          <w:rFonts w:hint="eastAsia" w:ascii="仿宋_GB2312" w:hAnsi="仿宋" w:eastAsia="仿宋_GB2312"/>
          <w:color w:val="000000" w:themeColor="text1"/>
          <w:sz w:val="30"/>
          <w:szCs w:val="30"/>
          <w14:textFill>
            <w14:solidFill>
              <w14:schemeClr w14:val="tx1"/>
            </w14:solidFill>
          </w14:textFill>
        </w:rPr>
        <w:t>1</w:t>
      </w:r>
      <w:r>
        <w:rPr>
          <w:rFonts w:ascii="仿宋_GB2312" w:hAnsi="仿宋" w:eastAsia="仿宋_GB2312"/>
          <w:color w:val="000000" w:themeColor="text1"/>
          <w:sz w:val="30"/>
          <w:szCs w:val="30"/>
          <w14:textFill>
            <w14:solidFill>
              <w14:schemeClr w14:val="tx1"/>
            </w14:solidFill>
          </w14:textFill>
        </w:rPr>
        <w:t>8日，以邮戳时间为准。</w:t>
      </w:r>
    </w:p>
    <w:p>
      <w:pPr>
        <w:spacing w:line="560" w:lineRule="exact"/>
        <w:ind w:firstLine="606" w:firstLineChars="202"/>
        <w:rPr>
          <w:rFonts w:ascii="仿宋_GB2312" w:hAnsi="仿宋_GB2312" w:eastAsia="仿宋_GB2312" w:cs="仿宋_GB2312"/>
          <w:sz w:val="30"/>
          <w:szCs w:val="30"/>
        </w:rPr>
      </w:pPr>
      <w:r>
        <w:rPr>
          <w:rFonts w:hint="eastAsia" w:ascii="仿宋_GB2312" w:hAnsi="仿宋_GB2312" w:eastAsia="仿宋_GB2312" w:cs="仿宋_GB2312"/>
          <w:sz w:val="30"/>
          <w:szCs w:val="30"/>
        </w:rPr>
        <w:t>邮寄地址：河南省南阳市杜诗路1666号河南工业职业技术学院；邮编：473000；联系人：安炜，联系电话：1</w:t>
      </w:r>
      <w:r>
        <w:rPr>
          <w:rFonts w:ascii="仿宋_GB2312" w:hAnsi="仿宋_GB2312" w:eastAsia="仿宋_GB2312" w:cs="仿宋_GB2312"/>
          <w:sz w:val="30"/>
          <w:szCs w:val="30"/>
        </w:rPr>
        <w:t>3937769818</w:t>
      </w:r>
      <w:r>
        <w:rPr>
          <w:rFonts w:hint="eastAsia" w:ascii="仿宋_GB2312" w:hAnsi="仿宋_GB2312" w:eastAsia="仿宋_GB2312" w:cs="仿宋_GB2312"/>
          <w:sz w:val="30"/>
          <w:szCs w:val="30"/>
        </w:rPr>
        <w:t>。</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承办学校收到纸质报名材料，按参赛条件的要求认真审核参赛选手和指导教师资格，审核通过报名成功。</w:t>
      </w:r>
    </w:p>
    <w:p>
      <w:pPr>
        <w:pStyle w:val="3"/>
        <w:spacing w:before="0" w:after="0" w:line="560" w:lineRule="exact"/>
        <w:ind w:firstLine="600" w:firstLineChars="200"/>
        <w:jc w:val="left"/>
        <w:rPr>
          <w:rFonts w:ascii="黑体" w:hAnsi="黑体" w:eastAsia="黑体" w:cstheme="minorBidi"/>
          <w:b w:val="0"/>
          <w:sz w:val="30"/>
          <w:szCs w:val="30"/>
        </w:rPr>
      </w:pPr>
      <w:r>
        <w:rPr>
          <w:rFonts w:hint="eastAsia" w:ascii="黑体" w:hAnsi="黑体" w:eastAsia="黑体" w:cstheme="minorBidi"/>
          <w:b w:val="0"/>
          <w:sz w:val="30"/>
          <w:szCs w:val="30"/>
        </w:rPr>
        <w:t>五、竞赛日程安排</w:t>
      </w:r>
      <w:r>
        <w:rPr>
          <w:rFonts w:hint="eastAsia" w:ascii="黑体" w:hAnsi="黑体" w:eastAsia="黑体"/>
          <w:b w:val="0"/>
          <w:szCs w:val="30"/>
        </w:rPr>
        <w:t>（具体以《参赛指南》为准）</w:t>
      </w:r>
    </w:p>
    <w:p>
      <w:pPr>
        <w:snapToGrid w:val="0"/>
        <w:spacing w:line="560" w:lineRule="exact"/>
        <w:ind w:firstLine="600" w:firstLineChars="200"/>
        <w:jc w:val="left"/>
        <w:rPr>
          <w:rFonts w:ascii="楷体_GB2312" w:hAnsi="仿宋" w:eastAsia="楷体_GB2312" w:cstheme="minorBidi"/>
          <w:sz w:val="30"/>
          <w:szCs w:val="30"/>
        </w:rPr>
      </w:pPr>
      <w:r>
        <w:rPr>
          <w:rFonts w:hint="eastAsia" w:ascii="楷体_GB2312" w:hAnsi="仿宋" w:eastAsia="楷体_GB2312" w:cstheme="minorBidi"/>
          <w:sz w:val="30"/>
          <w:szCs w:val="30"/>
        </w:rPr>
        <w:t>（一）竞赛时间安排</w:t>
      </w:r>
    </w:p>
    <w:p>
      <w:pPr>
        <w:snapToGrid w:val="0"/>
        <w:spacing w:line="560" w:lineRule="exact"/>
        <w:ind w:firstLine="600" w:firstLineChars="200"/>
        <w:jc w:val="left"/>
        <w:rPr>
          <w:rFonts w:ascii="仿宋_GB2312" w:hAnsi="仿宋" w:eastAsia="仿宋_GB2312"/>
          <w:sz w:val="30"/>
          <w:szCs w:val="30"/>
        </w:rPr>
      </w:pPr>
      <w:r>
        <w:rPr>
          <w:rFonts w:ascii="仿宋_GB2312" w:hAnsi="仿宋" w:eastAsia="仿宋_GB2312"/>
          <w:sz w:val="30"/>
          <w:szCs w:val="30"/>
        </w:rPr>
        <w:t>5月25日报到</w:t>
      </w:r>
      <w:r>
        <w:rPr>
          <w:rFonts w:hint="eastAsia" w:ascii="仿宋_GB2312" w:hAnsi="仿宋" w:eastAsia="仿宋_GB2312"/>
          <w:sz w:val="30"/>
          <w:szCs w:val="30"/>
        </w:rPr>
        <w:t>，</w:t>
      </w:r>
      <w:r>
        <w:rPr>
          <w:rFonts w:ascii="仿宋_GB2312" w:hAnsi="仿宋" w:eastAsia="仿宋_GB2312"/>
          <w:sz w:val="30"/>
          <w:szCs w:val="30"/>
        </w:rPr>
        <w:t>5月26日比赛</w:t>
      </w:r>
      <w:r>
        <w:rPr>
          <w:rFonts w:hint="eastAsia" w:ascii="仿宋_GB2312" w:hAnsi="仿宋" w:eastAsia="仿宋_GB2312"/>
          <w:sz w:val="30"/>
          <w:szCs w:val="30"/>
        </w:rPr>
        <w:t>。</w:t>
      </w:r>
    </w:p>
    <w:p>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竞赛时间为5月</w:t>
      </w:r>
      <w:r>
        <w:rPr>
          <w:rFonts w:ascii="仿宋_GB2312" w:hAnsi="仿宋" w:eastAsia="仿宋_GB2312"/>
          <w:sz w:val="30"/>
          <w:szCs w:val="30"/>
        </w:rPr>
        <w:t>26</w:t>
      </w:r>
      <w:r>
        <w:rPr>
          <w:rFonts w:hint="eastAsia" w:ascii="仿宋_GB2312" w:hAnsi="仿宋" w:eastAsia="仿宋_GB2312"/>
          <w:sz w:val="30"/>
          <w:szCs w:val="30"/>
        </w:rPr>
        <w:t>日8:</w:t>
      </w:r>
      <w:r>
        <w:rPr>
          <w:rFonts w:ascii="仿宋_GB2312" w:hAnsi="仿宋" w:eastAsia="仿宋_GB2312"/>
          <w:sz w:val="30"/>
          <w:szCs w:val="30"/>
        </w:rPr>
        <w:t>3</w:t>
      </w:r>
      <w:r>
        <w:rPr>
          <w:rFonts w:hint="eastAsia" w:ascii="仿宋_GB2312" w:hAnsi="仿宋" w:eastAsia="仿宋_GB2312"/>
          <w:sz w:val="30"/>
          <w:szCs w:val="30"/>
        </w:rPr>
        <w:t>0-1</w:t>
      </w:r>
      <w:r>
        <w:rPr>
          <w:rFonts w:ascii="仿宋_GB2312" w:hAnsi="仿宋" w:eastAsia="仿宋_GB2312"/>
          <w:sz w:val="30"/>
          <w:szCs w:val="30"/>
        </w:rPr>
        <w:t>6</w:t>
      </w:r>
      <w:r>
        <w:rPr>
          <w:rFonts w:hint="eastAsia" w:ascii="仿宋_GB2312" w:hAnsi="仿宋" w:eastAsia="仿宋_GB2312"/>
          <w:sz w:val="30"/>
          <w:szCs w:val="30"/>
        </w:rPr>
        <w:t>:00。比赛中止时刻各参赛队停止比赛，递交比赛作品和文档。</w:t>
      </w:r>
    </w:p>
    <w:p>
      <w:pPr>
        <w:snapToGrid w:val="0"/>
        <w:spacing w:line="560" w:lineRule="atLeast"/>
        <w:ind w:firstLine="600" w:firstLineChars="200"/>
        <w:jc w:val="left"/>
        <w:rPr>
          <w:rFonts w:ascii="楷体_GB2312" w:hAnsi="仿宋" w:eastAsia="楷体_GB2312" w:cstheme="minorBidi"/>
          <w:sz w:val="30"/>
          <w:szCs w:val="30"/>
        </w:rPr>
      </w:pPr>
      <w:r>
        <w:rPr>
          <w:rFonts w:hint="eastAsia" w:ascii="楷体_GB2312" w:hAnsi="仿宋" w:eastAsia="楷体_GB2312" w:cstheme="minorBidi"/>
          <w:sz w:val="30"/>
          <w:szCs w:val="30"/>
        </w:rPr>
        <w:t>（二）竞赛流程</w:t>
      </w:r>
    </w:p>
    <w:tbl>
      <w:tblPr>
        <w:tblStyle w:val="15"/>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99"/>
        <w:gridCol w:w="1576"/>
        <w:gridCol w:w="2865"/>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1305" w:type="dxa"/>
            <w:tcMar>
              <w:top w:w="0" w:type="dxa"/>
              <w:left w:w="86" w:type="dxa"/>
              <w:bottom w:w="0" w:type="dxa"/>
              <w:right w:w="86" w:type="dxa"/>
            </w:tcMar>
            <w:vAlign w:val="center"/>
          </w:tcPr>
          <w:p>
            <w:pPr>
              <w:pStyle w:val="12"/>
              <w:spacing w:before="0" w:beforeAutospacing="0" w:after="0" w:afterAutospacing="0"/>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日期</w:t>
            </w:r>
          </w:p>
        </w:tc>
        <w:tc>
          <w:tcPr>
            <w:tcW w:w="1583" w:type="dxa"/>
            <w:tcMar>
              <w:top w:w="0" w:type="dxa"/>
              <w:left w:w="86" w:type="dxa"/>
              <w:bottom w:w="0" w:type="dxa"/>
              <w:right w:w="86" w:type="dxa"/>
            </w:tcMar>
            <w:vAlign w:val="center"/>
          </w:tcPr>
          <w:p>
            <w:pPr>
              <w:pStyle w:val="12"/>
              <w:spacing w:before="0" w:beforeAutospacing="0" w:after="0" w:afterAutospacing="0"/>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时间</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事项</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restart"/>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5月2</w:t>
            </w:r>
            <w:r>
              <w:rPr>
                <w:rFonts w:ascii="仿宋_GB2312" w:hAnsi="仿宋_GB2312" w:eastAsia="仿宋_GB2312" w:cs="仿宋_GB2312"/>
                <w:color w:val="000000"/>
                <w:sz w:val="21"/>
                <w:szCs w:val="21"/>
              </w:rPr>
              <w:t>5</w:t>
            </w:r>
            <w:r>
              <w:rPr>
                <w:rFonts w:hint="eastAsia" w:ascii="仿宋_GB2312" w:hAnsi="仿宋_GB2312" w:eastAsia="仿宋_GB2312" w:cs="仿宋_GB2312"/>
                <w:color w:val="000000"/>
                <w:sz w:val="21"/>
                <w:szCs w:val="21"/>
              </w:rPr>
              <w:t>日</w:t>
            </w: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09:00-1</w:t>
            </w:r>
            <w:r>
              <w:rPr>
                <w:rFonts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rPr>
              <w:t>:00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专家、裁判、监督仲裁报到</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专家组、裁判组、监督仲裁组成员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09:00-1</w:t>
            </w:r>
            <w:r>
              <w:rPr>
                <w:rFonts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参赛队报到</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各参赛队领队、选手、指导老师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13:00-14:00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赛前工作会议</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赛项执委会成员、专家组、裁判组、监督仲裁组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14:00-15:00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裁判培训会议</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专家组、裁判组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15:00-16:00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开赛式及领队会议</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赛项执委会成员、专家组长、裁判长、参赛队领队、选手、指导老师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16:00-17:00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参赛队熟悉赛场</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各参赛队选手、指导老师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17:00-18:00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检查封闭赛场</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裁判长、监督仲裁组长、工作人员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restart"/>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5月2</w:t>
            </w:r>
            <w:r>
              <w:rPr>
                <w:rFonts w:ascii="仿宋_GB2312" w:hAnsi="仿宋_GB2312" w:eastAsia="仿宋_GB2312" w:cs="仿宋_GB2312"/>
                <w:color w:val="000000"/>
                <w:sz w:val="21"/>
                <w:szCs w:val="21"/>
              </w:rPr>
              <w:t>6</w:t>
            </w:r>
            <w:r>
              <w:rPr>
                <w:rFonts w:hint="eastAsia" w:ascii="仿宋_GB2312" w:hAnsi="仿宋_GB2312" w:eastAsia="仿宋_GB2312" w:cs="仿宋_GB2312"/>
                <w:color w:val="000000"/>
                <w:sz w:val="21"/>
                <w:szCs w:val="21"/>
              </w:rPr>
              <w:t>日</w:t>
            </w: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07:00-07:30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参赛队检录</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各参赛队选手、工作人员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07:30-08:00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参赛队两次加密</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各参赛队选手、加密裁判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08:00-08:30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参赛队进入赛场</w:t>
            </w:r>
          </w:p>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赛前设备检查</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各参赛队选手、现场裁判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08:30-1</w:t>
            </w:r>
            <w:r>
              <w:rPr>
                <w:rFonts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模块一比赛</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各参赛队选手、现场裁判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0-1</w:t>
            </w:r>
            <w:r>
              <w:rPr>
                <w:rFonts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rPr>
              <w:t>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模块一结果确认及环境设置</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各参赛队选手、现场裁判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w:t>
            </w:r>
            <w:r>
              <w:rPr>
                <w:rFonts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rPr>
              <w:t>0-1</w:t>
            </w:r>
            <w:r>
              <w:rPr>
                <w:rFonts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rPr>
              <w:t>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模块二比赛</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各参赛队选手、现场裁判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w:t>
            </w:r>
            <w:r>
              <w:rPr>
                <w:rFonts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rPr>
              <w:t>:30-1</w:t>
            </w:r>
            <w:r>
              <w:rPr>
                <w:rFonts w:ascii="仿宋_GB2312" w:hAnsi="仿宋_GB2312" w:eastAsia="仿宋_GB2312" w:cs="仿宋_GB2312"/>
                <w:color w:val="000000"/>
                <w:sz w:val="21"/>
                <w:szCs w:val="21"/>
              </w:rPr>
              <w:t>4</w:t>
            </w:r>
            <w:r>
              <w:rPr>
                <w:rFonts w:hint="eastAsia" w:ascii="仿宋_GB2312" w:hAnsi="仿宋_GB2312" w:eastAsia="仿宋_GB2312" w:cs="仿宋_GB2312"/>
                <w:color w:val="000000"/>
                <w:sz w:val="21"/>
                <w:szCs w:val="21"/>
              </w:rPr>
              <w:t>:00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模块二结果确认及环境设置</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各参赛队选手、现场裁判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w:t>
            </w:r>
            <w:r>
              <w:rPr>
                <w:rFonts w:ascii="仿宋_GB2312" w:hAnsi="仿宋_GB2312" w:eastAsia="仿宋_GB2312" w:cs="仿宋_GB2312"/>
                <w:color w:val="000000"/>
                <w:sz w:val="21"/>
                <w:szCs w:val="21"/>
              </w:rPr>
              <w:t>4</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0-1</w:t>
            </w:r>
            <w:r>
              <w:rPr>
                <w:rFonts w:ascii="仿宋_GB2312" w:hAnsi="仿宋_GB2312" w:eastAsia="仿宋_GB2312" w:cs="仿宋_GB2312"/>
                <w:color w:val="000000"/>
                <w:sz w:val="21"/>
                <w:szCs w:val="21"/>
              </w:rPr>
              <w:t>6</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模块三比赛</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各参赛队选手、现场裁判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11:30-1</w:t>
            </w:r>
            <w:r>
              <w:rPr>
                <w:rFonts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rPr>
              <w:t>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模块一成绩评定</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评分裁判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14:</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0-1</w:t>
            </w:r>
            <w:r>
              <w:rPr>
                <w:rFonts w:ascii="仿宋_GB2312" w:hAnsi="仿宋_GB2312" w:eastAsia="仿宋_GB2312" w:cs="仿宋_GB2312"/>
                <w:color w:val="000000"/>
                <w:sz w:val="21"/>
                <w:szCs w:val="21"/>
              </w:rPr>
              <w:t>6</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模块二成绩评定</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评分裁判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w:t>
            </w:r>
            <w:r>
              <w:rPr>
                <w:rFonts w:ascii="仿宋_GB2312" w:hAnsi="仿宋_GB2312" w:eastAsia="仿宋_GB2312" w:cs="仿宋_GB2312"/>
                <w:color w:val="000000"/>
                <w:sz w:val="21"/>
                <w:szCs w:val="21"/>
              </w:rPr>
              <w:t>6</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w:t>
            </w:r>
            <w:r>
              <w:rPr>
                <w:rFonts w:ascii="仿宋_GB2312" w:hAnsi="仿宋_GB2312" w:eastAsia="仿宋_GB2312" w:cs="仿宋_GB2312"/>
                <w:color w:val="000000"/>
                <w:sz w:val="21"/>
                <w:szCs w:val="21"/>
              </w:rPr>
              <w:t>18</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模块三成绩评定</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评分裁判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w:t>
            </w:r>
            <w:r>
              <w:rPr>
                <w:rFonts w:ascii="仿宋_GB2312" w:hAnsi="仿宋_GB2312" w:eastAsia="仿宋_GB2312" w:cs="仿宋_GB2312"/>
                <w:color w:val="000000"/>
                <w:sz w:val="21"/>
                <w:szCs w:val="21"/>
              </w:rPr>
              <w:t>6</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w:t>
            </w:r>
            <w:r>
              <w:rPr>
                <w:rFonts w:ascii="仿宋_GB2312" w:hAnsi="仿宋_GB2312" w:eastAsia="仿宋_GB2312" w:cs="仿宋_GB2312"/>
                <w:color w:val="000000"/>
                <w:sz w:val="21"/>
                <w:szCs w:val="21"/>
              </w:rPr>
              <w:t>18</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申诉受理</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05" w:type="dxa"/>
            <w:vMerge w:val="continue"/>
            <w:tcMar>
              <w:top w:w="0" w:type="dxa"/>
              <w:left w:w="86" w:type="dxa"/>
              <w:bottom w:w="0" w:type="dxa"/>
              <w:right w:w="86" w:type="dxa"/>
            </w:tcMar>
            <w:vAlign w:val="center"/>
          </w:tcPr>
          <w:p>
            <w:pPr>
              <w:rPr>
                <w:rFonts w:ascii="仿宋_GB2312" w:hAnsi="仿宋_GB2312" w:eastAsia="仿宋_GB2312" w:cs="仿宋_GB2312"/>
                <w:sz w:val="21"/>
                <w:szCs w:val="21"/>
              </w:rPr>
            </w:pPr>
          </w:p>
        </w:tc>
        <w:tc>
          <w:tcPr>
            <w:tcW w:w="1583"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kern w:val="2"/>
                <w:sz w:val="21"/>
                <w:szCs w:val="21"/>
              </w:rPr>
            </w:pPr>
            <w:r>
              <w:rPr>
                <w:rFonts w:ascii="仿宋_GB2312" w:hAnsi="仿宋_GB2312" w:eastAsia="仿宋_GB2312" w:cs="仿宋_GB2312"/>
                <w:color w:val="000000"/>
                <w:sz w:val="21"/>
                <w:szCs w:val="21"/>
              </w:rPr>
              <w:t>18</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0-20:00</w:t>
            </w:r>
          </w:p>
        </w:tc>
        <w:tc>
          <w:tcPr>
            <w:tcW w:w="2877" w:type="dxa"/>
            <w:tcMar>
              <w:top w:w="0" w:type="dxa"/>
              <w:left w:w="86" w:type="dxa"/>
              <w:bottom w:w="0" w:type="dxa"/>
              <w:right w:w="86" w:type="dxa"/>
            </w:tcMar>
            <w:vAlign w:val="center"/>
          </w:tcPr>
          <w:p>
            <w:pPr>
              <w:pStyle w:val="12"/>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color w:val="000000"/>
                <w:sz w:val="21"/>
                <w:szCs w:val="21"/>
              </w:rPr>
              <w:t>成绩核定及公示</w:t>
            </w:r>
          </w:p>
        </w:tc>
        <w:tc>
          <w:tcPr>
            <w:tcW w:w="3410" w:type="dxa"/>
            <w:tcMar>
              <w:top w:w="0" w:type="dxa"/>
              <w:left w:w="46" w:type="dxa"/>
              <w:bottom w:w="0" w:type="dxa"/>
              <w:right w:w="46" w:type="dxa"/>
            </w:tcMar>
            <w:vAlign w:val="center"/>
          </w:tcPr>
          <w:p>
            <w:pPr>
              <w:pStyle w:val="12"/>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color w:val="000000"/>
                <w:sz w:val="21"/>
                <w:szCs w:val="21"/>
              </w:rPr>
              <w:t>裁判长、评分裁判、监督仲裁</w:t>
            </w:r>
          </w:p>
        </w:tc>
      </w:tr>
    </w:tbl>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六、竞赛内容</w:t>
      </w:r>
    </w:p>
    <w:p>
      <w:pPr>
        <w:snapToGrid w:val="0"/>
        <w:spacing w:line="560" w:lineRule="exact"/>
        <w:ind w:firstLine="600" w:firstLineChars="200"/>
        <w:jc w:val="left"/>
        <w:rPr>
          <w:rFonts w:ascii="仿宋_GB2312" w:hAnsi="仿宋" w:eastAsia="仿宋_GB2312"/>
          <w:sz w:val="30"/>
          <w:szCs w:val="30"/>
        </w:rPr>
      </w:pPr>
      <w:r>
        <w:rPr>
          <w:rFonts w:hint="eastAsia" w:ascii="楷体_GB2312" w:hAnsi="楷体_GB2312" w:eastAsia="楷体_GB2312" w:cs="楷体_GB2312"/>
          <w:sz w:val="30"/>
          <w:szCs w:val="30"/>
        </w:rPr>
        <w:t>（一）竞赛时间</w:t>
      </w:r>
    </w:p>
    <w:p>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1.总时长为</w:t>
      </w:r>
      <w:r>
        <w:rPr>
          <w:rFonts w:ascii="仿宋_GB2312" w:hAnsi="仿宋" w:eastAsia="仿宋_GB2312"/>
          <w:sz w:val="30"/>
          <w:szCs w:val="30"/>
        </w:rPr>
        <w:t>6</w:t>
      </w:r>
      <w:r>
        <w:rPr>
          <w:rFonts w:hint="eastAsia" w:ascii="仿宋_GB2312" w:hAnsi="仿宋" w:eastAsia="仿宋_GB2312"/>
          <w:sz w:val="30"/>
          <w:szCs w:val="30"/>
        </w:rPr>
        <w:t>.</w:t>
      </w:r>
      <w:r>
        <w:rPr>
          <w:rFonts w:ascii="仿宋_GB2312" w:hAnsi="仿宋" w:eastAsia="仿宋_GB2312"/>
          <w:sz w:val="30"/>
          <w:szCs w:val="30"/>
        </w:rPr>
        <w:t>5</w:t>
      </w:r>
      <w:r>
        <w:rPr>
          <w:rFonts w:hint="eastAsia" w:ascii="仿宋_GB2312" w:hAnsi="仿宋" w:eastAsia="仿宋_GB2312"/>
          <w:sz w:val="30"/>
          <w:szCs w:val="30"/>
        </w:rPr>
        <w:t>小时。参赛队需要在规定时间内，独立完成区块链产品方案设计与系统运维、智能合约开发与测试、区块链应用系统开发等竞赛任务。</w:t>
      </w:r>
    </w:p>
    <w:p>
      <w:pPr>
        <w:snapToGrid w:val="0"/>
        <w:spacing w:line="560" w:lineRule="exact"/>
        <w:ind w:firstLine="600" w:firstLineChars="200"/>
        <w:jc w:val="left"/>
        <w:rPr>
          <w:rFonts w:ascii="仿宋_GB2312" w:hAnsi="仿宋" w:eastAsia="仿宋_GB2312" w:cs="宋体"/>
          <w:b/>
          <w:bCs/>
          <w:kern w:val="0"/>
          <w:sz w:val="30"/>
          <w:szCs w:val="30"/>
        </w:rPr>
      </w:pPr>
      <w:r>
        <w:rPr>
          <w:rFonts w:hint="eastAsia" w:ascii="仿宋_GB2312" w:hAnsi="仿宋" w:eastAsia="仿宋_GB2312"/>
          <w:sz w:val="30"/>
          <w:szCs w:val="30"/>
        </w:rPr>
        <w:t>2.竞赛起止时间：5月2</w:t>
      </w:r>
      <w:r>
        <w:rPr>
          <w:rFonts w:ascii="仿宋_GB2312" w:hAnsi="仿宋" w:eastAsia="仿宋_GB2312"/>
          <w:sz w:val="30"/>
          <w:szCs w:val="30"/>
        </w:rPr>
        <w:t>6</w:t>
      </w:r>
      <w:r>
        <w:rPr>
          <w:rFonts w:hint="eastAsia" w:ascii="仿宋_GB2312" w:hAnsi="仿宋" w:eastAsia="仿宋_GB2312"/>
          <w:sz w:val="30"/>
          <w:szCs w:val="30"/>
        </w:rPr>
        <w:t>日8</w:t>
      </w:r>
      <w:r>
        <w:rPr>
          <w:rFonts w:ascii="仿宋_GB2312" w:hAnsi="仿宋" w:eastAsia="仿宋_GB2312"/>
          <w:sz w:val="30"/>
          <w:szCs w:val="30"/>
        </w:rPr>
        <w:t>:30</w:t>
      </w:r>
      <w:r>
        <w:rPr>
          <w:rFonts w:hint="eastAsia" w:ascii="仿宋_GB2312" w:hAnsi="仿宋" w:eastAsia="仿宋_GB2312"/>
          <w:sz w:val="30"/>
          <w:szCs w:val="30"/>
        </w:rPr>
        <w:t>～</w:t>
      </w:r>
      <w:r>
        <w:rPr>
          <w:rFonts w:ascii="仿宋_GB2312" w:hAnsi="仿宋" w:eastAsia="仿宋_GB2312"/>
          <w:sz w:val="30"/>
          <w:szCs w:val="30"/>
        </w:rPr>
        <w:t>16:</w:t>
      </w:r>
      <w:r>
        <w:rPr>
          <w:rFonts w:hint="eastAsia" w:ascii="仿宋_GB2312" w:hAnsi="仿宋" w:eastAsia="仿宋_GB2312"/>
          <w:sz w:val="30"/>
          <w:szCs w:val="30"/>
        </w:rPr>
        <w:t>0</w:t>
      </w:r>
      <w:r>
        <w:rPr>
          <w:rFonts w:ascii="仿宋_GB2312" w:hAnsi="仿宋" w:eastAsia="仿宋_GB2312"/>
          <w:sz w:val="30"/>
          <w:szCs w:val="30"/>
        </w:rPr>
        <w:t>0</w:t>
      </w:r>
      <w:r>
        <w:rPr>
          <w:rFonts w:hint="eastAsia" w:ascii="仿宋_GB2312" w:hAnsi="仿宋" w:eastAsia="仿宋_GB2312"/>
          <w:sz w:val="30"/>
          <w:szCs w:val="30"/>
        </w:rPr>
        <w:t>，不含检录、加密、选手配合测试及申诉受理等时间。</w:t>
      </w:r>
    </w:p>
    <w:p>
      <w:pPr>
        <w:snapToGrid w:val="0"/>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（二）竞赛内容</w:t>
      </w:r>
    </w:p>
    <w:p>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本</w:t>
      </w:r>
      <w:r>
        <w:rPr>
          <w:rFonts w:ascii="仿宋_GB2312" w:hAnsi="仿宋" w:eastAsia="仿宋_GB2312"/>
          <w:sz w:val="30"/>
          <w:szCs w:val="30"/>
        </w:rPr>
        <w:t>赛项</w:t>
      </w:r>
      <w:r>
        <w:rPr>
          <w:rFonts w:hint="eastAsia" w:ascii="仿宋_GB2312" w:hAnsi="仿宋" w:eastAsia="仿宋_GB2312"/>
          <w:sz w:val="30"/>
          <w:szCs w:val="30"/>
        </w:rPr>
        <w:t>基于</w:t>
      </w:r>
      <w:r>
        <w:rPr>
          <w:rFonts w:ascii="仿宋_GB2312" w:hAnsi="仿宋" w:eastAsia="仿宋_GB2312"/>
          <w:sz w:val="30"/>
          <w:szCs w:val="30"/>
        </w:rPr>
        <w:t>区块链在存证、溯源等领域的典型落地应用场景进行设计，参赛队根据</w:t>
      </w:r>
      <w:r>
        <w:rPr>
          <w:rFonts w:hint="eastAsia" w:ascii="仿宋_GB2312" w:hAnsi="仿宋" w:eastAsia="仿宋_GB2312"/>
          <w:sz w:val="30"/>
          <w:szCs w:val="30"/>
        </w:rPr>
        <w:t>指定</w:t>
      </w:r>
      <w:r>
        <w:rPr>
          <w:rFonts w:ascii="仿宋_GB2312" w:hAnsi="仿宋" w:eastAsia="仿宋_GB2312"/>
          <w:sz w:val="30"/>
          <w:szCs w:val="30"/>
        </w:rPr>
        <w:t>的项目描述和需求，</w:t>
      </w:r>
      <w:r>
        <w:rPr>
          <w:rFonts w:hint="eastAsia" w:ascii="仿宋_GB2312" w:hAnsi="仿宋" w:eastAsia="仿宋_GB2312"/>
          <w:sz w:val="30"/>
          <w:szCs w:val="30"/>
        </w:rPr>
        <w:t>运用</w:t>
      </w:r>
      <w:r>
        <w:rPr>
          <w:rFonts w:ascii="仿宋_GB2312" w:hAnsi="仿宋" w:eastAsia="仿宋_GB2312"/>
          <w:sz w:val="30"/>
          <w:szCs w:val="30"/>
        </w:rPr>
        <w:t>区块链技术，搭建区块链应用平台，开发符合要求的智能合约，并根据具体场景和需求进行区块链应用系统开发。</w:t>
      </w:r>
    </w:p>
    <w:p>
      <w:pPr>
        <w:snapToGrid w:val="0"/>
        <w:spacing w:line="560" w:lineRule="exact"/>
        <w:ind w:firstLine="600" w:firstLineChars="200"/>
        <w:jc w:val="left"/>
        <w:rPr>
          <w:rFonts w:ascii="仿宋_GB2312" w:hAnsi="仿宋" w:eastAsia="仿宋_GB2312"/>
          <w:sz w:val="30"/>
          <w:szCs w:val="30"/>
        </w:rPr>
      </w:pPr>
      <w:r>
        <w:rPr>
          <w:rFonts w:ascii="仿宋_GB2312" w:hAnsi="仿宋" w:eastAsia="仿宋_GB2312"/>
          <w:sz w:val="30"/>
          <w:szCs w:val="30"/>
        </w:rPr>
        <w:t>赛项考核内容包括</w:t>
      </w:r>
      <w:r>
        <w:rPr>
          <w:rFonts w:hint="eastAsia" w:ascii="仿宋_GB2312" w:hAnsi="仿宋" w:eastAsia="仿宋_GB2312"/>
          <w:sz w:val="30"/>
          <w:szCs w:val="30"/>
        </w:rPr>
        <w:t>：“</w:t>
      </w:r>
      <w:r>
        <w:rPr>
          <w:rFonts w:ascii="仿宋_GB2312" w:hAnsi="仿宋" w:eastAsia="仿宋_GB2312"/>
          <w:sz w:val="30"/>
          <w:szCs w:val="30"/>
        </w:rPr>
        <w:t>区块链</w:t>
      </w:r>
      <w:r>
        <w:rPr>
          <w:rFonts w:hint="eastAsia" w:ascii="仿宋_GB2312" w:hAnsi="仿宋" w:eastAsia="仿宋_GB2312"/>
          <w:sz w:val="30"/>
          <w:szCs w:val="30"/>
        </w:rPr>
        <w:t>产品方案设计与系统运维”、“智能合约开发与测试”、“区块链应用系统开发”</w:t>
      </w:r>
      <w:r>
        <w:rPr>
          <w:rFonts w:ascii="仿宋_GB2312" w:hAnsi="仿宋" w:eastAsia="仿宋_GB2312"/>
          <w:sz w:val="30"/>
          <w:szCs w:val="30"/>
        </w:rPr>
        <w:t>。重点考察参赛选手Linux操作系统、</w:t>
      </w:r>
      <w:r>
        <w:rPr>
          <w:rFonts w:hint="eastAsia" w:ascii="仿宋_GB2312" w:hAnsi="仿宋" w:eastAsia="仿宋_GB2312"/>
          <w:sz w:val="30"/>
          <w:szCs w:val="30"/>
        </w:rPr>
        <w:t>基于区块链底层平台和区块链中间件等平台的搭建、Solidity智能合约开发部署与调用，以及利用编程语言编写API和前端框架进行区块链应用系统开发等多方面的知识与技能点。</w:t>
      </w:r>
    </w:p>
    <w:p>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具体比赛任务及考核内容如表 1 所示。</w:t>
      </w:r>
    </w:p>
    <w:p>
      <w:pPr>
        <w:snapToGrid w:val="0"/>
        <w:spacing w:line="560" w:lineRule="atLeast"/>
        <w:ind w:firstLine="480" w:firstLineChars="200"/>
        <w:jc w:val="center"/>
        <w:rPr>
          <w:rFonts w:ascii="黑体" w:hAnsi="黑体" w:eastAsia="黑体" w:cs="宋体"/>
          <w:bCs/>
          <w:kern w:val="0"/>
          <w:sz w:val="24"/>
          <w:szCs w:val="24"/>
        </w:rPr>
      </w:pPr>
      <w:r>
        <w:rPr>
          <w:rFonts w:hint="eastAsia" w:ascii="黑体" w:hAnsi="黑体" w:eastAsia="黑体" w:cs="宋体"/>
          <w:bCs/>
          <w:kern w:val="0"/>
          <w:sz w:val="24"/>
          <w:szCs w:val="24"/>
        </w:rPr>
        <w:t>表1.比赛任务及考核内容</w:t>
      </w:r>
    </w:p>
    <w:tbl>
      <w:tblPr>
        <w:tblStyle w:val="15"/>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15"/>
        <w:gridCol w:w="1339"/>
        <w:gridCol w:w="2728"/>
        <w:gridCol w:w="340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1315" w:type="dxa"/>
            <w:tcMar>
              <w:top w:w="0" w:type="dxa"/>
              <w:left w:w="54" w:type="dxa"/>
              <w:bottom w:w="0" w:type="dxa"/>
              <w:right w:w="54" w:type="dxa"/>
            </w:tcMar>
            <w:vAlign w:val="center"/>
          </w:tcPr>
          <w:p>
            <w:pPr>
              <w:pStyle w:val="12"/>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赛项模块</w:t>
            </w:r>
          </w:p>
        </w:tc>
        <w:tc>
          <w:tcPr>
            <w:tcW w:w="1339" w:type="dxa"/>
            <w:tcMar>
              <w:top w:w="0" w:type="dxa"/>
              <w:left w:w="54" w:type="dxa"/>
              <w:bottom w:w="0" w:type="dxa"/>
              <w:right w:w="54" w:type="dxa"/>
            </w:tcMar>
            <w:vAlign w:val="center"/>
          </w:tcPr>
          <w:p>
            <w:pPr>
              <w:pStyle w:val="12"/>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竞赛内容</w:t>
            </w:r>
          </w:p>
        </w:tc>
        <w:tc>
          <w:tcPr>
            <w:tcW w:w="2728" w:type="dxa"/>
            <w:tcMar>
              <w:top w:w="0" w:type="dxa"/>
              <w:left w:w="54" w:type="dxa"/>
              <w:bottom w:w="0" w:type="dxa"/>
              <w:right w:w="54" w:type="dxa"/>
            </w:tcMar>
            <w:vAlign w:val="center"/>
          </w:tcPr>
          <w:p>
            <w:pPr>
              <w:pStyle w:val="12"/>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考核的知识点、技能点</w:t>
            </w:r>
          </w:p>
        </w:tc>
        <w:tc>
          <w:tcPr>
            <w:tcW w:w="3406" w:type="dxa"/>
            <w:tcMar>
              <w:top w:w="0" w:type="dxa"/>
              <w:left w:w="54" w:type="dxa"/>
              <w:bottom w:w="0" w:type="dxa"/>
              <w:right w:w="54" w:type="dxa"/>
            </w:tcMar>
            <w:vAlign w:val="center"/>
          </w:tcPr>
          <w:p>
            <w:pPr>
              <w:pStyle w:val="12"/>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相应得分点</w:t>
            </w:r>
          </w:p>
        </w:tc>
        <w:tc>
          <w:tcPr>
            <w:tcW w:w="722" w:type="dxa"/>
            <w:tcMar>
              <w:top w:w="0" w:type="dxa"/>
              <w:left w:w="54" w:type="dxa"/>
              <w:bottom w:w="0" w:type="dxa"/>
              <w:right w:w="54" w:type="dxa"/>
            </w:tcMar>
            <w:vAlign w:val="center"/>
          </w:tcPr>
          <w:p>
            <w:pPr>
              <w:pStyle w:val="12"/>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15" w:type="dxa"/>
            <w:vMerge w:val="restart"/>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模块一</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区块链</w:t>
            </w:r>
            <w:r>
              <w:rPr>
                <w:rFonts w:hint="eastAsia" w:ascii="仿宋" w:hAnsi="仿宋" w:eastAsia="仿宋" w:cs="仿宋"/>
                <w:color w:val="000000"/>
                <w:sz w:val="21"/>
                <w:szCs w:val="21"/>
                <w:lang w:val="en-US" w:eastAsia="zh-CN"/>
              </w:rPr>
              <w:t>产品方案设计与系统运维</w:t>
            </w:r>
          </w:p>
        </w:tc>
        <w:tc>
          <w:tcPr>
            <w:tcW w:w="1339"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区块链产品需求分析与方案设计</w:t>
            </w:r>
          </w:p>
        </w:tc>
        <w:tc>
          <w:tcPr>
            <w:tcW w:w="2728" w:type="dxa"/>
            <w:tcMar>
              <w:top w:w="0" w:type="dxa"/>
              <w:left w:w="54" w:type="dxa"/>
              <w:bottom w:w="0" w:type="dxa"/>
              <w:right w:w="54" w:type="dxa"/>
            </w:tcMar>
            <w:vAlign w:val="center"/>
          </w:tcPr>
          <w:p>
            <w:pPr>
              <w:pStyle w:val="12"/>
              <w:jc w:val="both"/>
              <w:rPr>
                <w:rFonts w:hint="eastAsia" w:ascii="仿宋" w:hAnsi="仿宋" w:eastAsia="仿宋" w:cs="仿宋"/>
                <w:color w:val="000000"/>
                <w:sz w:val="21"/>
                <w:szCs w:val="21"/>
              </w:rPr>
            </w:pPr>
            <w:r>
              <w:rPr>
                <w:rFonts w:hint="eastAsia" w:ascii="仿宋" w:hAnsi="仿宋" w:eastAsia="仿宋" w:cs="仿宋"/>
                <w:color w:val="000000"/>
                <w:sz w:val="21"/>
                <w:szCs w:val="21"/>
              </w:rPr>
              <w:t>依据给定的项目背景，分析业务需求，编制业务流程图、活动图、类图、时序图、系统结构图、系统架构图等，编写项目概要设计说明书，完成产品原型及软件功能的设计</w:t>
            </w:r>
          </w:p>
        </w:tc>
        <w:tc>
          <w:tcPr>
            <w:tcW w:w="3406" w:type="dxa"/>
            <w:tcMar>
              <w:top w:w="0" w:type="dxa"/>
              <w:left w:w="54" w:type="dxa"/>
              <w:bottom w:w="0" w:type="dxa"/>
              <w:right w:w="54" w:type="dxa"/>
            </w:tcMar>
            <w:vAlign w:val="center"/>
          </w:tcPr>
          <w:p>
            <w:pPr>
              <w:pStyle w:val="12"/>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掌握区块链系统基本设计概念，合理划分角色及业务功能</w:t>
            </w:r>
          </w:p>
          <w:p>
            <w:pPr>
              <w:pStyle w:val="12"/>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文档编制规范，各模型图绘制正确</w:t>
            </w:r>
          </w:p>
          <w:p>
            <w:pPr>
              <w:pStyle w:val="12"/>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模块及功能划分完整、合理</w:t>
            </w:r>
          </w:p>
          <w:p>
            <w:pPr>
              <w:pStyle w:val="12"/>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正确撰写应用系统功能设计文档</w:t>
            </w:r>
          </w:p>
        </w:tc>
        <w:tc>
          <w:tcPr>
            <w:tcW w:w="722"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15" w:type="dxa"/>
            <w:vMerge w:val="continue"/>
            <w:tcMar>
              <w:top w:w="0" w:type="dxa"/>
              <w:left w:w="54" w:type="dxa"/>
              <w:bottom w:w="0" w:type="dxa"/>
              <w:right w:w="54" w:type="dxa"/>
            </w:tcMar>
            <w:vAlign w:val="center"/>
          </w:tcPr>
          <w:p>
            <w:pPr>
              <w:pStyle w:val="12"/>
              <w:jc w:val="center"/>
              <w:rPr>
                <w:rFonts w:hint="eastAsia" w:ascii="仿宋" w:hAnsi="仿宋" w:eastAsia="仿宋" w:cs="仿宋"/>
                <w:color w:val="000000"/>
                <w:sz w:val="21"/>
                <w:szCs w:val="21"/>
              </w:rPr>
            </w:pPr>
          </w:p>
        </w:tc>
        <w:tc>
          <w:tcPr>
            <w:tcW w:w="1339"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区块链系统部署与运维</w:t>
            </w:r>
          </w:p>
        </w:tc>
        <w:tc>
          <w:tcPr>
            <w:tcW w:w="2728" w:type="dxa"/>
            <w:tcMar>
              <w:top w:w="0" w:type="dxa"/>
              <w:left w:w="54" w:type="dxa"/>
              <w:bottom w:w="0" w:type="dxa"/>
              <w:right w:w="54" w:type="dxa"/>
            </w:tcMar>
            <w:vAlign w:val="center"/>
          </w:tcPr>
          <w:p>
            <w:pPr>
              <w:pStyle w:val="12"/>
              <w:jc w:val="both"/>
              <w:rPr>
                <w:rFonts w:hint="eastAsia" w:ascii="仿宋" w:hAnsi="仿宋" w:eastAsia="仿宋" w:cs="仿宋"/>
                <w:color w:val="000000"/>
                <w:sz w:val="21"/>
                <w:szCs w:val="21"/>
              </w:rPr>
            </w:pPr>
            <w:r>
              <w:rPr>
                <w:rFonts w:hint="eastAsia" w:ascii="仿宋" w:hAnsi="仿宋" w:eastAsia="仿宋" w:cs="仿宋"/>
                <w:color w:val="000000"/>
                <w:sz w:val="21"/>
                <w:szCs w:val="21"/>
              </w:rPr>
              <w:t>基于给定的环境和区块链系统，完成区块链系统部署及节点部署。通过监控工具完成对网络、节点服务的监控。根据业务需求规范，完成系统日志、网络参数、节点服务等系统结构的维护</w:t>
            </w:r>
          </w:p>
        </w:tc>
        <w:tc>
          <w:tcPr>
            <w:tcW w:w="3406"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1.按要求正确部署区块链网络,并能验证运行状态</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2.正确安装管理工具及监控工具</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3.正确完成业务</w:t>
            </w:r>
            <w:r>
              <w:rPr>
                <w:rFonts w:hint="eastAsia" w:ascii="仿宋" w:hAnsi="仿宋" w:eastAsia="仿宋" w:cs="仿宋"/>
                <w:color w:val="000000"/>
                <w:sz w:val="21"/>
                <w:szCs w:val="21"/>
                <w:lang w:val="en-US" w:eastAsia="zh-CN"/>
              </w:rPr>
              <w:t>系统数据库的创建和管理</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4搭建的区块链符合业务</w:t>
            </w:r>
            <w:r>
              <w:rPr>
                <w:rFonts w:hint="eastAsia" w:ascii="仿宋" w:hAnsi="仿宋" w:eastAsia="仿宋" w:cs="仿宋"/>
                <w:color w:val="000000"/>
                <w:sz w:val="21"/>
                <w:szCs w:val="21"/>
                <w:lang w:val="en-US" w:eastAsia="zh-CN"/>
              </w:rPr>
              <w:t>需求，按要求进行扩容和网络配置等维护操作</w:t>
            </w:r>
          </w:p>
        </w:tc>
        <w:tc>
          <w:tcPr>
            <w:tcW w:w="722"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15" w:type="dxa"/>
            <w:vMerge w:val="continue"/>
            <w:tcMar>
              <w:top w:w="0" w:type="dxa"/>
              <w:left w:w="54" w:type="dxa"/>
              <w:bottom w:w="0" w:type="dxa"/>
              <w:right w:w="54" w:type="dxa"/>
            </w:tcMar>
            <w:vAlign w:val="center"/>
          </w:tcPr>
          <w:p>
            <w:pPr>
              <w:pStyle w:val="12"/>
              <w:jc w:val="center"/>
              <w:rPr>
                <w:rFonts w:hint="eastAsia" w:ascii="仿宋" w:hAnsi="仿宋" w:eastAsia="仿宋" w:cs="仿宋"/>
                <w:color w:val="000000"/>
                <w:sz w:val="21"/>
                <w:szCs w:val="21"/>
              </w:rPr>
            </w:pPr>
          </w:p>
        </w:tc>
        <w:tc>
          <w:tcPr>
            <w:tcW w:w="1339"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区块链系统测试</w:t>
            </w:r>
          </w:p>
        </w:tc>
        <w:tc>
          <w:tcPr>
            <w:tcW w:w="2728" w:type="dxa"/>
            <w:tcMar>
              <w:top w:w="0" w:type="dxa"/>
              <w:left w:w="54" w:type="dxa"/>
              <w:bottom w:w="0" w:type="dxa"/>
              <w:right w:w="54" w:type="dxa"/>
            </w:tcMar>
            <w:vAlign w:val="center"/>
          </w:tcPr>
          <w:p>
            <w:pPr>
              <w:pStyle w:val="12"/>
              <w:jc w:val="both"/>
              <w:rPr>
                <w:rFonts w:hint="eastAsia" w:ascii="仿宋" w:hAnsi="仿宋" w:eastAsia="仿宋" w:cs="仿宋"/>
                <w:color w:val="000000"/>
                <w:sz w:val="21"/>
                <w:szCs w:val="21"/>
              </w:rPr>
            </w:pPr>
            <w:r>
              <w:rPr>
                <w:rFonts w:hint="eastAsia" w:ascii="仿宋" w:hAnsi="仿宋" w:eastAsia="仿宋" w:cs="仿宋"/>
                <w:color w:val="000000"/>
                <w:sz w:val="21"/>
                <w:szCs w:val="21"/>
              </w:rPr>
              <w:t>设计区块链系统的测试流程，调用智能合约进行单元测试、集成</w:t>
            </w:r>
            <w:r>
              <w:rPr>
                <w:rFonts w:hint="eastAsia" w:ascii="仿宋" w:hAnsi="仿宋" w:eastAsia="仿宋" w:cs="仿宋"/>
                <w:color w:val="000000"/>
                <w:sz w:val="21"/>
                <w:szCs w:val="21"/>
              </w:rPr>
              <w:t>测试、系统测试和性能测试；根据业务需求，分析并修复给定智能合约中的安全漏洞</w:t>
            </w:r>
          </w:p>
        </w:tc>
        <w:tc>
          <w:tcPr>
            <w:tcW w:w="3406"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对测试需求</w:t>
            </w:r>
            <w:r>
              <w:rPr>
                <w:rFonts w:hint="eastAsia" w:ascii="仿宋" w:hAnsi="仿宋" w:eastAsia="仿宋" w:cs="仿宋"/>
                <w:color w:val="000000"/>
                <w:sz w:val="21"/>
                <w:szCs w:val="21"/>
                <w:lang w:val="en-US" w:eastAsia="zh-CN"/>
              </w:rPr>
              <w:t>分析</w:t>
            </w:r>
            <w:r>
              <w:rPr>
                <w:rFonts w:hint="eastAsia" w:ascii="仿宋" w:hAnsi="仿宋" w:eastAsia="仿宋" w:cs="仿宋"/>
                <w:color w:val="000000"/>
                <w:sz w:val="21"/>
                <w:szCs w:val="21"/>
              </w:rPr>
              <w:t>正确，合理设计测试用例</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2.正确对区块链</w:t>
            </w:r>
            <w:r>
              <w:rPr>
                <w:rFonts w:hint="eastAsia" w:ascii="仿宋" w:hAnsi="仿宋" w:eastAsia="仿宋" w:cs="仿宋"/>
                <w:color w:val="000000"/>
                <w:sz w:val="21"/>
                <w:szCs w:val="21"/>
                <w:lang w:val="en-US" w:eastAsia="zh-CN"/>
              </w:rPr>
              <w:t>系统进行防篡改测试、签名测试等</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正确使用</w:t>
            </w:r>
            <w:r>
              <w:rPr>
                <w:rFonts w:hint="eastAsia" w:ascii="仿宋" w:hAnsi="仿宋" w:eastAsia="仿宋" w:cs="仿宋"/>
                <w:color w:val="000000"/>
                <w:sz w:val="21"/>
                <w:szCs w:val="21"/>
                <w:lang w:val="en-US" w:eastAsia="zh-CN"/>
              </w:rPr>
              <w:t>测试</w:t>
            </w:r>
            <w:r>
              <w:rPr>
                <w:rFonts w:hint="eastAsia" w:ascii="仿宋" w:hAnsi="仿宋" w:eastAsia="仿宋" w:cs="仿宋"/>
                <w:color w:val="000000"/>
                <w:sz w:val="21"/>
                <w:szCs w:val="21"/>
              </w:rPr>
              <w:t>工具修复合约中的漏洞</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正确对已</w:t>
            </w:r>
            <w:r>
              <w:rPr>
                <w:rFonts w:hint="eastAsia" w:ascii="仿宋" w:hAnsi="仿宋" w:eastAsia="仿宋" w:cs="仿宋"/>
                <w:color w:val="000000"/>
                <w:sz w:val="21"/>
                <w:szCs w:val="21"/>
                <w:lang w:val="en-US" w:eastAsia="zh-CN"/>
              </w:rPr>
              <w:t>部署</w:t>
            </w:r>
            <w:r>
              <w:rPr>
                <w:rFonts w:hint="eastAsia" w:ascii="仿宋" w:hAnsi="仿宋" w:eastAsia="仿宋" w:cs="仿宋"/>
                <w:color w:val="000000"/>
                <w:sz w:val="21"/>
                <w:szCs w:val="21"/>
              </w:rPr>
              <w:t>的智能合约进行性能测试、系统测试</w:t>
            </w:r>
            <w:r>
              <w:rPr>
                <w:rFonts w:hint="eastAsia" w:ascii="仿宋" w:hAnsi="仿宋" w:eastAsia="仿宋" w:cs="仿宋"/>
                <w:color w:val="000000"/>
                <w:sz w:val="21"/>
                <w:szCs w:val="21"/>
                <w:lang w:val="en-US" w:eastAsia="zh-CN"/>
              </w:rPr>
              <w:t>和</w:t>
            </w:r>
            <w:r>
              <w:rPr>
                <w:rFonts w:hint="eastAsia" w:ascii="仿宋" w:hAnsi="仿宋" w:eastAsia="仿宋" w:cs="仿宋"/>
                <w:color w:val="000000"/>
                <w:sz w:val="21"/>
                <w:szCs w:val="21"/>
              </w:rPr>
              <w:t>执行分析</w:t>
            </w:r>
          </w:p>
        </w:tc>
        <w:tc>
          <w:tcPr>
            <w:tcW w:w="722"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15" w:type="dxa"/>
            <w:vMerge w:val="restart"/>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模块</w:t>
            </w:r>
            <w:r>
              <w:rPr>
                <w:rFonts w:hint="eastAsia" w:ascii="仿宋" w:hAnsi="仿宋" w:eastAsia="仿宋" w:cs="仿宋"/>
                <w:color w:val="000000"/>
                <w:sz w:val="21"/>
                <w:szCs w:val="21"/>
                <w:lang w:val="en-US" w:eastAsia="zh-CN"/>
              </w:rPr>
              <w:t>二</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智能</w:t>
            </w:r>
            <w:r>
              <w:rPr>
                <w:rFonts w:hint="eastAsia" w:ascii="仿宋" w:hAnsi="仿宋" w:eastAsia="仿宋" w:cs="仿宋"/>
                <w:color w:val="000000"/>
                <w:sz w:val="21"/>
                <w:szCs w:val="21"/>
                <w:lang w:val="en-US" w:eastAsia="zh-CN"/>
              </w:rPr>
              <w:t>合约</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开发与</w:t>
            </w:r>
            <w:r>
              <w:rPr>
                <w:rFonts w:hint="eastAsia" w:ascii="仿宋" w:hAnsi="仿宋" w:eastAsia="仿宋" w:cs="仿宋"/>
                <w:color w:val="000000"/>
                <w:sz w:val="21"/>
                <w:szCs w:val="21"/>
                <w:lang w:val="en-US" w:eastAsia="zh-CN"/>
              </w:rPr>
              <w:t>测试</w:t>
            </w:r>
          </w:p>
        </w:tc>
        <w:tc>
          <w:tcPr>
            <w:tcW w:w="133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智能</w:t>
            </w:r>
            <w:r>
              <w:rPr>
                <w:rFonts w:hint="eastAsia" w:ascii="仿宋" w:hAnsi="仿宋" w:eastAsia="仿宋" w:cs="仿宋"/>
                <w:color w:val="000000"/>
                <w:sz w:val="21"/>
                <w:szCs w:val="21"/>
                <w:lang w:val="en-US" w:eastAsia="zh-CN"/>
              </w:rPr>
              <w:t>合约</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设计</w:t>
            </w:r>
          </w:p>
        </w:tc>
        <w:tc>
          <w:tcPr>
            <w:tcW w:w="2728" w:type="dxa"/>
            <w:tcMar>
              <w:top w:w="0" w:type="dxa"/>
              <w:left w:w="54" w:type="dxa"/>
              <w:bottom w:w="0" w:type="dxa"/>
              <w:right w:w="54" w:type="dxa"/>
            </w:tcMar>
            <w:vAlign w:val="center"/>
          </w:tcPr>
          <w:p>
            <w:pPr>
              <w:pStyle w:val="12"/>
              <w:jc w:val="both"/>
              <w:rPr>
                <w:rFonts w:hint="eastAsia" w:ascii="仿宋" w:hAnsi="仿宋" w:eastAsia="仿宋" w:cs="仿宋"/>
                <w:color w:val="000000"/>
                <w:sz w:val="21"/>
                <w:szCs w:val="21"/>
              </w:rPr>
            </w:pPr>
            <w:r>
              <w:rPr>
                <w:rFonts w:hint="eastAsia" w:ascii="仿宋" w:hAnsi="仿宋" w:eastAsia="仿宋" w:cs="仿宋"/>
                <w:color w:val="000000"/>
                <w:sz w:val="21"/>
                <w:szCs w:val="21"/>
              </w:rPr>
              <w:t>根据区块链业务需求，编写功能需求文档和智能合约设计文档</w:t>
            </w:r>
          </w:p>
        </w:tc>
        <w:tc>
          <w:tcPr>
            <w:tcW w:w="3406"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1.合约模块</w:t>
            </w:r>
            <w:r>
              <w:rPr>
                <w:rFonts w:hint="eastAsia" w:ascii="仿宋" w:hAnsi="仿宋" w:eastAsia="仿宋" w:cs="仿宋"/>
                <w:color w:val="000000"/>
                <w:sz w:val="21"/>
                <w:szCs w:val="21"/>
                <w:lang w:val="en-US" w:eastAsia="zh-CN"/>
              </w:rPr>
              <w:t>划分合理</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2.合约能完整描述业务对象，正确表达业务对象、实体等</w:t>
            </w:r>
            <w:r>
              <w:rPr>
                <w:rFonts w:hint="eastAsia" w:ascii="仿宋" w:hAnsi="仿宋" w:eastAsia="仿宋" w:cs="仿宋"/>
                <w:color w:val="000000"/>
                <w:sz w:val="21"/>
                <w:szCs w:val="21"/>
                <w:lang w:val="en-US" w:eastAsia="zh-CN"/>
              </w:rPr>
              <w:t>之间的关系</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3.正确编写</w:t>
            </w:r>
            <w:r>
              <w:rPr>
                <w:rFonts w:hint="eastAsia" w:ascii="仿宋" w:hAnsi="仿宋" w:eastAsia="仿宋" w:cs="仿宋"/>
                <w:color w:val="000000"/>
                <w:sz w:val="21"/>
                <w:szCs w:val="21"/>
                <w:lang w:val="en-US" w:eastAsia="zh-CN"/>
              </w:rPr>
              <w:t>智能合约</w:t>
            </w:r>
            <w:r>
              <w:rPr>
                <w:rFonts w:hint="eastAsia" w:ascii="仿宋" w:hAnsi="仿宋" w:eastAsia="仿宋" w:cs="仿宋"/>
                <w:color w:val="000000"/>
                <w:sz w:val="21"/>
                <w:szCs w:val="21"/>
                <w:lang w:val="en-US" w:eastAsia="zh-CN"/>
              </w:rPr>
              <w:t>设计文档</w:t>
            </w:r>
          </w:p>
        </w:tc>
        <w:tc>
          <w:tcPr>
            <w:tcW w:w="722"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15" w:type="dxa"/>
            <w:vMerge w:val="continue"/>
            <w:tcMar>
              <w:top w:w="0" w:type="dxa"/>
              <w:left w:w="54" w:type="dxa"/>
              <w:bottom w:w="0" w:type="dxa"/>
              <w:right w:w="54" w:type="dxa"/>
            </w:tcMar>
            <w:vAlign w:val="center"/>
          </w:tcPr>
          <w:p>
            <w:pPr>
              <w:pStyle w:val="12"/>
              <w:jc w:val="center"/>
              <w:rPr>
                <w:rFonts w:hint="eastAsia" w:ascii="仿宋" w:hAnsi="仿宋" w:eastAsia="仿宋" w:cs="仿宋"/>
                <w:color w:val="000000"/>
                <w:sz w:val="21"/>
                <w:szCs w:val="21"/>
              </w:rPr>
            </w:pPr>
          </w:p>
        </w:tc>
        <w:tc>
          <w:tcPr>
            <w:tcW w:w="133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智能</w:t>
            </w:r>
            <w:r>
              <w:rPr>
                <w:rFonts w:hint="eastAsia" w:ascii="仿宋" w:hAnsi="仿宋" w:eastAsia="仿宋" w:cs="仿宋"/>
                <w:color w:val="000000"/>
                <w:sz w:val="21"/>
                <w:szCs w:val="21"/>
                <w:lang w:val="en-US" w:eastAsia="zh-CN"/>
              </w:rPr>
              <w:t>合约</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开发</w:t>
            </w:r>
          </w:p>
        </w:tc>
        <w:tc>
          <w:tcPr>
            <w:tcW w:w="2728" w:type="dxa"/>
            <w:tcMar>
              <w:top w:w="0" w:type="dxa"/>
              <w:left w:w="54" w:type="dxa"/>
              <w:bottom w:w="0" w:type="dxa"/>
              <w:right w:w="54" w:type="dxa"/>
            </w:tcMar>
            <w:vAlign w:val="center"/>
          </w:tcPr>
          <w:p>
            <w:pPr>
              <w:pStyle w:val="12"/>
              <w:jc w:val="both"/>
              <w:rPr>
                <w:rFonts w:hint="eastAsia" w:ascii="仿宋" w:hAnsi="仿宋" w:eastAsia="仿宋" w:cs="仿宋"/>
                <w:color w:val="000000"/>
                <w:sz w:val="21"/>
                <w:szCs w:val="21"/>
              </w:rPr>
            </w:pPr>
            <w:r>
              <w:rPr>
                <w:rFonts w:hint="eastAsia" w:ascii="仿宋" w:hAnsi="仿宋" w:eastAsia="仿宋" w:cs="仿宋"/>
                <w:color w:val="000000"/>
                <w:sz w:val="21"/>
                <w:szCs w:val="21"/>
              </w:rPr>
              <w:t>使用Solidity语言进行智能合约开发，完成智能合约部署和调用</w:t>
            </w:r>
          </w:p>
        </w:tc>
        <w:tc>
          <w:tcPr>
            <w:tcW w:w="3406"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1.合约编写功能覆盖全面、逻辑正确</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2.正确部署</w:t>
            </w:r>
            <w:r>
              <w:rPr>
                <w:rFonts w:hint="eastAsia" w:ascii="仿宋" w:hAnsi="仿宋" w:eastAsia="仿宋" w:cs="仿宋"/>
                <w:color w:val="000000"/>
                <w:sz w:val="21"/>
                <w:szCs w:val="21"/>
                <w:lang w:val="en-US" w:eastAsia="zh-CN"/>
              </w:rPr>
              <w:t>和调用合约</w:t>
            </w:r>
          </w:p>
        </w:tc>
        <w:tc>
          <w:tcPr>
            <w:tcW w:w="722"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15" w:type="dxa"/>
            <w:vMerge w:val="continue"/>
            <w:tcMar>
              <w:top w:w="0" w:type="dxa"/>
              <w:left w:w="54" w:type="dxa"/>
              <w:bottom w:w="0" w:type="dxa"/>
              <w:right w:w="54" w:type="dxa"/>
            </w:tcMar>
            <w:vAlign w:val="center"/>
          </w:tcPr>
          <w:p>
            <w:pPr>
              <w:pStyle w:val="12"/>
              <w:jc w:val="center"/>
              <w:rPr>
                <w:rFonts w:hint="eastAsia" w:ascii="仿宋" w:hAnsi="仿宋" w:eastAsia="仿宋" w:cs="仿宋"/>
                <w:color w:val="000000"/>
                <w:sz w:val="21"/>
                <w:szCs w:val="21"/>
              </w:rPr>
            </w:pPr>
          </w:p>
        </w:tc>
        <w:tc>
          <w:tcPr>
            <w:tcW w:w="133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智能</w:t>
            </w:r>
            <w:r>
              <w:rPr>
                <w:rFonts w:hint="eastAsia" w:ascii="仿宋" w:hAnsi="仿宋" w:eastAsia="仿宋" w:cs="仿宋"/>
                <w:color w:val="000000"/>
                <w:sz w:val="21"/>
                <w:szCs w:val="21"/>
                <w:lang w:val="en-US" w:eastAsia="zh-CN"/>
              </w:rPr>
              <w:t>合约</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测试</w:t>
            </w:r>
          </w:p>
        </w:tc>
        <w:tc>
          <w:tcPr>
            <w:tcW w:w="2728" w:type="dxa"/>
            <w:tcMar>
              <w:top w:w="0" w:type="dxa"/>
              <w:left w:w="54" w:type="dxa"/>
              <w:bottom w:w="0" w:type="dxa"/>
              <w:right w:w="54" w:type="dxa"/>
            </w:tcMar>
            <w:vAlign w:val="center"/>
          </w:tcPr>
          <w:p>
            <w:pPr>
              <w:pStyle w:val="12"/>
              <w:jc w:val="both"/>
              <w:rPr>
                <w:rFonts w:hint="eastAsia" w:ascii="仿宋" w:hAnsi="仿宋" w:eastAsia="仿宋" w:cs="仿宋"/>
                <w:color w:val="000000"/>
                <w:sz w:val="21"/>
                <w:szCs w:val="21"/>
              </w:rPr>
            </w:pPr>
            <w:r>
              <w:rPr>
                <w:rFonts w:hint="eastAsia" w:ascii="仿宋" w:hAnsi="仿宋" w:eastAsia="仿宋" w:cs="仿宋"/>
                <w:color w:val="000000"/>
                <w:sz w:val="21"/>
                <w:szCs w:val="21"/>
              </w:rPr>
              <w:t>编写智能合约单元测试代码并完成合约功能测试、性能测试</w:t>
            </w:r>
          </w:p>
        </w:tc>
        <w:tc>
          <w:tcPr>
            <w:tcW w:w="3406"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1.对已有合约正确构建单元测试</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2.正常</w:t>
            </w:r>
            <w:r>
              <w:rPr>
                <w:rFonts w:hint="eastAsia" w:ascii="仿宋" w:hAnsi="仿宋" w:eastAsia="仿宋" w:cs="仿宋"/>
                <w:color w:val="000000"/>
                <w:sz w:val="21"/>
                <w:szCs w:val="21"/>
                <w:lang w:val="en-US" w:eastAsia="zh-CN"/>
              </w:rPr>
              <w:t>使用工具完成合约功能及性能测试</w:t>
            </w:r>
          </w:p>
        </w:tc>
        <w:tc>
          <w:tcPr>
            <w:tcW w:w="722"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15" w:type="dxa"/>
            <w:vMerge w:val="restart"/>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模块三</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区块</w:t>
            </w:r>
            <w:r>
              <w:rPr>
                <w:rFonts w:hint="eastAsia" w:ascii="仿宋" w:hAnsi="仿宋" w:eastAsia="仿宋" w:cs="仿宋"/>
                <w:color w:val="000000"/>
                <w:sz w:val="21"/>
                <w:szCs w:val="21"/>
                <w:lang w:val="en-US" w:eastAsia="zh-CN"/>
              </w:rPr>
              <w:t>链应用系统开发</w:t>
            </w:r>
          </w:p>
        </w:tc>
        <w:tc>
          <w:tcPr>
            <w:tcW w:w="1339"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区块链应用前端开发</w:t>
            </w:r>
          </w:p>
        </w:tc>
        <w:tc>
          <w:tcPr>
            <w:tcW w:w="2728" w:type="dxa"/>
            <w:tcMar>
              <w:top w:w="0" w:type="dxa"/>
              <w:left w:w="54" w:type="dxa"/>
              <w:bottom w:w="0" w:type="dxa"/>
              <w:right w:w="54" w:type="dxa"/>
            </w:tcMar>
            <w:vAlign w:val="center"/>
          </w:tcPr>
          <w:p>
            <w:pPr>
              <w:pStyle w:val="12"/>
              <w:jc w:val="both"/>
              <w:rPr>
                <w:rFonts w:hint="eastAsia" w:ascii="仿宋" w:hAnsi="仿宋" w:eastAsia="仿宋" w:cs="仿宋"/>
                <w:color w:val="000000"/>
                <w:sz w:val="21"/>
                <w:szCs w:val="21"/>
              </w:rPr>
            </w:pPr>
            <w:r>
              <w:rPr>
                <w:rFonts w:hint="eastAsia" w:ascii="仿宋" w:hAnsi="仿宋" w:eastAsia="仿宋" w:cs="仿宋"/>
                <w:color w:val="000000"/>
                <w:sz w:val="21"/>
                <w:szCs w:val="21"/>
              </w:rPr>
              <w:t>根据业务需求，使用前端开发框架完成页面设计，使用已提供的服务端接口获取业务数据，并进行部署展示</w:t>
            </w:r>
          </w:p>
        </w:tc>
        <w:tc>
          <w:tcPr>
            <w:tcW w:w="3406"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1.正确编写前端代码，完成服务端接口调用</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2.正确</w:t>
            </w:r>
            <w:r>
              <w:rPr>
                <w:rFonts w:hint="eastAsia" w:ascii="仿宋" w:hAnsi="仿宋" w:eastAsia="仿宋" w:cs="仿宋"/>
                <w:color w:val="000000"/>
                <w:sz w:val="21"/>
                <w:szCs w:val="21"/>
                <w:lang w:val="en-US" w:eastAsia="zh-CN"/>
              </w:rPr>
              <w:t>完成前端数据展示及页面逻辑</w:t>
            </w:r>
          </w:p>
        </w:tc>
        <w:tc>
          <w:tcPr>
            <w:tcW w:w="722"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15" w:type="dxa"/>
            <w:vMerge w:val="continue"/>
            <w:tcMar>
              <w:top w:w="0" w:type="dxa"/>
              <w:left w:w="54" w:type="dxa"/>
              <w:bottom w:w="0" w:type="dxa"/>
              <w:right w:w="54" w:type="dxa"/>
            </w:tcMar>
            <w:vAlign w:val="center"/>
          </w:tcPr>
          <w:p>
            <w:pPr>
              <w:pStyle w:val="12"/>
              <w:jc w:val="center"/>
              <w:rPr>
                <w:rFonts w:hint="eastAsia" w:ascii="仿宋" w:hAnsi="仿宋" w:eastAsia="仿宋" w:cs="仿宋"/>
                <w:color w:val="000000"/>
                <w:sz w:val="21"/>
                <w:szCs w:val="21"/>
              </w:rPr>
            </w:pPr>
          </w:p>
        </w:tc>
        <w:tc>
          <w:tcPr>
            <w:tcW w:w="1339"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区块链应用后端开发</w:t>
            </w:r>
          </w:p>
        </w:tc>
        <w:tc>
          <w:tcPr>
            <w:tcW w:w="2728" w:type="dxa"/>
            <w:tcMar>
              <w:top w:w="0" w:type="dxa"/>
              <w:left w:w="54" w:type="dxa"/>
              <w:bottom w:w="0" w:type="dxa"/>
              <w:right w:w="54" w:type="dxa"/>
            </w:tcMar>
            <w:vAlign w:val="center"/>
          </w:tcPr>
          <w:p>
            <w:pPr>
              <w:pStyle w:val="12"/>
              <w:jc w:val="both"/>
              <w:rPr>
                <w:rFonts w:hint="eastAsia" w:ascii="仿宋" w:hAnsi="仿宋" w:eastAsia="仿宋" w:cs="仿宋"/>
                <w:color w:val="000000"/>
                <w:sz w:val="21"/>
                <w:szCs w:val="21"/>
              </w:rPr>
            </w:pPr>
            <w:r>
              <w:rPr>
                <w:rFonts w:hint="eastAsia" w:ascii="仿宋" w:hAnsi="仿宋" w:eastAsia="仿宋" w:cs="仿宋"/>
                <w:color w:val="000000"/>
                <w:sz w:val="21"/>
                <w:szCs w:val="21"/>
              </w:rPr>
              <w:t>依据功能需求，使用后端开发语言及常用框架进行后端代码开发，访问数据库、实现应用程序接口、调用智能合约，完善区块链应用系统，完成后端代码的部署</w:t>
            </w:r>
          </w:p>
        </w:tc>
        <w:tc>
          <w:tcPr>
            <w:tcW w:w="3406"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1.正确使用后端开发语言和框架，完成</w:t>
            </w:r>
            <w:r>
              <w:rPr>
                <w:rFonts w:hint="eastAsia" w:ascii="仿宋" w:hAnsi="仿宋" w:eastAsia="仿宋" w:cs="仿宋"/>
                <w:color w:val="000000"/>
                <w:sz w:val="21"/>
                <w:szCs w:val="21"/>
                <w:lang w:val="en-US" w:eastAsia="zh-CN"/>
              </w:rPr>
              <w:t>数据库调用等功能，实现应用程序接口</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2.正确</w:t>
            </w:r>
            <w:r>
              <w:rPr>
                <w:rFonts w:hint="eastAsia" w:ascii="仿宋" w:hAnsi="仿宋" w:eastAsia="仿宋" w:cs="仿宋"/>
                <w:color w:val="000000"/>
                <w:sz w:val="21"/>
                <w:szCs w:val="21"/>
                <w:lang w:val="en-US" w:eastAsia="zh-CN"/>
              </w:rPr>
              <w:t>编写后端接口程序，调用智能合约，实现链上信息的查询和结果展示</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3.正确编写后端接口程序，进行区块链应用</w:t>
            </w:r>
            <w:r>
              <w:rPr>
                <w:rFonts w:hint="eastAsia" w:ascii="仿宋" w:hAnsi="仿宋" w:eastAsia="仿宋" w:cs="仿宋"/>
                <w:color w:val="000000"/>
                <w:sz w:val="21"/>
                <w:szCs w:val="21"/>
                <w:lang w:val="en-US" w:eastAsia="zh-CN"/>
              </w:rPr>
              <w:t>操作</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正确</w:t>
            </w:r>
            <w:r>
              <w:rPr>
                <w:rFonts w:hint="eastAsia" w:ascii="仿宋" w:hAnsi="仿宋" w:eastAsia="仿宋" w:cs="仿宋"/>
                <w:color w:val="000000"/>
                <w:sz w:val="21"/>
                <w:szCs w:val="21"/>
                <w:lang w:val="en-US" w:eastAsia="zh-CN"/>
              </w:rPr>
              <w:t>部署</w:t>
            </w:r>
            <w:r>
              <w:rPr>
                <w:rFonts w:hint="eastAsia" w:ascii="仿宋" w:hAnsi="仿宋" w:eastAsia="仿宋" w:cs="仿宋"/>
                <w:color w:val="000000"/>
                <w:sz w:val="21"/>
                <w:szCs w:val="21"/>
              </w:rPr>
              <w:t>后端程序</w:t>
            </w:r>
          </w:p>
        </w:tc>
        <w:tc>
          <w:tcPr>
            <w:tcW w:w="722"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654" w:type="dxa"/>
            <w:gridSpan w:val="2"/>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职业素养</w:t>
            </w:r>
          </w:p>
        </w:tc>
        <w:tc>
          <w:tcPr>
            <w:tcW w:w="2728" w:type="dxa"/>
            <w:tcMar>
              <w:top w:w="0" w:type="dxa"/>
              <w:left w:w="54" w:type="dxa"/>
              <w:bottom w:w="0" w:type="dxa"/>
              <w:right w:w="54" w:type="dxa"/>
            </w:tcMar>
            <w:vAlign w:val="center"/>
          </w:tcPr>
          <w:p>
            <w:pPr>
              <w:pStyle w:val="12"/>
              <w:jc w:val="both"/>
              <w:rPr>
                <w:rFonts w:hint="eastAsia" w:ascii="仿宋" w:hAnsi="仿宋" w:eastAsia="仿宋" w:cs="仿宋"/>
                <w:color w:val="000000"/>
                <w:sz w:val="21"/>
                <w:szCs w:val="21"/>
              </w:rPr>
            </w:pPr>
            <w:r>
              <w:rPr>
                <w:rFonts w:hint="eastAsia" w:ascii="仿宋" w:hAnsi="仿宋" w:eastAsia="仿宋" w:cs="仿宋"/>
                <w:color w:val="000000"/>
                <w:sz w:val="21"/>
                <w:szCs w:val="21"/>
              </w:rPr>
              <w:t>文档写作科学规范，具有团队合作精神和创新意识，比赛操作严谨，代码编写规范，文明竞赛</w:t>
            </w:r>
          </w:p>
        </w:tc>
        <w:tc>
          <w:tcPr>
            <w:tcW w:w="3406"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1.分工</w:t>
            </w:r>
            <w:r>
              <w:rPr>
                <w:rFonts w:hint="eastAsia" w:ascii="仿宋" w:hAnsi="仿宋" w:eastAsia="仿宋" w:cs="仿宋"/>
                <w:color w:val="000000"/>
                <w:sz w:val="21"/>
                <w:szCs w:val="21"/>
                <w:lang w:val="en-US" w:eastAsia="zh-CN"/>
              </w:rPr>
              <w:t>合理</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2.操作</w:t>
            </w:r>
            <w:r>
              <w:rPr>
                <w:rFonts w:hint="eastAsia" w:ascii="仿宋" w:hAnsi="仿宋" w:eastAsia="仿宋" w:cs="仿宋"/>
                <w:color w:val="000000"/>
                <w:sz w:val="21"/>
                <w:szCs w:val="21"/>
                <w:lang w:val="en-US" w:eastAsia="zh-CN"/>
              </w:rPr>
              <w:t>规范</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left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3.文明</w:t>
            </w:r>
            <w:r>
              <w:rPr>
                <w:rFonts w:hint="eastAsia" w:ascii="仿宋" w:hAnsi="仿宋" w:eastAsia="仿宋" w:cs="仿宋"/>
                <w:color w:val="000000"/>
                <w:sz w:val="21"/>
                <w:szCs w:val="21"/>
                <w:lang w:val="en-US" w:eastAsia="zh-CN"/>
              </w:rPr>
              <w:t>竞赛</w:t>
            </w:r>
          </w:p>
        </w:tc>
        <w:tc>
          <w:tcPr>
            <w:tcW w:w="722" w:type="dxa"/>
            <w:tcMar>
              <w:top w:w="0" w:type="dxa"/>
              <w:left w:w="54" w:type="dxa"/>
              <w:bottom w:w="0" w:type="dxa"/>
              <w:right w:w="54" w:type="dxa"/>
            </w:tcMar>
            <w:vAlign w:val="center"/>
          </w:tcPr>
          <w:p>
            <w:pPr>
              <w:pStyle w:val="12"/>
              <w:jc w:val="center"/>
              <w:rPr>
                <w:rFonts w:hint="eastAsia" w:ascii="仿宋" w:hAnsi="仿宋" w:eastAsia="仿宋" w:cs="仿宋"/>
                <w:sz w:val="21"/>
                <w:szCs w:val="21"/>
              </w:rPr>
            </w:pPr>
            <w:r>
              <w:rPr>
                <w:rFonts w:hint="eastAsia" w:ascii="仿宋" w:hAnsi="仿宋" w:eastAsia="仿宋" w:cs="仿宋"/>
                <w:color w:val="000000"/>
                <w:sz w:val="21"/>
                <w:szCs w:val="21"/>
              </w:rPr>
              <w:t>5</w:t>
            </w:r>
          </w:p>
        </w:tc>
      </w:tr>
    </w:tbl>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七、竞赛方式</w:t>
      </w:r>
    </w:p>
    <w:p>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1.竞赛模式：封闭式竞赛。</w:t>
      </w:r>
    </w:p>
    <w:p>
      <w:pPr>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2.竞赛队伍组成：本赛项为团体赛。每个学校参赛不超过</w:t>
      </w:r>
      <w:r>
        <w:rPr>
          <w:rFonts w:ascii="仿宋_GB2312" w:hAnsi="仿宋" w:eastAsia="仿宋_GB2312"/>
          <w:sz w:val="30"/>
          <w:szCs w:val="30"/>
        </w:rPr>
        <w:t>1</w:t>
      </w:r>
      <w:r>
        <w:rPr>
          <w:rFonts w:hint="eastAsia" w:ascii="仿宋_GB2312" w:hAnsi="仿宋" w:eastAsia="仿宋_GB2312"/>
          <w:sz w:val="30"/>
          <w:szCs w:val="30"/>
        </w:rPr>
        <w:t>队，且不允许跨校组队。每参赛队由</w:t>
      </w:r>
      <w:r>
        <w:rPr>
          <w:rFonts w:ascii="仿宋_GB2312" w:hAnsi="仿宋" w:eastAsia="仿宋_GB2312"/>
          <w:sz w:val="30"/>
          <w:szCs w:val="30"/>
        </w:rPr>
        <w:t>2</w:t>
      </w:r>
      <w:r>
        <w:rPr>
          <w:rFonts w:hint="eastAsia" w:ascii="仿宋_GB2312" w:hAnsi="仿宋" w:eastAsia="仿宋_GB2312"/>
          <w:sz w:val="30"/>
          <w:szCs w:val="30"/>
        </w:rPr>
        <w:t>名选手组成，其中队长1名，配备指导教师不超过2人。</w:t>
      </w:r>
    </w:p>
    <w:p>
      <w:pPr>
        <w:snapToGrid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.凡开设有赛项相关专业的高等职业院校和本科院校的高职学生均可报名参加高职组比赛，参赛选手必须是20</w:t>
      </w:r>
      <w:r>
        <w:rPr>
          <w:rFonts w:hint="eastAsia" w:ascii="仿宋_GB2312" w:hAnsi="仿宋" w:eastAsia="仿宋_GB2312"/>
          <w:sz w:val="30"/>
          <w:szCs w:val="30"/>
        </w:rPr>
        <w:t>23</w:t>
      </w:r>
      <w:r>
        <w:rPr>
          <w:rFonts w:ascii="仿宋_GB2312" w:hAnsi="仿宋" w:eastAsia="仿宋_GB2312"/>
          <w:sz w:val="30"/>
          <w:szCs w:val="30"/>
        </w:rPr>
        <w:t>年在籍全日制高职学生</w:t>
      </w:r>
      <w:r>
        <w:rPr>
          <w:rFonts w:hint="eastAsia" w:ascii="仿宋_GB2312" w:hAnsi="仿宋" w:eastAsia="仿宋_GB2312"/>
          <w:sz w:val="30"/>
          <w:szCs w:val="30"/>
        </w:rPr>
        <w:t>；</w:t>
      </w:r>
      <w:r>
        <w:rPr>
          <w:rFonts w:ascii="仿宋_GB2312" w:hAnsi="仿宋" w:eastAsia="仿宋_GB2312"/>
          <w:sz w:val="30"/>
          <w:szCs w:val="30"/>
        </w:rPr>
        <w:t>指导老师和学生须为同校在籍。往届获得</w:t>
      </w:r>
      <w:r>
        <w:rPr>
          <w:rFonts w:hint="eastAsia" w:ascii="仿宋_GB2312" w:hAnsi="仿宋" w:eastAsia="仿宋_GB2312"/>
          <w:sz w:val="30"/>
          <w:szCs w:val="30"/>
        </w:rPr>
        <w:t>国</w:t>
      </w:r>
      <w:r>
        <w:rPr>
          <w:rFonts w:ascii="仿宋_GB2312" w:hAnsi="仿宋" w:eastAsia="仿宋_GB2312"/>
          <w:sz w:val="30"/>
          <w:szCs w:val="30"/>
        </w:rPr>
        <w:t>赛</w:t>
      </w:r>
      <w:r>
        <w:rPr>
          <w:rFonts w:hint="eastAsia" w:ascii="仿宋_GB2312" w:hAnsi="仿宋" w:eastAsia="仿宋_GB2312"/>
          <w:sz w:val="30"/>
          <w:szCs w:val="30"/>
        </w:rPr>
        <w:t>一</w:t>
      </w:r>
      <w:r>
        <w:rPr>
          <w:rFonts w:ascii="仿宋_GB2312" w:hAnsi="仿宋" w:eastAsia="仿宋_GB2312"/>
          <w:sz w:val="30"/>
          <w:szCs w:val="30"/>
        </w:rPr>
        <w:t>等奖及以上的选手，不能再参加同一项目同一组别的比赛。</w:t>
      </w:r>
    </w:p>
    <w:p>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4.本赛项竞赛过程中不安排指导教师进场指导。</w:t>
      </w:r>
    </w:p>
    <w:p>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5.统一编制赛位号，参赛队须比赛前4</w:t>
      </w:r>
      <w:r>
        <w:rPr>
          <w:rFonts w:ascii="仿宋_GB2312" w:hAnsi="仿宋" w:eastAsia="仿宋_GB2312"/>
          <w:sz w:val="30"/>
          <w:szCs w:val="30"/>
        </w:rPr>
        <w:t>0</w:t>
      </w:r>
      <w:r>
        <w:rPr>
          <w:rFonts w:hint="eastAsia" w:ascii="仿宋_GB2312" w:hAnsi="仿宋" w:eastAsia="仿宋_GB2312"/>
          <w:sz w:val="30"/>
          <w:szCs w:val="30"/>
        </w:rPr>
        <w:t>分钟到赛项指定地点接受检录，抽取顺序号，进场抽签决定赛位号，抽签结束后，随即按照抽取的赛位号进场，然后在对应的赛位上完成竞赛规定的竞赛任务。</w:t>
      </w:r>
    </w:p>
    <w:p>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6.本赛项采取团体比赛形式，竞赛时间为</w:t>
      </w:r>
      <w:r>
        <w:rPr>
          <w:rFonts w:ascii="仿宋_GB2312" w:hAnsi="仿宋" w:eastAsia="仿宋_GB2312"/>
          <w:sz w:val="30"/>
          <w:szCs w:val="30"/>
        </w:rPr>
        <w:t>6.5</w:t>
      </w:r>
      <w:r>
        <w:rPr>
          <w:rFonts w:hint="eastAsia" w:ascii="仿宋_GB2312" w:hAnsi="仿宋" w:eastAsia="仿宋_GB2312"/>
          <w:sz w:val="30"/>
          <w:szCs w:val="30"/>
        </w:rPr>
        <w:t>个小时，竞赛连续进行，时间为8</w:t>
      </w:r>
      <w:r>
        <w:rPr>
          <w:rFonts w:ascii="仿宋_GB2312" w:hAnsi="仿宋" w:eastAsia="仿宋_GB2312"/>
          <w:sz w:val="30"/>
          <w:szCs w:val="30"/>
        </w:rPr>
        <w:t>:30</w:t>
      </w:r>
      <w:r>
        <w:rPr>
          <w:rFonts w:hint="eastAsia" w:ascii="仿宋_GB2312" w:hAnsi="仿宋" w:eastAsia="仿宋_GB2312"/>
          <w:sz w:val="30"/>
          <w:szCs w:val="30"/>
        </w:rPr>
        <w:t>～</w:t>
      </w:r>
      <w:r>
        <w:rPr>
          <w:rFonts w:ascii="仿宋_GB2312" w:hAnsi="仿宋" w:eastAsia="仿宋_GB2312"/>
          <w:sz w:val="30"/>
          <w:szCs w:val="30"/>
        </w:rPr>
        <w:t>16:</w:t>
      </w:r>
      <w:r>
        <w:rPr>
          <w:rFonts w:hint="eastAsia" w:ascii="仿宋_GB2312" w:hAnsi="仿宋" w:eastAsia="仿宋_GB2312"/>
          <w:sz w:val="30"/>
          <w:szCs w:val="30"/>
        </w:rPr>
        <w:t>0</w:t>
      </w:r>
      <w:r>
        <w:rPr>
          <w:rFonts w:ascii="仿宋_GB2312" w:hAnsi="仿宋" w:eastAsia="仿宋_GB2312"/>
          <w:sz w:val="30"/>
          <w:szCs w:val="30"/>
        </w:rPr>
        <w:t>0</w:t>
      </w:r>
      <w:r>
        <w:rPr>
          <w:rFonts w:hint="eastAsia" w:ascii="仿宋_GB2312" w:hAnsi="仿宋" w:eastAsia="仿宋_GB2312" w:cs="宋体"/>
          <w:bCs/>
          <w:kern w:val="0"/>
          <w:sz w:val="28"/>
          <w:szCs w:val="28"/>
        </w:rPr>
        <w:t>。</w:t>
      </w:r>
      <w:r>
        <w:rPr>
          <w:rFonts w:hint="eastAsia" w:ascii="仿宋_GB2312" w:hAnsi="仿宋" w:eastAsia="仿宋_GB2312"/>
          <w:sz w:val="30"/>
          <w:szCs w:val="30"/>
        </w:rPr>
        <w:t>选手比赛开始前5分钟进场完毕，选手检查所在比赛台位上的仪器设备是否完好、领取比赛任务书等材料。比赛结束后各参赛队停止操作，各参赛队将成果文件拷贝至U盘。比赛总成绩满分100分。</w:t>
      </w:r>
    </w:p>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八、竞赛规则</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（一）报名资格及参赛队伍要求</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.参赛队及参赛选手资格：见参赛资格。</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.组队要求：本赛项为团体赛，每个学校仅限</w:t>
      </w:r>
      <w:r>
        <w:rPr>
          <w:rFonts w:ascii="仿宋_GB2312" w:hAnsi="仿宋" w:eastAsia="仿宋_GB2312"/>
          <w:sz w:val="30"/>
          <w:szCs w:val="30"/>
        </w:rPr>
        <w:t>1</w:t>
      </w:r>
      <w:r>
        <w:rPr>
          <w:rFonts w:hint="eastAsia" w:ascii="仿宋_GB2312" w:hAnsi="仿宋" w:eastAsia="仿宋_GB2312"/>
          <w:sz w:val="30"/>
          <w:szCs w:val="30"/>
        </w:rPr>
        <w:t>队，且不允许跨校组队。</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人员变更：参赛选手和指导教师报名获得确认后不得随意更换。选手因特殊原因不能参加比赛时，则视为自动放弃竞赛；竞赛开始后，参赛队不得更换参赛选手，若有参赛队员缺席，不得补充参赛选手。</w:t>
      </w:r>
    </w:p>
    <w:p>
      <w:pPr>
        <w:spacing w:line="560" w:lineRule="exact"/>
        <w:ind w:firstLine="600" w:firstLineChars="200"/>
        <w:rPr>
          <w:rFonts w:ascii="仿宋_GB2312" w:hAnsi="仿宋" w:eastAsia="仿宋_GB2312"/>
          <w:sz w:val="30"/>
          <w:szCs w:val="30"/>
        </w:rPr>
      </w:pPr>
      <w:r>
        <w:rPr>
          <w:rFonts w:hint="eastAsia" w:ascii="楷体_GB2312" w:hAnsi="仿宋" w:eastAsia="楷体_GB2312" w:cstheme="minorBidi"/>
          <w:sz w:val="30"/>
          <w:szCs w:val="30"/>
        </w:rPr>
        <w:t>（二）赛题</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本赛项的赛题，由竞赛技术组研究确定竞赛用题的形式与难度，比赛相关技术资料在赛前植入竞赛组委会统一发放的</w:t>
      </w:r>
      <w:r>
        <w:rPr>
          <w:rFonts w:ascii="仿宋_GB2312" w:hAnsi="仿宋" w:eastAsia="仿宋_GB2312"/>
          <w:sz w:val="30"/>
          <w:szCs w:val="30"/>
        </w:rPr>
        <w:t>U</w:t>
      </w:r>
      <w:r>
        <w:rPr>
          <w:rFonts w:hint="eastAsia" w:ascii="仿宋_GB2312" w:hAnsi="仿宋" w:eastAsia="仿宋_GB2312"/>
          <w:sz w:val="30"/>
          <w:szCs w:val="30"/>
        </w:rPr>
        <w:t>盘中。</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（三）竞赛作品及技术文件的提交</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竞赛结束后，参赛选手需要根据任务书要求，将相关成果文件拷贝至U盘，并现场加密。因保密要求，在全部文件中不得出现单位名称、设计者姓名，体现单位信息等相关内容，否则，该队竞赛成绩将被取消。</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（四）熟悉场地</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参赛队领队、指导教师、参赛选手在规定时间规定观察区内可以熟悉赛场环境情况。</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熟悉场地时严禁与现场工作人员进行交流，不发表没有根据以及有损大赛整体形象的言论。</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熟悉场地，严格遵守大赛各种制度，严禁拥挤，喧哗，避免意外事故。</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（五）赛场要求</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参赛选手在比赛开始前到达指定地点报到，接受工作人员对选手身份、资格和有关证件的检查。竞赛计时开始</w:t>
      </w:r>
      <w:r>
        <w:rPr>
          <w:rFonts w:ascii="仿宋_GB2312" w:hAnsi="仿宋" w:eastAsia="仿宋_GB2312"/>
          <w:sz w:val="30"/>
          <w:szCs w:val="30"/>
        </w:rPr>
        <w:t>15</w:t>
      </w:r>
      <w:r>
        <w:rPr>
          <w:rFonts w:hint="eastAsia" w:ascii="仿宋_GB2312" w:hAnsi="仿宋" w:eastAsia="仿宋_GB2312"/>
          <w:sz w:val="30"/>
          <w:szCs w:val="30"/>
        </w:rPr>
        <w:t>分钟后，选手未到，视为自动放弃。</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赛位由抽签确定，不得擅自变更、调整。</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选手在竞赛过程中不得擅自离开赛场，如有特殊情况，须经裁判人员同意。选手休息、饮水、上洗手间等统一计在竞赛时间内，不安排专门用时。竞赛计时工具，以赛场设置的时钟为准。</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竞赛期间，选手不得将手机等通信工具带入赛场，非同组选手之间不得以任何方式传递信息，如传递纸条，用手势表达信息，用暗语交换信息等。</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所有赛场内人员不得喧哗，不得有影响其他选手完成工作任务的行为。</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爱护赛场提供的器材，不得移动赛场内台桌、设备和其它物品的定置，不得故意损坏设备和仪器；比赛过程中，参赛选手须严格遵守相关操作规程，确保设备及人身安全，并接受裁判员的监督和警示。</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完成竞赛任务期间，不得与其他选手讨论，不得旁窥其他选手的操作。</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遇事应先举手示意，并与裁判人员协商，按裁判人员的意见办理。</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比赛过程中，选手须严格遵守安全操作规程，并接受裁判员的监督和警示，以确保人身及设备安全。</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选手须按照程序提交比赛作品，配合裁判做好赛场情况记录，与裁判一起签字确认，裁判要求签名时不得拒绝。</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11.</w:t>
      </w:r>
      <w:r>
        <w:rPr>
          <w:rFonts w:hint="eastAsia" w:ascii="仿宋_GB2312" w:hAnsi="仿宋" w:eastAsia="仿宋_GB2312"/>
          <w:sz w:val="30"/>
          <w:szCs w:val="30"/>
        </w:rPr>
        <w:t>不乱摆放工具，不乱丢杂物，完成工作任务后清洁赛位，清点工具。线头、废弃物品及工具，不得遗留在赛位上。</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12.</w:t>
      </w:r>
      <w:r>
        <w:rPr>
          <w:rFonts w:hint="eastAsia" w:ascii="仿宋_GB2312" w:hAnsi="仿宋" w:eastAsia="仿宋_GB2312"/>
          <w:sz w:val="30"/>
          <w:szCs w:val="30"/>
        </w:rPr>
        <w:t>使用文明用语，尊重裁判和其他选手，不得辱骂裁判和赛场工作人员，不得打架斗殴。</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13.</w:t>
      </w:r>
      <w:r>
        <w:rPr>
          <w:rFonts w:hint="eastAsia" w:ascii="仿宋_GB2312" w:hAnsi="仿宋" w:eastAsia="仿宋_GB2312"/>
          <w:sz w:val="30"/>
          <w:szCs w:val="30"/>
        </w:rPr>
        <w:t>任何人不得以任何方式暗示、指导、帮助参赛选手，对造成后果的，视情节轻重酌情扣除参赛选手成绩。</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14.</w:t>
      </w:r>
      <w:r>
        <w:rPr>
          <w:rFonts w:hint="eastAsia" w:ascii="仿宋_GB2312" w:hAnsi="仿宋" w:eastAsia="仿宋_GB2312"/>
          <w:sz w:val="30"/>
          <w:szCs w:val="30"/>
        </w:rPr>
        <w:t>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15.</w:t>
      </w:r>
      <w:r>
        <w:rPr>
          <w:rFonts w:hint="eastAsia" w:ascii="仿宋_GB2312" w:hAnsi="仿宋" w:eastAsia="仿宋_GB2312"/>
          <w:sz w:val="30"/>
          <w:szCs w:val="30"/>
        </w:rPr>
        <w:t>裁判长在比赛结束前有</w:t>
      </w:r>
      <w:r>
        <w:rPr>
          <w:rFonts w:ascii="仿宋_GB2312" w:hAnsi="仿宋" w:eastAsia="仿宋_GB2312"/>
          <w:sz w:val="30"/>
          <w:szCs w:val="30"/>
        </w:rPr>
        <w:t>2</w:t>
      </w:r>
      <w:r>
        <w:rPr>
          <w:rFonts w:hint="eastAsia" w:ascii="仿宋_GB2312" w:hAnsi="仿宋" w:eastAsia="仿宋_GB2312"/>
          <w:sz w:val="30"/>
          <w:szCs w:val="30"/>
        </w:rPr>
        <w:t>次时间提醒，裁判长发布比赛结束指令后所有未完成任务参赛队立即停止操作，按要求清理赛位，不得以任何理由拖延竞赛时间。</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16.</w:t>
      </w:r>
      <w:r>
        <w:rPr>
          <w:rFonts w:hint="eastAsia" w:ascii="仿宋_GB2312" w:hAnsi="仿宋" w:eastAsia="仿宋_GB2312"/>
          <w:sz w:val="30"/>
          <w:szCs w:val="30"/>
        </w:rPr>
        <w:t>参赛选手不得将竞赛任务书、图纸、草稿纸和举办方提供的工具等与比赛有关的物品带离赛场，选手必须经现场裁判员检查许可后方能离开赛场。</w:t>
      </w:r>
    </w:p>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九、成绩评定及公布</w:t>
      </w:r>
    </w:p>
    <w:p>
      <w:pPr>
        <w:snapToGrid w:val="0"/>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（一）成绩评定</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）现场评分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裁判依据现场打分表，对参赛队的操作规范、现场表现等进行评分。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（2）结果评分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对参赛选手提交的技术文件和竞赛作品，依据赛项评价标准进行评价与评分。</w:t>
      </w:r>
    </w:p>
    <w:p>
      <w:pPr>
        <w:snapToGrid w:val="0"/>
        <w:spacing w:line="560" w:lineRule="exact"/>
        <w:ind w:firstLine="600" w:firstLineChars="200"/>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（二）成绩公布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成绩评定结束后由组委会公布比赛成绩。</w:t>
      </w:r>
    </w:p>
    <w:p>
      <w:pPr>
        <w:numPr>
          <w:ilvl w:val="0"/>
          <w:numId w:val="1"/>
        </w:numPr>
        <w:spacing w:line="560" w:lineRule="exact"/>
        <w:ind w:firstLine="600" w:firstLineChars="200"/>
        <w:rPr>
          <w:rFonts w:hint="eastAsia" w:ascii="黑体" w:hAnsi="黑体" w:eastAsia="黑体"/>
          <w:b w:val="0"/>
          <w:sz w:val="30"/>
          <w:szCs w:val="30"/>
        </w:rPr>
      </w:pPr>
      <w:r>
        <w:rPr>
          <w:rFonts w:hint="eastAsia" w:ascii="黑体" w:hAnsi="黑体" w:eastAsia="黑体"/>
          <w:b w:val="0"/>
          <w:sz w:val="30"/>
          <w:szCs w:val="30"/>
        </w:rPr>
        <w:t>竞赛环境</w:t>
      </w:r>
    </w:p>
    <w:p>
      <w:pPr>
        <w:numPr>
          <w:numId w:val="0"/>
        </w:numPr>
        <w:spacing w:line="560" w:lineRule="exact"/>
        <w:ind w:firstLine="600" w:firstLineChars="200"/>
        <w:rPr>
          <w:rFonts w:ascii="仿宋_GB2312" w:hAnsi="仿宋" w:eastAsia="仿宋_GB2312"/>
          <w:bCs/>
          <w:sz w:val="30"/>
          <w:szCs w:val="30"/>
        </w:rPr>
      </w:pPr>
      <w:r>
        <w:rPr>
          <w:rFonts w:hint="eastAsia" w:ascii="仿宋_GB2312" w:hAnsi="仿宋" w:eastAsia="仿宋_GB2312"/>
          <w:bCs/>
          <w:sz w:val="30"/>
          <w:szCs w:val="30"/>
          <w:lang w:val="en-US" w:eastAsia="zh-CN"/>
        </w:rPr>
        <w:t>1.</w:t>
      </w:r>
      <w:r>
        <w:rPr>
          <w:rFonts w:hint="eastAsia" w:ascii="仿宋_GB2312" w:hAnsi="仿宋" w:eastAsia="仿宋_GB2312"/>
          <w:bCs/>
          <w:sz w:val="30"/>
          <w:szCs w:val="30"/>
        </w:rPr>
        <w:t>竞赛场地，竞赛现场设置竞赛区、裁判区、服务区、技术支持区。现场保证良好的采光、照明和通风，提供稳定的水、电和供电应急设备，同时提供指导教师休息场所。</w:t>
      </w:r>
    </w:p>
    <w:p>
      <w:pPr>
        <w:numPr>
          <w:numId w:val="0"/>
        </w:numPr>
        <w:spacing w:line="560" w:lineRule="exact"/>
        <w:ind w:firstLine="600" w:firstLineChars="200"/>
        <w:rPr>
          <w:rFonts w:ascii="仿宋_GB2312" w:hAnsi="仿宋" w:eastAsia="仿宋_GB2312"/>
          <w:bCs/>
          <w:sz w:val="30"/>
          <w:szCs w:val="30"/>
        </w:rPr>
      </w:pPr>
      <w:r>
        <w:rPr>
          <w:rFonts w:hint="eastAsia" w:ascii="仿宋_GB2312" w:hAnsi="仿宋" w:eastAsia="仿宋_GB2312"/>
          <w:bCs/>
          <w:sz w:val="30"/>
          <w:szCs w:val="30"/>
          <w:lang w:val="en-US" w:eastAsia="zh-CN"/>
        </w:rPr>
        <w:t>2.</w:t>
      </w:r>
      <w:r>
        <w:rPr>
          <w:rFonts w:hint="eastAsia" w:ascii="仿宋_GB2312" w:hAnsi="仿宋" w:eastAsia="仿宋_GB2312"/>
          <w:bCs/>
          <w:sz w:val="30"/>
          <w:szCs w:val="30"/>
        </w:rPr>
        <w:t>竞赛设备，所有竞赛设备由承办院校负责提供和保障，竞赛区按照参赛队数量准备比赛所需的软硬件平台，为参赛队提供标准竞赛设备。</w:t>
      </w:r>
    </w:p>
    <w:p>
      <w:pPr>
        <w:numPr>
          <w:numId w:val="0"/>
        </w:numPr>
        <w:spacing w:line="560" w:lineRule="exact"/>
        <w:ind w:firstLine="600" w:firstLineChars="200"/>
        <w:rPr>
          <w:rFonts w:ascii="仿宋_GB2312" w:hAnsi="仿宋" w:eastAsia="仿宋_GB2312"/>
          <w:bCs/>
          <w:sz w:val="30"/>
          <w:szCs w:val="30"/>
        </w:rPr>
      </w:pPr>
      <w:r>
        <w:rPr>
          <w:rFonts w:hint="eastAsia" w:ascii="仿宋_GB2312" w:hAnsi="仿宋" w:eastAsia="仿宋_GB2312"/>
          <w:bCs/>
          <w:sz w:val="30"/>
          <w:szCs w:val="30"/>
          <w:lang w:val="en-US" w:eastAsia="zh-CN"/>
        </w:rPr>
        <w:t>3.</w:t>
      </w:r>
      <w:r>
        <w:rPr>
          <w:rFonts w:hint="eastAsia" w:ascii="仿宋_GB2312" w:hAnsi="仿宋" w:eastAsia="仿宋_GB2312"/>
          <w:bCs/>
          <w:sz w:val="30"/>
          <w:szCs w:val="30"/>
        </w:rPr>
        <w:t>竞赛工位，每个参赛队工作区间面积大约10</w:t>
      </w:r>
      <w:r>
        <w:rPr>
          <w:rFonts w:hint="eastAsia" w:ascii="微软雅黑" w:hAnsi="微软雅黑" w:eastAsia="微软雅黑" w:cs="微软雅黑"/>
          <w:bCs/>
          <w:sz w:val="30"/>
          <w:szCs w:val="30"/>
        </w:rPr>
        <w:t>㎡</w:t>
      </w:r>
      <w:r>
        <w:rPr>
          <w:rFonts w:hint="eastAsia" w:ascii="仿宋_GB2312" w:hAnsi="仿宋" w:eastAsia="仿宋_GB2312"/>
          <w:bCs/>
          <w:sz w:val="30"/>
          <w:szCs w:val="30"/>
        </w:rPr>
        <w:t>，确保参赛队之间互不干扰。每个工作区间有两个工位，每个工位上标明编号，配置2把工作椅（凳），工作台上面摆放2台开发</w:t>
      </w:r>
      <w:r>
        <w:rPr>
          <w:rFonts w:ascii="仿宋_GB2312" w:hAnsi="仿宋" w:eastAsia="仿宋_GB2312"/>
          <w:bCs/>
          <w:sz w:val="30"/>
          <w:szCs w:val="30"/>
        </w:rPr>
        <w:t>PC</w:t>
      </w:r>
      <w:r>
        <w:rPr>
          <w:rFonts w:hint="eastAsia" w:ascii="仿宋_GB2312" w:hAnsi="仿宋" w:eastAsia="仿宋_GB2312"/>
          <w:bCs/>
          <w:sz w:val="30"/>
          <w:szCs w:val="30"/>
        </w:rPr>
        <w:t>机，并安装竞赛所需的相关软件。</w:t>
      </w:r>
    </w:p>
    <w:p>
      <w:pPr>
        <w:numPr>
          <w:numId w:val="0"/>
        </w:numPr>
        <w:spacing w:line="560" w:lineRule="exact"/>
        <w:ind w:firstLine="600" w:firstLineChars="200"/>
        <w:rPr>
          <w:rFonts w:ascii="仿宋_GB2312" w:hAnsi="仿宋" w:eastAsia="仿宋_GB2312"/>
          <w:bCs/>
          <w:sz w:val="30"/>
          <w:szCs w:val="30"/>
        </w:rPr>
      </w:pPr>
      <w:r>
        <w:rPr>
          <w:rFonts w:hint="eastAsia" w:ascii="仿宋_GB2312" w:hAnsi="仿宋" w:eastAsia="仿宋_GB2312"/>
          <w:bCs/>
          <w:sz w:val="30"/>
          <w:szCs w:val="30"/>
          <w:lang w:val="en-US" w:eastAsia="zh-CN"/>
        </w:rPr>
        <w:t>4.</w:t>
      </w:r>
      <w:r>
        <w:rPr>
          <w:rFonts w:hint="eastAsia" w:ascii="仿宋_GB2312" w:hAnsi="仿宋" w:eastAsia="仿宋_GB2312"/>
          <w:bCs/>
          <w:sz w:val="30"/>
          <w:szCs w:val="30"/>
        </w:rPr>
        <w:t>技术支持区，为参赛选手提供竞赛相关设备备件。</w:t>
      </w:r>
    </w:p>
    <w:p>
      <w:pPr>
        <w:numPr>
          <w:numId w:val="0"/>
        </w:numPr>
        <w:spacing w:line="560" w:lineRule="exact"/>
        <w:ind w:firstLine="600" w:firstLineChars="200"/>
        <w:rPr>
          <w:rFonts w:ascii="仿宋_GB2312" w:hAnsi="仿宋" w:eastAsia="仿宋_GB2312"/>
          <w:bCs/>
          <w:sz w:val="30"/>
          <w:szCs w:val="30"/>
        </w:rPr>
      </w:pPr>
      <w:r>
        <w:rPr>
          <w:rFonts w:hint="eastAsia" w:ascii="仿宋_GB2312" w:hAnsi="仿宋" w:eastAsia="仿宋_GB2312"/>
          <w:bCs/>
          <w:sz w:val="30"/>
          <w:szCs w:val="30"/>
          <w:lang w:val="en-US" w:eastAsia="zh-CN"/>
        </w:rPr>
        <w:t>5.</w:t>
      </w:r>
      <w:r>
        <w:rPr>
          <w:rFonts w:hint="eastAsia" w:ascii="仿宋_GB2312" w:hAnsi="仿宋" w:eastAsia="仿宋_GB2312"/>
          <w:bCs/>
          <w:sz w:val="30"/>
          <w:szCs w:val="30"/>
        </w:rPr>
        <w:t>服务区，提供医疗等服务保障。</w:t>
      </w:r>
    </w:p>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十一、技术规范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按照《全国职业院校技能大赛赛项规程编制要求》，列出竞赛内容涉及技术规范的全部信息，包括相关的专业教育教学要求，行业、职业技术标准等。</w:t>
      </w:r>
    </w:p>
    <w:tbl>
      <w:tblPr>
        <w:tblStyle w:val="15"/>
        <w:tblW w:w="89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8"/>
        <w:gridCol w:w="2413"/>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hint="eastAsia" w:ascii="黑体" w:hAnsi="黑体" w:eastAsia="黑体" w:cs="黑体"/>
                <w:b w:val="0"/>
                <w:bCs w:val="0"/>
                <w:color w:val="0C0C0C"/>
                <w:sz w:val="21"/>
                <w:szCs w:val="21"/>
                <w:lang w:bidi="ar"/>
              </w:rPr>
            </w:pPr>
            <w:r>
              <w:rPr>
                <w:rFonts w:hint="eastAsia" w:ascii="黑体" w:hAnsi="黑体" w:eastAsia="黑体" w:cs="黑体"/>
                <w:b w:val="0"/>
                <w:bCs w:val="0"/>
                <w:color w:val="0C0C0C"/>
                <w:sz w:val="21"/>
                <w:szCs w:val="21"/>
                <w:lang w:bidi="ar"/>
              </w:rPr>
              <w:t>序号</w:t>
            </w:r>
          </w:p>
        </w:tc>
        <w:tc>
          <w:tcPr>
            <w:tcW w:w="2413" w:type="dxa"/>
            <w:vAlign w:val="center"/>
          </w:tcPr>
          <w:p>
            <w:pPr>
              <w:spacing w:line="360" w:lineRule="auto"/>
              <w:jc w:val="center"/>
              <w:rPr>
                <w:rFonts w:hint="eastAsia" w:ascii="黑体" w:hAnsi="黑体" w:eastAsia="黑体" w:cs="黑体"/>
                <w:b w:val="0"/>
                <w:bCs w:val="0"/>
                <w:color w:val="0C0C0C"/>
                <w:sz w:val="21"/>
                <w:szCs w:val="21"/>
                <w:lang w:bidi="ar"/>
              </w:rPr>
            </w:pPr>
            <w:r>
              <w:rPr>
                <w:rFonts w:hint="eastAsia" w:ascii="黑体" w:hAnsi="黑体" w:eastAsia="黑体" w:cs="黑体"/>
                <w:b w:val="0"/>
                <w:bCs w:val="0"/>
                <w:color w:val="0C0C0C"/>
                <w:sz w:val="21"/>
                <w:szCs w:val="21"/>
                <w:lang w:bidi="ar"/>
              </w:rPr>
              <w:t>标准</w:t>
            </w:r>
            <w:r>
              <w:rPr>
                <w:rFonts w:hint="eastAsia" w:ascii="黑体" w:hAnsi="黑体" w:eastAsia="黑体" w:cs="黑体"/>
                <w:b w:val="0"/>
                <w:bCs w:val="0"/>
                <w:color w:val="0C0C0C"/>
                <w:sz w:val="21"/>
                <w:szCs w:val="21"/>
                <w:lang w:eastAsia="zh-Hans" w:bidi="ar"/>
              </w:rPr>
              <w:t>号</w:t>
            </w:r>
          </w:p>
        </w:tc>
        <w:tc>
          <w:tcPr>
            <w:tcW w:w="5660" w:type="dxa"/>
            <w:vAlign w:val="center"/>
          </w:tcPr>
          <w:p>
            <w:pPr>
              <w:spacing w:line="360" w:lineRule="auto"/>
              <w:jc w:val="center"/>
              <w:rPr>
                <w:rFonts w:hint="eastAsia" w:ascii="黑体" w:hAnsi="黑体" w:eastAsia="黑体" w:cs="黑体"/>
                <w:b w:val="0"/>
                <w:bCs w:val="0"/>
                <w:color w:val="0C0C0C"/>
                <w:sz w:val="21"/>
                <w:szCs w:val="21"/>
                <w:lang w:bidi="ar"/>
              </w:rPr>
            </w:pPr>
            <w:r>
              <w:rPr>
                <w:rFonts w:hint="eastAsia" w:ascii="黑体" w:hAnsi="黑体" w:eastAsia="黑体" w:cs="黑体"/>
                <w:b w:val="0"/>
                <w:bCs w:val="0"/>
                <w:color w:val="0C0C0C"/>
                <w:sz w:val="21"/>
                <w:szCs w:val="21"/>
                <w:lang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1</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GB/T 11457-2006</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信息技术、软件工程术语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2</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LD/T81.1-2006</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3</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GB/T 25069-2010</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信息安全技术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4</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ISO 22739-2020</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Blockchain and distributed ledger technologies — Vocabulary（区块链和分布式账本技术 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5</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GBZ2-02-10-15</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区块链工程技术人员国家职业技术技能标准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6</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GBZ4-04-05-06</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eastAsia="zh-Hans" w:bidi="ar"/>
              </w:rPr>
              <w:t>区块链应用操作员国家职业</w:t>
            </w:r>
            <w:r>
              <w:rPr>
                <w:rFonts w:hint="eastAsia" w:ascii="仿宋" w:hAnsi="仿宋" w:eastAsia="仿宋" w:cs="仿宋_GB2312"/>
                <w:color w:val="0C0C0C"/>
                <w:sz w:val="21"/>
                <w:szCs w:val="21"/>
                <w:lang w:bidi="ar"/>
              </w:rPr>
              <w:t>技术技能</w:t>
            </w:r>
            <w:r>
              <w:rPr>
                <w:rFonts w:hint="eastAsia" w:ascii="仿宋" w:hAnsi="仿宋" w:eastAsia="仿宋" w:cs="仿宋_GB2312"/>
                <w:color w:val="0C0C0C"/>
                <w:sz w:val="21"/>
                <w:szCs w:val="21"/>
                <w:lang w:eastAsia="zh-Hans"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7</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CBD-Forum-001-2017</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区块链参考架构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8</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CBD-Forum-002-2017</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区块链数据格式规范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9</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T/SIA 007-2018</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区块链平台基础技术要求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8"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10</w:t>
            </w:r>
          </w:p>
        </w:tc>
        <w:tc>
          <w:tcPr>
            <w:tcW w:w="2413"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CIET-2018-04</w:t>
            </w:r>
          </w:p>
        </w:tc>
        <w:tc>
          <w:tcPr>
            <w:tcW w:w="5660" w:type="dxa"/>
            <w:vAlign w:val="center"/>
          </w:tcPr>
          <w:p>
            <w:pPr>
              <w:spacing w:line="360" w:lineRule="auto"/>
              <w:jc w:val="center"/>
              <w:rPr>
                <w:rFonts w:ascii="仿宋" w:hAnsi="仿宋" w:eastAsia="仿宋" w:cs="仿宋_GB2312"/>
                <w:color w:val="0C0C0C"/>
                <w:sz w:val="21"/>
                <w:szCs w:val="21"/>
                <w:lang w:bidi="ar"/>
              </w:rPr>
            </w:pPr>
            <w:r>
              <w:rPr>
                <w:rFonts w:hint="eastAsia" w:ascii="仿宋" w:hAnsi="仿宋" w:eastAsia="仿宋" w:cs="仿宋_GB2312"/>
                <w:color w:val="0C0C0C"/>
                <w:sz w:val="21"/>
                <w:szCs w:val="21"/>
                <w:lang w:bidi="ar"/>
              </w:rPr>
              <w:t>区块链技术人才培养标准</w:t>
            </w:r>
          </w:p>
        </w:tc>
      </w:tr>
    </w:tbl>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十二、技术平台</w:t>
      </w:r>
    </w:p>
    <w:p>
      <w:pPr>
        <w:spacing w:line="360" w:lineRule="auto"/>
        <w:jc w:val="center"/>
        <w:rPr>
          <w:rFonts w:hint="eastAsia" w:ascii="黑体" w:hAnsi="黑体" w:eastAsia="黑体" w:cs="黑体"/>
          <w:sz w:val="24"/>
        </w:rPr>
      </w:pPr>
    </w:p>
    <w:p>
      <w:pPr>
        <w:spacing w:line="360" w:lineRule="auto"/>
        <w:jc w:val="center"/>
        <w:rPr>
          <w:rFonts w:hint="eastAsia" w:ascii="黑体" w:hAnsi="黑体" w:eastAsia="黑体" w:cs="黑体"/>
          <w:sz w:val="24"/>
        </w:rPr>
      </w:pPr>
    </w:p>
    <w:p>
      <w:pPr>
        <w:spacing w:line="360" w:lineRule="auto"/>
        <w:jc w:val="center"/>
      </w:pPr>
      <w:r>
        <w:rPr>
          <w:rFonts w:hint="eastAsia" w:ascii="黑体" w:hAnsi="黑体" w:eastAsia="黑体" w:cs="黑体"/>
          <w:sz w:val="24"/>
        </w:rPr>
        <w:t>硬件设备</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3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646" w:type="dxa"/>
            <w:tcMar>
              <w:top w:w="0" w:type="dxa"/>
              <w:left w:w="86" w:type="dxa"/>
              <w:bottom w:w="0" w:type="dxa"/>
              <w:right w:w="86" w:type="dxa"/>
            </w:tcMar>
            <w:vAlign w:val="center"/>
          </w:tcPr>
          <w:p>
            <w:pPr>
              <w:pStyle w:val="12"/>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设备名称</w:t>
            </w:r>
          </w:p>
        </w:tc>
        <w:tc>
          <w:tcPr>
            <w:tcW w:w="6832" w:type="dxa"/>
            <w:tcMar>
              <w:top w:w="0" w:type="dxa"/>
              <w:left w:w="86" w:type="dxa"/>
              <w:bottom w:w="0" w:type="dxa"/>
              <w:right w:w="86" w:type="dxa"/>
            </w:tcMar>
            <w:vAlign w:val="center"/>
          </w:tcPr>
          <w:p>
            <w:pPr>
              <w:pStyle w:val="12"/>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646" w:type="dxa"/>
            <w:tcMar>
              <w:top w:w="0" w:type="dxa"/>
              <w:left w:w="86" w:type="dxa"/>
              <w:bottom w:w="0" w:type="dxa"/>
              <w:right w:w="86" w:type="dxa"/>
            </w:tcMar>
            <w:vAlign w:val="center"/>
          </w:tcPr>
          <w:p>
            <w:pPr>
              <w:pStyle w:val="12"/>
              <w:jc w:val="center"/>
              <w:rPr>
                <w:sz w:val="21"/>
                <w:szCs w:val="21"/>
              </w:rPr>
            </w:pPr>
            <w:r>
              <w:rPr>
                <w:rFonts w:hint="eastAsia" w:ascii="仿宋_GB2312" w:eastAsia="仿宋_GB2312" w:cs="仿宋_GB2312"/>
                <w:color w:val="000000"/>
                <w:sz w:val="21"/>
                <w:szCs w:val="21"/>
              </w:rPr>
              <w:t>服务器</w:t>
            </w:r>
          </w:p>
        </w:tc>
        <w:tc>
          <w:tcPr>
            <w:tcW w:w="6832" w:type="dxa"/>
            <w:tcMar>
              <w:top w:w="0" w:type="dxa"/>
              <w:left w:w="86" w:type="dxa"/>
              <w:bottom w:w="0" w:type="dxa"/>
              <w:right w:w="86"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ascii="仿宋_GB2312" w:eastAsia="仿宋_GB2312" w:cs="仿宋_GB2312"/>
                <w:color w:val="000000"/>
                <w:sz w:val="21"/>
                <w:szCs w:val="21"/>
              </w:rPr>
            </w:pPr>
            <w:r>
              <w:rPr>
                <w:rFonts w:hint="eastAsia" w:ascii="仿宋_GB2312" w:eastAsia="仿宋_GB2312" w:cs="仿宋_GB2312"/>
                <w:color w:val="000000"/>
                <w:sz w:val="21"/>
                <w:szCs w:val="21"/>
              </w:rPr>
              <w:t>高性能工作站</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sz w:val="21"/>
                <w:szCs w:val="21"/>
              </w:rPr>
            </w:pPr>
            <w:r>
              <w:rPr>
                <w:rFonts w:hint="eastAsia" w:ascii="仿宋_GB2312" w:eastAsia="仿宋_GB2312" w:cs="仿宋_GB2312"/>
                <w:color w:val="000000"/>
                <w:sz w:val="21"/>
                <w:szCs w:val="21"/>
              </w:rPr>
              <w:t>处理器i</w:t>
            </w:r>
            <w:r>
              <w:rPr>
                <w:rFonts w:ascii="仿宋_GB2312" w:eastAsia="仿宋_GB2312" w:cs="仿宋_GB2312"/>
                <w:color w:val="000000"/>
                <w:sz w:val="21"/>
                <w:szCs w:val="21"/>
              </w:rPr>
              <w:t>5</w:t>
            </w:r>
            <w:r>
              <w:rPr>
                <w:rFonts w:hint="eastAsia" w:ascii="仿宋_GB2312" w:eastAsia="仿宋_GB2312" w:cs="仿宋_GB2312"/>
                <w:color w:val="000000"/>
                <w:sz w:val="21"/>
                <w:szCs w:val="21"/>
              </w:rPr>
              <w:t>/</w:t>
            </w:r>
            <w:r>
              <w:rPr>
                <w:rFonts w:ascii="仿宋_GB2312" w:eastAsia="仿宋_GB2312" w:cs="仿宋_GB2312"/>
                <w:color w:val="000000"/>
                <w:sz w:val="21"/>
                <w:szCs w:val="21"/>
              </w:rPr>
              <w:t>16</w:t>
            </w:r>
            <w:r>
              <w:rPr>
                <w:rFonts w:hint="eastAsia" w:ascii="仿宋_GB2312" w:eastAsia="仿宋_GB2312" w:cs="仿宋_GB2312"/>
                <w:color w:val="000000"/>
                <w:sz w:val="21"/>
                <w:szCs w:val="21"/>
              </w:rPr>
              <w:t>G内存/固态硬盘1T及以上、USB3.0接口、千兆及以上网卡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646" w:type="dxa"/>
            <w:tcMar>
              <w:top w:w="0" w:type="dxa"/>
              <w:left w:w="86" w:type="dxa"/>
              <w:bottom w:w="0" w:type="dxa"/>
              <w:right w:w="86" w:type="dxa"/>
            </w:tcMar>
            <w:vAlign w:val="center"/>
          </w:tcPr>
          <w:p>
            <w:pPr>
              <w:pStyle w:val="12"/>
              <w:jc w:val="center"/>
              <w:rPr>
                <w:sz w:val="21"/>
                <w:szCs w:val="21"/>
              </w:rPr>
            </w:pPr>
            <w:r>
              <w:rPr>
                <w:rFonts w:hint="eastAsia" w:ascii="仿宋_GB2312" w:eastAsia="仿宋_GB2312" w:cs="仿宋_GB2312"/>
                <w:color w:val="000000"/>
                <w:sz w:val="21"/>
                <w:szCs w:val="21"/>
              </w:rPr>
              <w:t>交换机</w:t>
            </w:r>
          </w:p>
        </w:tc>
        <w:tc>
          <w:tcPr>
            <w:tcW w:w="6832" w:type="dxa"/>
            <w:tcMar>
              <w:top w:w="0" w:type="dxa"/>
              <w:left w:w="86" w:type="dxa"/>
              <w:bottom w:w="0" w:type="dxa"/>
              <w:right w:w="86" w:type="dxa"/>
            </w:tcMar>
            <w:vAlign w:val="center"/>
          </w:tcPr>
          <w:p>
            <w:pPr>
              <w:widowControl/>
              <w:jc w:val="left"/>
              <w:rPr>
                <w:sz w:val="21"/>
                <w:szCs w:val="21"/>
              </w:rPr>
            </w:pPr>
            <w:r>
              <w:rPr>
                <w:rFonts w:ascii="仿宋" w:hAnsi="仿宋" w:eastAsia="仿宋" w:cs="仿宋"/>
                <w:color w:val="000000"/>
                <w:kern w:val="0"/>
                <w:sz w:val="21"/>
                <w:szCs w:val="21"/>
                <w:lang w:bidi="ar"/>
              </w:rPr>
              <w:t>二</w:t>
            </w:r>
            <w:r>
              <w:rPr>
                <w:rFonts w:hint="eastAsia" w:ascii="仿宋" w:hAnsi="仿宋" w:eastAsia="仿宋" w:cs="仿宋"/>
                <w:color w:val="000000"/>
                <w:kern w:val="0"/>
                <w:sz w:val="21"/>
                <w:szCs w:val="21"/>
                <w:lang w:bidi="ar"/>
              </w:rPr>
              <w:t>、三</w:t>
            </w:r>
            <w:r>
              <w:rPr>
                <w:rFonts w:ascii="仿宋" w:hAnsi="仿宋" w:eastAsia="仿宋" w:cs="仿宋"/>
                <w:color w:val="000000"/>
                <w:kern w:val="0"/>
                <w:sz w:val="21"/>
                <w:szCs w:val="21"/>
                <w:lang w:bidi="ar"/>
              </w:rPr>
              <w:t>层可控交换机（千兆、带电源）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646" w:type="dxa"/>
            <w:tcMar>
              <w:top w:w="0" w:type="dxa"/>
              <w:left w:w="86" w:type="dxa"/>
              <w:bottom w:w="0" w:type="dxa"/>
              <w:right w:w="86" w:type="dxa"/>
            </w:tcMar>
            <w:vAlign w:val="center"/>
          </w:tcPr>
          <w:p>
            <w:pPr>
              <w:pStyle w:val="12"/>
              <w:jc w:val="center"/>
              <w:rPr>
                <w:sz w:val="21"/>
                <w:szCs w:val="21"/>
              </w:rPr>
            </w:pPr>
            <w:r>
              <w:rPr>
                <w:rFonts w:hint="eastAsia" w:ascii="仿宋_GB2312" w:eastAsia="仿宋_GB2312" w:cs="仿宋_GB2312"/>
                <w:color w:val="000000"/>
                <w:sz w:val="21"/>
                <w:szCs w:val="21"/>
              </w:rPr>
              <w:t>PC</w:t>
            </w:r>
          </w:p>
        </w:tc>
        <w:tc>
          <w:tcPr>
            <w:tcW w:w="6832" w:type="dxa"/>
            <w:tcMar>
              <w:top w:w="0" w:type="dxa"/>
              <w:left w:w="86" w:type="dxa"/>
              <w:bottom w:w="0" w:type="dxa"/>
              <w:right w:w="86" w:type="dxa"/>
            </w:tcMar>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_GB2312" w:eastAsia="仿宋_GB2312" w:cs="仿宋_GB2312"/>
                <w:color w:val="000000"/>
                <w:sz w:val="21"/>
                <w:szCs w:val="21"/>
              </w:rPr>
            </w:pPr>
            <w:r>
              <w:rPr>
                <w:rFonts w:hint="eastAsia" w:ascii="仿宋_GB2312" w:eastAsia="仿宋_GB2312" w:cs="仿宋_GB2312"/>
                <w:color w:val="000000"/>
                <w:sz w:val="21"/>
                <w:szCs w:val="21"/>
              </w:rPr>
              <w:t>通用台式机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_GB2312" w:eastAsia="仿宋_GB2312" w:cs="仿宋_GB2312"/>
                <w:color w:val="000000"/>
                <w:sz w:val="21"/>
                <w:szCs w:val="21"/>
              </w:rPr>
            </w:pPr>
            <w:r>
              <w:rPr>
                <w:rFonts w:hint="eastAsia" w:ascii="仿宋_GB2312" w:eastAsia="仿宋_GB2312" w:cs="仿宋_GB2312"/>
                <w:color w:val="000000"/>
                <w:sz w:val="21"/>
                <w:szCs w:val="21"/>
              </w:rPr>
              <w:t>处理器i5/</w:t>
            </w:r>
            <w:r>
              <w:rPr>
                <w:rFonts w:hint="eastAsia" w:ascii="仿宋_GB2312" w:eastAsia="仿宋_GB2312" w:cs="仿宋_GB2312"/>
                <w:color w:val="000000"/>
                <w:sz w:val="21"/>
                <w:szCs w:val="21"/>
              </w:rPr>
              <w:t>16G内存/固态硬盘512G及以上、USB3.0接口、千兆及以上网卡</w:t>
            </w:r>
          </w:p>
        </w:tc>
      </w:tr>
    </w:tbl>
    <w:p>
      <w:pPr>
        <w:spacing w:line="360" w:lineRule="auto"/>
        <w:jc w:val="center"/>
        <w:rPr>
          <w:rFonts w:ascii="黑体" w:hAnsi="黑体" w:eastAsia="黑体" w:cs="黑体"/>
          <w:sz w:val="24"/>
        </w:rPr>
      </w:pPr>
    </w:p>
    <w:p>
      <w:pPr>
        <w:spacing w:line="360" w:lineRule="auto"/>
        <w:jc w:val="center"/>
        <w:rPr>
          <w:rFonts w:ascii="黑体" w:hAnsi="黑体" w:eastAsia="黑体" w:cs="黑体"/>
          <w:sz w:val="24"/>
        </w:rPr>
      </w:pPr>
      <w:r>
        <w:rPr>
          <w:rFonts w:hint="eastAsia" w:ascii="黑体" w:hAnsi="黑体" w:eastAsia="黑体" w:cs="黑体"/>
          <w:sz w:val="24"/>
        </w:rPr>
        <w:t>服务端软件</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413"/>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序号</w:t>
            </w:r>
          </w:p>
        </w:tc>
        <w:tc>
          <w:tcPr>
            <w:tcW w:w="1268" w:type="pct"/>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软件</w:t>
            </w:r>
          </w:p>
        </w:tc>
        <w:tc>
          <w:tcPr>
            <w:tcW w:w="3175" w:type="pct"/>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1</w:t>
            </w:r>
          </w:p>
        </w:tc>
        <w:tc>
          <w:tcPr>
            <w:tcW w:w="1268" w:type="pct"/>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区块链平台</w:t>
            </w:r>
          </w:p>
        </w:tc>
        <w:tc>
          <w:tcPr>
            <w:tcW w:w="3175" w:type="pct"/>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国产主流的区块链平台及其管理工具</w:t>
            </w:r>
          </w:p>
        </w:tc>
      </w:tr>
    </w:tbl>
    <w:p>
      <w:pPr>
        <w:spacing w:line="360" w:lineRule="auto"/>
        <w:ind w:right="210" w:rightChars="100" w:firstLine="562" w:firstLineChars="200"/>
        <w:rPr>
          <w:rFonts w:ascii="仿宋_GB2312" w:hAnsi="仿宋_GB2312" w:eastAsia="仿宋_GB2312" w:cs="仿宋_GB2312"/>
          <w:b/>
          <w:bCs/>
          <w:sz w:val="28"/>
          <w:szCs w:val="28"/>
        </w:rPr>
      </w:pPr>
    </w:p>
    <w:p>
      <w:pPr>
        <w:spacing w:line="360" w:lineRule="auto"/>
        <w:jc w:val="center"/>
      </w:pPr>
      <w:r>
        <w:rPr>
          <w:rFonts w:hint="eastAsia" w:ascii="黑体" w:hAnsi="黑体" w:eastAsia="黑体" w:cs="黑体"/>
          <w:sz w:val="24"/>
        </w:rPr>
        <w:t>PC工具软件</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50"/>
        <w:gridCol w:w="2196"/>
        <w:gridCol w:w="3178"/>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序号</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名称</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版本</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1</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WPS</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Version 2019及以上</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编制文档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2</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Putty</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Version 0.7</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远程工具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3</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WinSCP</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Version 5.15及以上</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ascii="仿宋_GB2312" w:eastAsia="仿宋_GB2312" w:cs="仿宋_GB2312"/>
                <w:color w:val="000000"/>
                <w:sz w:val="21"/>
                <w:szCs w:val="21"/>
              </w:rPr>
              <w:t>4</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Chrome</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Version 100及以上</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ascii="仿宋_GB2312" w:eastAsia="仿宋_GB2312" w:cs="仿宋_GB2312"/>
                <w:color w:val="000000"/>
                <w:sz w:val="21"/>
                <w:szCs w:val="21"/>
              </w:rPr>
              <w:t>5</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Java JDK</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Version 1</w:t>
            </w:r>
            <w:r>
              <w:rPr>
                <w:rFonts w:ascii="仿宋_GB2312" w:eastAsia="仿宋_GB2312" w:cs="仿宋_GB2312"/>
                <w:color w:val="000000"/>
                <w:sz w:val="21"/>
                <w:szCs w:val="21"/>
              </w:rPr>
              <w:t>1</w:t>
            </w:r>
            <w:r>
              <w:rPr>
                <w:rFonts w:hint="eastAsia" w:ascii="仿宋_GB2312" w:eastAsia="仿宋_GB2312" w:cs="仿宋_GB2312"/>
                <w:color w:val="000000"/>
                <w:sz w:val="21"/>
                <w:szCs w:val="21"/>
              </w:rPr>
              <w:t>及以上</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Java开发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6</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 xml:space="preserve">Visual Studio Code </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Version 1.7</w:t>
            </w:r>
            <w:r>
              <w:rPr>
                <w:rFonts w:ascii="仿宋_GB2312" w:eastAsia="仿宋_GB2312" w:cs="仿宋_GB2312"/>
                <w:color w:val="000000"/>
                <w:sz w:val="21"/>
                <w:szCs w:val="21"/>
              </w:rPr>
              <w:t>5</w:t>
            </w:r>
            <w:r>
              <w:rPr>
                <w:rFonts w:hint="eastAsia" w:ascii="仿宋_GB2312" w:eastAsia="仿宋_GB2312" w:cs="仿宋_GB2312"/>
                <w:color w:val="000000"/>
                <w:sz w:val="21"/>
                <w:szCs w:val="21"/>
              </w:rPr>
              <w:t>及以上</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开发工具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7</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ItelliJ IDEA</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Version CE 2023</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开发工具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8</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Gradle</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Version 6及以上</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构建工具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9</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Maven</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Version 3.6及以上</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构建工具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70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1</w:t>
            </w:r>
            <w:r>
              <w:rPr>
                <w:rFonts w:ascii="仿宋_GB2312" w:eastAsia="仿宋_GB2312" w:cs="仿宋_GB2312"/>
                <w:color w:val="000000"/>
                <w:sz w:val="21"/>
                <w:szCs w:val="21"/>
              </w:rPr>
              <w:t>0</w:t>
            </w:r>
          </w:p>
        </w:tc>
        <w:tc>
          <w:tcPr>
            <w:tcW w:w="115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ascii="仿宋_GB2312" w:eastAsia="仿宋_GB2312" w:cs="仿宋_GB2312"/>
                <w:color w:val="000000"/>
                <w:sz w:val="21"/>
                <w:szCs w:val="21"/>
              </w:rPr>
              <w:t>Office Visio</w:t>
            </w:r>
          </w:p>
        </w:tc>
        <w:tc>
          <w:tcPr>
            <w:tcW w:w="1666"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hint="eastAsia" w:ascii="仿宋_GB2312" w:eastAsia="仿宋_GB2312" w:cs="仿宋_GB2312"/>
                <w:color w:val="000000"/>
                <w:sz w:val="21"/>
                <w:szCs w:val="21"/>
              </w:rPr>
              <w:t xml:space="preserve">Version </w:t>
            </w:r>
            <w:r>
              <w:rPr>
                <w:rFonts w:ascii="仿宋_GB2312" w:eastAsia="仿宋_GB2312" w:cs="仿宋_GB2312"/>
                <w:color w:val="000000"/>
                <w:sz w:val="21"/>
                <w:szCs w:val="21"/>
              </w:rPr>
              <w:t>2013</w:t>
            </w:r>
            <w:r>
              <w:rPr>
                <w:rFonts w:hint="eastAsia" w:ascii="仿宋_GB2312" w:eastAsia="仿宋_GB2312" w:cs="仿宋_GB2312"/>
                <w:color w:val="000000"/>
                <w:sz w:val="21"/>
                <w:szCs w:val="21"/>
              </w:rPr>
              <w:t>及以上</w:t>
            </w:r>
          </w:p>
        </w:tc>
        <w:tc>
          <w:tcPr>
            <w:tcW w:w="1475"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pPr>
              <w:pStyle w:val="12"/>
              <w:spacing w:line="360" w:lineRule="auto"/>
              <w:jc w:val="center"/>
              <w:rPr>
                <w:rFonts w:ascii="仿宋_GB2312" w:eastAsia="仿宋_GB2312" w:cs="仿宋_GB2312"/>
                <w:color w:val="000000"/>
                <w:sz w:val="21"/>
                <w:szCs w:val="21"/>
              </w:rPr>
            </w:pPr>
            <w:r>
              <w:rPr>
                <w:rFonts w:ascii="仿宋_GB2312" w:eastAsia="仿宋_GB2312" w:cs="仿宋_GB2312"/>
                <w:color w:val="000000"/>
                <w:sz w:val="21"/>
                <w:szCs w:val="21"/>
              </w:rPr>
              <w:t>绘图工具</w:t>
            </w:r>
          </w:p>
        </w:tc>
      </w:tr>
    </w:tbl>
    <w:p/>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十三、成绩评定</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依据参赛选手完成的情况实施综合评定，评定依据结合国家及行业的相关标准和规范，全面评价参赛选手职业能力的要求，本着“科学严谨、公正公平、可操作性强”的原则制定评分标准。</w:t>
      </w:r>
    </w:p>
    <w:p>
      <w:pPr>
        <w:pStyle w:val="27"/>
        <w:numPr>
          <w:ilvl w:val="0"/>
          <w:numId w:val="2"/>
        </w:numPr>
        <w:spacing w:line="560" w:lineRule="exact"/>
        <w:ind w:firstLineChars="0"/>
        <w:rPr>
          <w:rFonts w:ascii="仿宋_GB2312" w:hAnsi="仿宋" w:eastAsia="仿宋_GB2312" w:cs="宋体"/>
          <w:b/>
          <w:bCs/>
          <w:kern w:val="0"/>
          <w:sz w:val="28"/>
          <w:szCs w:val="28"/>
        </w:rPr>
      </w:pPr>
      <w:r>
        <w:rPr>
          <w:rFonts w:hint="eastAsia" w:ascii="楷体_GB2312" w:hAnsi="仿宋" w:eastAsia="楷体_GB2312" w:cstheme="minorBidi"/>
          <w:sz w:val="30"/>
          <w:szCs w:val="30"/>
        </w:rPr>
        <w:t>评分标准及分值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区块链技术应用赛项评分表如下：</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结束后由竞赛裁判组对参赛队完成的每一项任务进行分别评分，每个参赛队各项任务的得分总和即为参赛队的最终成绩。竞赛过程中，如果发生以下问题或事故，则在竞赛队总分中作扣分处理。操作标准如下：</w:t>
      </w:r>
    </w:p>
    <w:tbl>
      <w:tblPr>
        <w:tblStyle w:val="1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15"/>
        <w:gridCol w:w="1229"/>
        <w:gridCol w:w="2838"/>
        <w:gridCol w:w="3489"/>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tblHeader/>
          <w:jc w:val="center"/>
        </w:trPr>
        <w:tc>
          <w:tcPr>
            <w:tcW w:w="1315" w:type="dxa"/>
            <w:tcMar>
              <w:top w:w="0" w:type="dxa"/>
              <w:left w:w="54" w:type="dxa"/>
              <w:bottom w:w="0" w:type="dxa"/>
              <w:right w:w="54" w:type="dxa"/>
            </w:tcMar>
            <w:vAlign w:val="center"/>
          </w:tcPr>
          <w:p>
            <w:pPr>
              <w:pStyle w:val="12"/>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赛项模块</w:t>
            </w:r>
          </w:p>
        </w:tc>
        <w:tc>
          <w:tcPr>
            <w:tcW w:w="1229" w:type="dxa"/>
            <w:tcMar>
              <w:top w:w="0" w:type="dxa"/>
              <w:left w:w="54" w:type="dxa"/>
              <w:bottom w:w="0" w:type="dxa"/>
              <w:right w:w="54" w:type="dxa"/>
            </w:tcMar>
            <w:vAlign w:val="center"/>
          </w:tcPr>
          <w:p>
            <w:pPr>
              <w:pStyle w:val="12"/>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竞赛内容</w:t>
            </w:r>
          </w:p>
        </w:tc>
        <w:tc>
          <w:tcPr>
            <w:tcW w:w="2838" w:type="dxa"/>
            <w:tcMar>
              <w:top w:w="0" w:type="dxa"/>
              <w:left w:w="54" w:type="dxa"/>
              <w:bottom w:w="0" w:type="dxa"/>
              <w:right w:w="54" w:type="dxa"/>
            </w:tcMar>
            <w:vAlign w:val="center"/>
          </w:tcPr>
          <w:p>
            <w:pPr>
              <w:pStyle w:val="12"/>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考核的知识点、技能点</w:t>
            </w:r>
          </w:p>
        </w:tc>
        <w:tc>
          <w:tcPr>
            <w:tcW w:w="3489" w:type="dxa"/>
            <w:tcMar>
              <w:top w:w="0" w:type="dxa"/>
              <w:left w:w="54" w:type="dxa"/>
              <w:bottom w:w="0" w:type="dxa"/>
              <w:right w:w="54" w:type="dxa"/>
            </w:tcMar>
            <w:vAlign w:val="center"/>
          </w:tcPr>
          <w:p>
            <w:pPr>
              <w:pStyle w:val="12"/>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相应得分点</w:t>
            </w:r>
          </w:p>
        </w:tc>
        <w:tc>
          <w:tcPr>
            <w:tcW w:w="626" w:type="dxa"/>
            <w:tcMar>
              <w:top w:w="0" w:type="dxa"/>
              <w:left w:w="54" w:type="dxa"/>
              <w:bottom w:w="0" w:type="dxa"/>
              <w:right w:w="54" w:type="dxa"/>
            </w:tcMar>
            <w:vAlign w:val="center"/>
          </w:tcPr>
          <w:p>
            <w:pPr>
              <w:pStyle w:val="12"/>
              <w:jc w:val="center"/>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jc w:val="center"/>
        </w:trPr>
        <w:tc>
          <w:tcPr>
            <w:tcW w:w="1315" w:type="dxa"/>
            <w:vMerge w:val="restart"/>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模块一</w:t>
            </w:r>
          </w:p>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区块链产品方案设计与系统运维</w:t>
            </w:r>
          </w:p>
        </w:tc>
        <w:tc>
          <w:tcPr>
            <w:tcW w:w="1229"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区块链产品需求分析与方案设计</w:t>
            </w:r>
          </w:p>
        </w:tc>
        <w:tc>
          <w:tcPr>
            <w:tcW w:w="2838" w:type="dxa"/>
            <w:tcMar>
              <w:top w:w="0" w:type="dxa"/>
              <w:left w:w="54" w:type="dxa"/>
              <w:bottom w:w="0" w:type="dxa"/>
              <w:right w:w="54" w:type="dxa"/>
            </w:tcMar>
            <w:vAlign w:val="center"/>
          </w:tcPr>
          <w:p>
            <w:pPr>
              <w:pStyle w:val="12"/>
              <w:jc w:val="both"/>
              <w:rPr>
                <w:rFonts w:ascii="仿宋" w:hAnsi="仿宋" w:eastAsia="仿宋" w:cs="仿宋_GB2312"/>
                <w:color w:val="000000"/>
                <w:sz w:val="21"/>
                <w:szCs w:val="21"/>
              </w:rPr>
            </w:pPr>
            <w:r>
              <w:rPr>
                <w:rFonts w:hint="eastAsia" w:ascii="仿宋" w:hAnsi="仿宋" w:eastAsia="仿宋" w:cs="仿宋_GB2312"/>
                <w:color w:val="000000"/>
                <w:sz w:val="21"/>
                <w:szCs w:val="21"/>
              </w:rPr>
              <w:t>依据给定的项目背景，分析业务需求，编制业务流程图、活动图、类图、时序图、系统结构图、系统架构图等，编写项目概要设计说明书，完成产品原型及软件功能的设计</w:t>
            </w:r>
          </w:p>
        </w:tc>
        <w:tc>
          <w:tcPr>
            <w:tcW w:w="3489" w:type="dxa"/>
            <w:tcMar>
              <w:top w:w="0" w:type="dxa"/>
              <w:left w:w="54" w:type="dxa"/>
              <w:bottom w:w="0" w:type="dxa"/>
              <w:right w:w="54" w:type="dxa"/>
            </w:tcMar>
            <w:vAlign w:val="center"/>
          </w:tcPr>
          <w:p>
            <w:pPr>
              <w:pStyle w:val="12"/>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ascii="仿宋" w:hAnsi="仿宋" w:eastAsia="仿宋" w:cs="仿宋_GB2312"/>
                <w:color w:val="000000"/>
                <w:sz w:val="21"/>
                <w:szCs w:val="21"/>
              </w:rPr>
            </w:pPr>
            <w:r>
              <w:rPr>
                <w:rFonts w:hint="eastAsia" w:ascii="仿宋" w:hAnsi="仿宋" w:eastAsia="仿宋" w:cs="仿宋_GB2312"/>
                <w:color w:val="000000"/>
                <w:sz w:val="21"/>
                <w:szCs w:val="21"/>
                <w:lang w:val="en-US" w:eastAsia="zh-CN"/>
              </w:rPr>
              <w:t>1.</w:t>
            </w:r>
            <w:r>
              <w:rPr>
                <w:rFonts w:hint="eastAsia" w:ascii="仿宋" w:hAnsi="仿宋" w:eastAsia="仿宋" w:cs="仿宋_GB2312"/>
                <w:color w:val="000000"/>
                <w:sz w:val="21"/>
                <w:szCs w:val="21"/>
              </w:rPr>
              <w:t>掌握区块链系统基本设计概念，合理划分角色及业务功能</w:t>
            </w:r>
          </w:p>
          <w:p>
            <w:pPr>
              <w:pStyle w:val="12"/>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ascii="仿宋" w:hAnsi="仿宋" w:eastAsia="仿宋" w:cs="仿宋_GB2312"/>
                <w:color w:val="000000"/>
                <w:sz w:val="21"/>
                <w:szCs w:val="21"/>
              </w:rPr>
            </w:pPr>
            <w:r>
              <w:rPr>
                <w:rFonts w:hint="eastAsia" w:ascii="仿宋" w:hAnsi="仿宋" w:eastAsia="仿宋" w:cs="仿宋_GB2312"/>
                <w:color w:val="000000"/>
                <w:sz w:val="21"/>
                <w:szCs w:val="21"/>
                <w:lang w:val="en-US" w:eastAsia="zh-CN"/>
              </w:rPr>
              <w:t>2.</w:t>
            </w:r>
            <w:r>
              <w:rPr>
                <w:rFonts w:hint="eastAsia" w:ascii="仿宋" w:hAnsi="仿宋" w:eastAsia="仿宋" w:cs="仿宋_GB2312"/>
                <w:color w:val="000000"/>
                <w:sz w:val="21"/>
                <w:szCs w:val="21"/>
              </w:rPr>
              <w:t>文档编制规范，各模型图绘制正确</w:t>
            </w:r>
          </w:p>
          <w:p>
            <w:pPr>
              <w:pStyle w:val="12"/>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ascii="仿宋" w:hAnsi="仿宋" w:eastAsia="仿宋" w:cs="仿宋_GB2312"/>
                <w:color w:val="000000"/>
                <w:sz w:val="21"/>
                <w:szCs w:val="21"/>
              </w:rPr>
            </w:pPr>
            <w:r>
              <w:rPr>
                <w:rFonts w:hint="eastAsia" w:ascii="仿宋" w:hAnsi="仿宋" w:eastAsia="仿宋" w:cs="仿宋_GB2312"/>
                <w:color w:val="000000"/>
                <w:sz w:val="21"/>
                <w:szCs w:val="21"/>
                <w:lang w:val="en-US" w:eastAsia="zh-CN"/>
              </w:rPr>
              <w:t>3.</w:t>
            </w:r>
            <w:r>
              <w:rPr>
                <w:rFonts w:hint="eastAsia" w:ascii="仿宋" w:hAnsi="仿宋" w:eastAsia="仿宋" w:cs="仿宋_GB2312"/>
                <w:color w:val="000000"/>
                <w:sz w:val="21"/>
                <w:szCs w:val="21"/>
              </w:rPr>
              <w:t>模块及功能划分完整、合理</w:t>
            </w:r>
          </w:p>
          <w:p>
            <w:pPr>
              <w:pStyle w:val="12"/>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ascii="仿宋" w:hAnsi="仿宋" w:eastAsia="仿宋" w:cs="仿宋_GB2312"/>
                <w:color w:val="000000"/>
                <w:sz w:val="21"/>
                <w:szCs w:val="21"/>
              </w:rPr>
            </w:pPr>
            <w:r>
              <w:rPr>
                <w:rFonts w:hint="eastAsia" w:ascii="仿宋" w:hAnsi="仿宋" w:eastAsia="仿宋" w:cs="仿宋_GB2312"/>
                <w:color w:val="000000"/>
                <w:sz w:val="21"/>
                <w:szCs w:val="21"/>
                <w:lang w:val="en-US" w:eastAsia="zh-CN"/>
              </w:rPr>
              <w:t>4.</w:t>
            </w:r>
            <w:r>
              <w:rPr>
                <w:rFonts w:hint="eastAsia" w:ascii="仿宋" w:hAnsi="仿宋" w:eastAsia="仿宋" w:cs="仿宋_GB2312"/>
                <w:color w:val="000000"/>
                <w:sz w:val="21"/>
                <w:szCs w:val="21"/>
              </w:rPr>
              <w:t>正确撰写应用系统功能设计文档</w:t>
            </w:r>
          </w:p>
        </w:tc>
        <w:tc>
          <w:tcPr>
            <w:tcW w:w="626"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315" w:type="dxa"/>
            <w:vMerge w:val="continue"/>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p>
        </w:tc>
        <w:tc>
          <w:tcPr>
            <w:tcW w:w="1229"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区块链系统部署与运维</w:t>
            </w:r>
          </w:p>
        </w:tc>
        <w:tc>
          <w:tcPr>
            <w:tcW w:w="2838" w:type="dxa"/>
            <w:tcMar>
              <w:top w:w="0" w:type="dxa"/>
              <w:left w:w="54" w:type="dxa"/>
              <w:bottom w:w="0" w:type="dxa"/>
              <w:right w:w="54" w:type="dxa"/>
            </w:tcMar>
            <w:vAlign w:val="center"/>
          </w:tcPr>
          <w:p>
            <w:pPr>
              <w:pStyle w:val="12"/>
              <w:jc w:val="both"/>
              <w:rPr>
                <w:rFonts w:ascii="仿宋" w:hAnsi="仿宋" w:eastAsia="仿宋" w:cs="仿宋_GB2312"/>
                <w:color w:val="000000"/>
                <w:sz w:val="21"/>
                <w:szCs w:val="21"/>
              </w:rPr>
            </w:pPr>
            <w:r>
              <w:rPr>
                <w:rFonts w:hint="eastAsia" w:ascii="仿宋" w:hAnsi="仿宋" w:eastAsia="仿宋" w:cs="仿宋_GB2312"/>
                <w:color w:val="000000"/>
                <w:sz w:val="21"/>
                <w:szCs w:val="21"/>
              </w:rPr>
              <w:t>基于给定的环境和区块链系统，完成区块链系统部署及节点部署。通过监控工具完成对网络、节点服务的监控。根据业务需求规范，完成系统日志、网络参数、节点服务等系统结构的维护</w:t>
            </w:r>
          </w:p>
        </w:tc>
        <w:tc>
          <w:tcPr>
            <w:tcW w:w="348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1.按要求正确部署区块链网络,并能验证运行状态</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2.正确安装管理工具及监控工具</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3.正确完成业务系统数据库的创建和管理</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4.搭建</w:t>
            </w:r>
            <w:r>
              <w:rPr>
                <w:rFonts w:hint="eastAsia" w:ascii="仿宋" w:hAnsi="仿宋" w:eastAsia="仿宋" w:cs="仿宋_GB2312"/>
                <w:color w:val="000000"/>
                <w:sz w:val="21"/>
                <w:szCs w:val="21"/>
                <w:lang w:val="en-US" w:eastAsia="zh-CN"/>
              </w:rPr>
              <w:t>的区块链符合业务需求，按要求进行扩容和网络配置等维护操作</w:t>
            </w:r>
          </w:p>
        </w:tc>
        <w:tc>
          <w:tcPr>
            <w:tcW w:w="626"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8" w:hRule="atLeast"/>
          <w:jc w:val="center"/>
        </w:trPr>
        <w:tc>
          <w:tcPr>
            <w:tcW w:w="1315" w:type="dxa"/>
            <w:vMerge w:val="continue"/>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p>
        </w:tc>
        <w:tc>
          <w:tcPr>
            <w:tcW w:w="1229"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区块链系统测试</w:t>
            </w:r>
          </w:p>
        </w:tc>
        <w:tc>
          <w:tcPr>
            <w:tcW w:w="2838" w:type="dxa"/>
            <w:tcMar>
              <w:top w:w="0" w:type="dxa"/>
              <w:left w:w="54" w:type="dxa"/>
              <w:bottom w:w="0" w:type="dxa"/>
              <w:right w:w="54" w:type="dxa"/>
            </w:tcMar>
            <w:vAlign w:val="center"/>
          </w:tcPr>
          <w:p>
            <w:pPr>
              <w:pStyle w:val="12"/>
              <w:jc w:val="both"/>
              <w:rPr>
                <w:rFonts w:ascii="仿宋" w:hAnsi="仿宋" w:eastAsia="仿宋" w:cs="仿宋_GB2312"/>
                <w:color w:val="000000"/>
                <w:sz w:val="21"/>
                <w:szCs w:val="21"/>
              </w:rPr>
            </w:pPr>
            <w:r>
              <w:rPr>
                <w:rFonts w:hint="eastAsia" w:ascii="仿宋" w:hAnsi="仿宋" w:eastAsia="仿宋" w:cs="仿宋_GB2312"/>
                <w:color w:val="000000"/>
                <w:sz w:val="21"/>
                <w:szCs w:val="21"/>
              </w:rPr>
              <w:t>设计区块链系统的测试流程，调用智能合约进行单元测试、集成测试、系统测试和性能测试；根据业务需求，分析并修复给定智能合约中的安全漏洞</w:t>
            </w:r>
          </w:p>
        </w:tc>
        <w:tc>
          <w:tcPr>
            <w:tcW w:w="348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1.对测试需求分析正确，合理设计测试用</w:t>
            </w:r>
            <w:r>
              <w:rPr>
                <w:rFonts w:hint="eastAsia" w:ascii="仿宋" w:hAnsi="仿宋" w:eastAsia="仿宋" w:cs="仿宋_GB2312"/>
                <w:color w:val="000000"/>
                <w:sz w:val="21"/>
                <w:szCs w:val="21"/>
                <w:lang w:val="en-US" w:eastAsia="zh-CN"/>
              </w:rPr>
              <w:t>例</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2.正确对区块链系统进行防篡改测试、签名</w:t>
            </w:r>
            <w:r>
              <w:rPr>
                <w:rFonts w:hint="eastAsia" w:ascii="仿宋" w:hAnsi="仿宋" w:eastAsia="仿宋" w:cs="仿宋_GB2312"/>
                <w:color w:val="000000"/>
                <w:sz w:val="21"/>
                <w:szCs w:val="21"/>
                <w:lang w:val="en-US" w:eastAsia="zh-CN"/>
              </w:rPr>
              <w:t>测试等</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3.正确使用测试工具修复合约中的漏洞</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4.正确对已部署的智能合约进行性能测试、</w:t>
            </w:r>
            <w:r>
              <w:rPr>
                <w:rFonts w:hint="eastAsia" w:ascii="仿宋" w:hAnsi="仿宋" w:eastAsia="仿宋" w:cs="仿宋_GB2312"/>
                <w:color w:val="000000"/>
                <w:sz w:val="21"/>
                <w:szCs w:val="21"/>
                <w:lang w:val="en-US" w:eastAsia="zh-CN"/>
              </w:rPr>
              <w:t>系统测试和执行分析</w:t>
            </w:r>
          </w:p>
        </w:tc>
        <w:tc>
          <w:tcPr>
            <w:tcW w:w="626"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315" w:type="dxa"/>
            <w:vMerge w:val="restart"/>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模块二</w:t>
            </w:r>
          </w:p>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智能合约</w:t>
            </w:r>
          </w:p>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开发与测试</w:t>
            </w:r>
          </w:p>
        </w:tc>
        <w:tc>
          <w:tcPr>
            <w:tcW w:w="1229" w:type="dxa"/>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智能合约</w:t>
            </w:r>
          </w:p>
          <w:p>
            <w:pPr>
              <w:pStyle w:val="12"/>
              <w:jc w:val="center"/>
              <w:rPr>
                <w:rFonts w:ascii="仿宋" w:hAnsi="仿宋" w:eastAsia="仿宋"/>
                <w:sz w:val="21"/>
                <w:szCs w:val="21"/>
              </w:rPr>
            </w:pPr>
            <w:r>
              <w:rPr>
                <w:rFonts w:hint="eastAsia" w:ascii="仿宋" w:hAnsi="仿宋" w:eastAsia="仿宋" w:cs="仿宋_GB2312"/>
                <w:color w:val="000000"/>
                <w:sz w:val="21"/>
                <w:szCs w:val="21"/>
              </w:rPr>
              <w:t>设计</w:t>
            </w:r>
          </w:p>
        </w:tc>
        <w:tc>
          <w:tcPr>
            <w:tcW w:w="2838" w:type="dxa"/>
            <w:tcMar>
              <w:top w:w="0" w:type="dxa"/>
              <w:left w:w="54" w:type="dxa"/>
              <w:bottom w:w="0" w:type="dxa"/>
              <w:right w:w="54" w:type="dxa"/>
            </w:tcMar>
            <w:vAlign w:val="center"/>
          </w:tcPr>
          <w:p>
            <w:pPr>
              <w:pStyle w:val="12"/>
              <w:jc w:val="both"/>
              <w:rPr>
                <w:rFonts w:ascii="仿宋" w:hAnsi="仿宋" w:eastAsia="仿宋" w:cs="仿宋_GB2312"/>
                <w:color w:val="000000"/>
                <w:sz w:val="21"/>
                <w:szCs w:val="21"/>
              </w:rPr>
            </w:pPr>
            <w:r>
              <w:rPr>
                <w:rFonts w:hint="eastAsia" w:ascii="仿宋" w:hAnsi="仿宋" w:eastAsia="仿宋" w:cs="仿宋_GB2312"/>
                <w:color w:val="000000"/>
                <w:sz w:val="21"/>
                <w:szCs w:val="21"/>
              </w:rPr>
              <w:t>根据区块链业务需求，编写功能需求文档和智能合约设计文档</w:t>
            </w:r>
          </w:p>
        </w:tc>
        <w:tc>
          <w:tcPr>
            <w:tcW w:w="348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1.合约</w:t>
            </w:r>
            <w:r>
              <w:rPr>
                <w:rFonts w:hint="eastAsia" w:ascii="仿宋" w:hAnsi="仿宋" w:eastAsia="仿宋" w:cs="仿宋_GB2312"/>
                <w:color w:val="000000"/>
                <w:sz w:val="21"/>
                <w:szCs w:val="21"/>
                <w:lang w:val="en-US" w:eastAsia="zh-CN"/>
              </w:rPr>
              <w:t>模块划分合理</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2.合约能完整描述业务对象，正确表达业务对象、实体等之间的关系</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3.</w:t>
            </w:r>
            <w:r>
              <w:rPr>
                <w:rFonts w:hint="eastAsia" w:ascii="仿宋" w:hAnsi="仿宋" w:eastAsia="仿宋" w:cs="仿宋_GB2312"/>
                <w:color w:val="000000"/>
                <w:sz w:val="21"/>
                <w:szCs w:val="21"/>
                <w:lang w:val="en-US" w:eastAsia="zh-CN"/>
              </w:rPr>
              <w:t>正确编写智能合约设计文档</w:t>
            </w:r>
          </w:p>
        </w:tc>
        <w:tc>
          <w:tcPr>
            <w:tcW w:w="626"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315" w:type="dxa"/>
            <w:vMerge w:val="continue"/>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p>
        </w:tc>
        <w:tc>
          <w:tcPr>
            <w:tcW w:w="1229" w:type="dxa"/>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智能合约</w:t>
            </w:r>
          </w:p>
          <w:p>
            <w:pPr>
              <w:pStyle w:val="12"/>
              <w:jc w:val="center"/>
              <w:rPr>
                <w:rFonts w:ascii="仿宋" w:hAnsi="仿宋" w:eastAsia="仿宋"/>
                <w:sz w:val="21"/>
                <w:szCs w:val="21"/>
              </w:rPr>
            </w:pPr>
            <w:r>
              <w:rPr>
                <w:rFonts w:hint="eastAsia" w:ascii="仿宋" w:hAnsi="仿宋" w:eastAsia="仿宋" w:cs="仿宋_GB2312"/>
                <w:color w:val="000000"/>
                <w:sz w:val="21"/>
                <w:szCs w:val="21"/>
              </w:rPr>
              <w:t>开发</w:t>
            </w:r>
          </w:p>
        </w:tc>
        <w:tc>
          <w:tcPr>
            <w:tcW w:w="2838" w:type="dxa"/>
            <w:tcMar>
              <w:top w:w="0" w:type="dxa"/>
              <w:left w:w="54" w:type="dxa"/>
              <w:bottom w:w="0" w:type="dxa"/>
              <w:right w:w="54" w:type="dxa"/>
            </w:tcMar>
            <w:vAlign w:val="center"/>
          </w:tcPr>
          <w:p>
            <w:pPr>
              <w:pStyle w:val="12"/>
              <w:jc w:val="both"/>
              <w:rPr>
                <w:rFonts w:ascii="仿宋" w:hAnsi="仿宋" w:eastAsia="仿宋" w:cs="仿宋_GB2312"/>
                <w:color w:val="000000"/>
                <w:sz w:val="21"/>
                <w:szCs w:val="21"/>
              </w:rPr>
            </w:pPr>
            <w:r>
              <w:rPr>
                <w:rFonts w:hint="eastAsia" w:ascii="仿宋" w:hAnsi="仿宋" w:eastAsia="仿宋" w:cs="仿宋_GB2312"/>
                <w:color w:val="000000"/>
                <w:sz w:val="21"/>
                <w:szCs w:val="21"/>
              </w:rPr>
              <w:t>使用Solidity语言进行智能合约开发，完成智能合约部署和调用</w:t>
            </w:r>
          </w:p>
        </w:tc>
        <w:tc>
          <w:tcPr>
            <w:tcW w:w="348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1.合约编写功能覆盖全面、逻辑正确</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2.正确部署</w:t>
            </w:r>
            <w:r>
              <w:rPr>
                <w:rFonts w:hint="eastAsia" w:ascii="仿宋" w:hAnsi="仿宋" w:eastAsia="仿宋" w:cs="仿宋_GB2312"/>
                <w:color w:val="000000"/>
                <w:sz w:val="21"/>
                <w:szCs w:val="21"/>
                <w:lang w:val="en-US" w:eastAsia="zh-CN"/>
              </w:rPr>
              <w:t>和调用合约</w:t>
            </w:r>
          </w:p>
        </w:tc>
        <w:tc>
          <w:tcPr>
            <w:tcW w:w="626"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315" w:type="dxa"/>
            <w:vMerge w:val="continue"/>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p>
        </w:tc>
        <w:tc>
          <w:tcPr>
            <w:tcW w:w="1229" w:type="dxa"/>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智能合约</w:t>
            </w:r>
          </w:p>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测试</w:t>
            </w:r>
          </w:p>
        </w:tc>
        <w:tc>
          <w:tcPr>
            <w:tcW w:w="2838" w:type="dxa"/>
            <w:tcMar>
              <w:top w:w="0" w:type="dxa"/>
              <w:left w:w="54" w:type="dxa"/>
              <w:bottom w:w="0" w:type="dxa"/>
              <w:right w:w="54" w:type="dxa"/>
            </w:tcMar>
            <w:vAlign w:val="center"/>
          </w:tcPr>
          <w:p>
            <w:pPr>
              <w:pStyle w:val="12"/>
              <w:jc w:val="both"/>
              <w:rPr>
                <w:rFonts w:ascii="仿宋" w:hAnsi="仿宋" w:eastAsia="仿宋" w:cs="仿宋_GB2312"/>
                <w:color w:val="000000"/>
                <w:sz w:val="21"/>
                <w:szCs w:val="21"/>
              </w:rPr>
            </w:pPr>
            <w:r>
              <w:rPr>
                <w:rFonts w:hint="eastAsia" w:ascii="仿宋" w:hAnsi="仿宋" w:eastAsia="仿宋" w:cs="仿宋_GB2312"/>
                <w:color w:val="000000"/>
                <w:sz w:val="21"/>
                <w:szCs w:val="21"/>
              </w:rPr>
              <w:t>编写智能合约单元测试代码并完成合约功能测试、性能测试</w:t>
            </w:r>
          </w:p>
        </w:tc>
        <w:tc>
          <w:tcPr>
            <w:tcW w:w="348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1.对已有合约正确构建单元测试</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2.正常</w:t>
            </w:r>
            <w:r>
              <w:rPr>
                <w:rFonts w:hint="eastAsia" w:ascii="仿宋" w:hAnsi="仿宋" w:eastAsia="仿宋" w:cs="仿宋_GB2312"/>
                <w:color w:val="000000"/>
                <w:sz w:val="21"/>
                <w:szCs w:val="21"/>
                <w:lang w:val="en-US" w:eastAsia="zh-CN"/>
              </w:rPr>
              <w:t>使用工具完成合约功能及性能测试</w:t>
            </w:r>
          </w:p>
        </w:tc>
        <w:tc>
          <w:tcPr>
            <w:tcW w:w="626"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315" w:type="dxa"/>
            <w:vMerge w:val="restart"/>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模块三</w:t>
            </w:r>
          </w:p>
          <w:p>
            <w:pPr>
              <w:pStyle w:val="12"/>
              <w:jc w:val="center"/>
              <w:rPr>
                <w:rFonts w:ascii="仿宋" w:hAnsi="仿宋" w:eastAsia="仿宋" w:cs="仿宋_GB2312"/>
                <w:color w:val="000000"/>
                <w:sz w:val="21"/>
                <w:szCs w:val="21"/>
              </w:rPr>
            </w:pPr>
            <w:r>
              <w:rPr>
                <w:rFonts w:hint="eastAsia" w:ascii="仿宋" w:hAnsi="仿宋" w:eastAsia="仿宋" w:cs="仿宋_GB2312"/>
                <w:color w:val="000000"/>
                <w:sz w:val="21"/>
                <w:szCs w:val="21"/>
              </w:rPr>
              <w:t>区块链应用系统开发</w:t>
            </w:r>
          </w:p>
        </w:tc>
        <w:tc>
          <w:tcPr>
            <w:tcW w:w="1229"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区块链应用前端开发</w:t>
            </w:r>
          </w:p>
        </w:tc>
        <w:tc>
          <w:tcPr>
            <w:tcW w:w="2838" w:type="dxa"/>
            <w:tcMar>
              <w:top w:w="0" w:type="dxa"/>
              <w:left w:w="54" w:type="dxa"/>
              <w:bottom w:w="0" w:type="dxa"/>
              <w:right w:w="54" w:type="dxa"/>
            </w:tcMar>
            <w:vAlign w:val="center"/>
          </w:tcPr>
          <w:p>
            <w:pPr>
              <w:pStyle w:val="12"/>
              <w:jc w:val="both"/>
              <w:rPr>
                <w:rFonts w:ascii="仿宋" w:hAnsi="仿宋" w:eastAsia="仿宋" w:cs="仿宋_GB2312"/>
                <w:color w:val="000000"/>
                <w:sz w:val="21"/>
                <w:szCs w:val="21"/>
              </w:rPr>
            </w:pPr>
            <w:r>
              <w:rPr>
                <w:rFonts w:hint="eastAsia" w:ascii="仿宋" w:hAnsi="仿宋" w:eastAsia="仿宋" w:cs="仿宋_GB2312"/>
                <w:color w:val="000000"/>
                <w:sz w:val="21"/>
                <w:szCs w:val="21"/>
              </w:rPr>
              <w:t>根据业务需求，使用前端开发框架完成页面设计，使用已提供的服务端接口获取业务数据，并进行部署展示</w:t>
            </w:r>
          </w:p>
        </w:tc>
        <w:tc>
          <w:tcPr>
            <w:tcW w:w="348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1.正确编写前端代码，完成服务端接口</w:t>
            </w:r>
            <w:r>
              <w:rPr>
                <w:rFonts w:hint="eastAsia" w:ascii="仿宋" w:hAnsi="仿宋" w:eastAsia="仿宋" w:cs="仿宋_GB2312"/>
                <w:color w:val="000000"/>
                <w:sz w:val="21"/>
                <w:szCs w:val="21"/>
                <w:lang w:val="en-US" w:eastAsia="zh-CN"/>
              </w:rPr>
              <w:t>调用</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2.正确</w:t>
            </w:r>
            <w:r>
              <w:rPr>
                <w:rFonts w:hint="eastAsia" w:ascii="仿宋" w:hAnsi="仿宋" w:eastAsia="仿宋" w:cs="仿宋_GB2312"/>
                <w:color w:val="000000"/>
                <w:sz w:val="21"/>
                <w:szCs w:val="21"/>
                <w:lang w:val="en-US" w:eastAsia="zh-CN"/>
              </w:rPr>
              <w:t>完成前端数据展示及页面逻辑</w:t>
            </w:r>
          </w:p>
        </w:tc>
        <w:tc>
          <w:tcPr>
            <w:tcW w:w="626"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315" w:type="dxa"/>
            <w:vMerge w:val="continue"/>
            <w:tcMar>
              <w:top w:w="0" w:type="dxa"/>
              <w:left w:w="54" w:type="dxa"/>
              <w:bottom w:w="0" w:type="dxa"/>
              <w:right w:w="54" w:type="dxa"/>
            </w:tcMar>
            <w:vAlign w:val="center"/>
          </w:tcPr>
          <w:p>
            <w:pPr>
              <w:pStyle w:val="12"/>
              <w:jc w:val="center"/>
              <w:rPr>
                <w:rFonts w:ascii="仿宋" w:hAnsi="仿宋" w:eastAsia="仿宋" w:cs="仿宋_GB2312"/>
                <w:color w:val="000000"/>
                <w:sz w:val="21"/>
                <w:szCs w:val="21"/>
              </w:rPr>
            </w:pPr>
          </w:p>
        </w:tc>
        <w:tc>
          <w:tcPr>
            <w:tcW w:w="1229"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区块链应用后端开发</w:t>
            </w:r>
          </w:p>
        </w:tc>
        <w:tc>
          <w:tcPr>
            <w:tcW w:w="2838" w:type="dxa"/>
            <w:tcMar>
              <w:top w:w="0" w:type="dxa"/>
              <w:left w:w="54" w:type="dxa"/>
              <w:bottom w:w="0" w:type="dxa"/>
              <w:right w:w="54" w:type="dxa"/>
            </w:tcMar>
            <w:vAlign w:val="center"/>
          </w:tcPr>
          <w:p>
            <w:pPr>
              <w:pStyle w:val="12"/>
              <w:jc w:val="both"/>
              <w:rPr>
                <w:rFonts w:ascii="仿宋" w:hAnsi="仿宋" w:eastAsia="仿宋" w:cs="仿宋_GB2312"/>
                <w:color w:val="000000"/>
                <w:sz w:val="21"/>
                <w:szCs w:val="21"/>
              </w:rPr>
            </w:pPr>
            <w:r>
              <w:rPr>
                <w:rFonts w:hint="eastAsia" w:ascii="仿宋" w:hAnsi="仿宋" w:eastAsia="仿宋" w:cs="仿宋_GB2312"/>
                <w:color w:val="000000"/>
                <w:sz w:val="21"/>
                <w:szCs w:val="21"/>
              </w:rPr>
              <w:t>依据功能需求，使用后端开发语言及常用框架进行后端代码开发，访问数据库、实现应用程序接口、调用智能合约，完善区块链应用系统，完成后端代码的部署</w:t>
            </w:r>
          </w:p>
        </w:tc>
        <w:tc>
          <w:tcPr>
            <w:tcW w:w="348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1.正确使用后端开发语言和框架，完成数据库调用等功能，实现应用</w:t>
            </w:r>
            <w:r>
              <w:rPr>
                <w:rFonts w:hint="eastAsia" w:ascii="仿宋" w:hAnsi="仿宋" w:eastAsia="仿宋" w:cs="仿宋_GB2312"/>
                <w:color w:val="000000"/>
                <w:sz w:val="21"/>
                <w:szCs w:val="21"/>
                <w:lang w:val="en-US" w:eastAsia="zh-CN"/>
              </w:rPr>
              <w:t>程序接口</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2.正确</w:t>
            </w:r>
            <w:r>
              <w:rPr>
                <w:rFonts w:hint="eastAsia" w:ascii="仿宋" w:hAnsi="仿宋" w:eastAsia="仿宋" w:cs="仿宋_GB2312"/>
                <w:color w:val="000000"/>
                <w:sz w:val="21"/>
                <w:szCs w:val="21"/>
                <w:lang w:val="en-US" w:eastAsia="zh-CN"/>
              </w:rPr>
              <w:t>编写后端接口程序，调用智能</w:t>
            </w:r>
            <w:r>
              <w:rPr>
                <w:rFonts w:hint="eastAsia" w:ascii="仿宋" w:hAnsi="仿宋" w:eastAsia="仿宋" w:cs="仿宋_GB2312"/>
                <w:color w:val="000000"/>
                <w:sz w:val="21"/>
                <w:szCs w:val="21"/>
                <w:lang w:val="en-US" w:eastAsia="zh-CN"/>
              </w:rPr>
              <w:t>合约，实现链上信息的查询和结果展示</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3.</w:t>
            </w:r>
            <w:r>
              <w:rPr>
                <w:rFonts w:hint="eastAsia" w:ascii="仿宋" w:hAnsi="仿宋" w:eastAsia="仿宋" w:cs="仿宋_GB2312"/>
                <w:color w:val="000000"/>
                <w:sz w:val="21"/>
                <w:szCs w:val="21"/>
                <w:lang w:val="en-US" w:eastAsia="zh-CN"/>
              </w:rPr>
              <w:t>正确编写后端接口程序，进行区块链应用操作</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4.正确</w:t>
            </w:r>
            <w:r>
              <w:rPr>
                <w:rFonts w:hint="eastAsia" w:ascii="仿宋" w:hAnsi="仿宋" w:eastAsia="仿宋" w:cs="仿宋_GB2312"/>
                <w:color w:val="000000"/>
                <w:sz w:val="21"/>
                <w:szCs w:val="21"/>
                <w:lang w:val="en-US" w:eastAsia="zh-CN"/>
              </w:rPr>
              <w:t>部署后端程序</w:t>
            </w:r>
          </w:p>
        </w:tc>
        <w:tc>
          <w:tcPr>
            <w:tcW w:w="626"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jc w:val="center"/>
        </w:trPr>
        <w:tc>
          <w:tcPr>
            <w:tcW w:w="2544" w:type="dxa"/>
            <w:gridSpan w:val="2"/>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职业素养</w:t>
            </w:r>
          </w:p>
        </w:tc>
        <w:tc>
          <w:tcPr>
            <w:tcW w:w="2838" w:type="dxa"/>
            <w:tcMar>
              <w:top w:w="0" w:type="dxa"/>
              <w:left w:w="54" w:type="dxa"/>
              <w:bottom w:w="0" w:type="dxa"/>
              <w:right w:w="54" w:type="dxa"/>
            </w:tcMar>
            <w:vAlign w:val="center"/>
          </w:tcPr>
          <w:p>
            <w:pPr>
              <w:pStyle w:val="12"/>
              <w:jc w:val="both"/>
              <w:rPr>
                <w:rFonts w:ascii="仿宋" w:hAnsi="仿宋" w:eastAsia="仿宋" w:cs="仿宋_GB2312"/>
                <w:color w:val="000000"/>
                <w:sz w:val="21"/>
                <w:szCs w:val="21"/>
              </w:rPr>
            </w:pPr>
            <w:r>
              <w:rPr>
                <w:rFonts w:hint="eastAsia" w:ascii="仿宋" w:hAnsi="仿宋" w:eastAsia="仿宋" w:cs="仿宋_GB2312"/>
                <w:color w:val="000000"/>
                <w:sz w:val="21"/>
                <w:szCs w:val="21"/>
              </w:rPr>
              <w:t>文档写作科学规范，具有团队合作精神和创新意识，比赛操作严谨，代码编写规范，文明竞赛</w:t>
            </w:r>
          </w:p>
        </w:tc>
        <w:tc>
          <w:tcPr>
            <w:tcW w:w="3489" w:type="dxa"/>
            <w:tcMar>
              <w:top w:w="0" w:type="dxa"/>
              <w:left w:w="54" w:type="dxa"/>
              <w:bottom w:w="0" w:type="dxa"/>
              <w:right w:w="54"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1.分工合理</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2.操作</w:t>
            </w:r>
            <w:r>
              <w:rPr>
                <w:rFonts w:hint="eastAsia" w:ascii="仿宋" w:hAnsi="仿宋" w:eastAsia="仿宋" w:cs="仿宋_GB2312"/>
                <w:color w:val="000000"/>
                <w:sz w:val="21"/>
                <w:szCs w:val="21"/>
                <w:lang w:val="en-US" w:eastAsia="zh-CN"/>
              </w:rPr>
              <w:t>规范</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auto"/>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3.文明</w:t>
            </w:r>
            <w:r>
              <w:rPr>
                <w:rFonts w:hint="eastAsia" w:ascii="仿宋" w:hAnsi="仿宋" w:eastAsia="仿宋" w:cs="仿宋_GB2312"/>
                <w:color w:val="000000"/>
                <w:sz w:val="21"/>
                <w:szCs w:val="21"/>
                <w:lang w:val="en-US" w:eastAsia="zh-CN"/>
              </w:rPr>
              <w:t>竞赛</w:t>
            </w:r>
          </w:p>
        </w:tc>
        <w:tc>
          <w:tcPr>
            <w:tcW w:w="626" w:type="dxa"/>
            <w:tcMar>
              <w:top w:w="0" w:type="dxa"/>
              <w:left w:w="54" w:type="dxa"/>
              <w:bottom w:w="0" w:type="dxa"/>
              <w:right w:w="54" w:type="dxa"/>
            </w:tcMar>
            <w:vAlign w:val="center"/>
          </w:tcPr>
          <w:p>
            <w:pPr>
              <w:pStyle w:val="12"/>
              <w:jc w:val="center"/>
              <w:rPr>
                <w:rFonts w:ascii="仿宋" w:hAnsi="仿宋" w:eastAsia="仿宋"/>
                <w:sz w:val="21"/>
                <w:szCs w:val="21"/>
              </w:rPr>
            </w:pPr>
            <w:r>
              <w:rPr>
                <w:rFonts w:hint="eastAsia" w:ascii="仿宋" w:hAnsi="仿宋" w:eastAsia="仿宋" w:cs="仿宋_GB2312"/>
                <w:color w:val="000000"/>
                <w:sz w:val="21"/>
                <w:szCs w:val="21"/>
              </w:rPr>
              <w:t>5</w:t>
            </w:r>
          </w:p>
        </w:tc>
      </w:tr>
    </w:tbl>
    <w:p>
      <w:pPr>
        <w:spacing w:line="560" w:lineRule="exact"/>
        <w:ind w:firstLine="600" w:firstLineChars="200"/>
        <w:rPr>
          <w:rFonts w:ascii="楷体_GB2312" w:hAnsi="仿宋" w:eastAsia="楷体_GB2312" w:cstheme="minorBidi"/>
          <w:sz w:val="30"/>
          <w:szCs w:val="30"/>
        </w:rPr>
      </w:pPr>
      <w:bookmarkStart w:id="2" w:name="_GoBack"/>
      <w:bookmarkEnd w:id="2"/>
      <w:r>
        <w:rPr>
          <w:rFonts w:hint="eastAsia" w:ascii="楷体_GB2312" w:hAnsi="仿宋" w:eastAsia="楷体_GB2312" w:cstheme="minorBidi"/>
          <w:sz w:val="30"/>
          <w:szCs w:val="30"/>
        </w:rPr>
        <w:t>（二）评分方法及细则</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本赛项评分本着公平、公正、公开的原则。评分标准在注重对参赛选手综合能力考察的同时，也能客观反映参赛选手的技能水平及职业素养。</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1.参赛队成绩由赛项裁判组统一评定。采用分步得分、错误不传递、累计总分的计分方式。竞赛名次按照成绩总分从高到低排序。</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2.赛项总成绩满分100分，只对参赛队团体评分，不计个人成绩。</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3.最终成绩构成</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赛项最终成绩由</w:t>
      </w:r>
      <w:r>
        <w:rPr>
          <w:rFonts w:hint="eastAsia" w:ascii="仿宋_GB2312" w:hAnsi="仿宋" w:eastAsia="仿宋_GB2312"/>
          <w:bCs/>
          <w:sz w:val="30"/>
          <w:szCs w:val="30"/>
        </w:rPr>
        <w:t>“区块链产品方案设计与系统运维”、“智能合约开发与测试”、“区块链应用系统开发”三个模块</w:t>
      </w:r>
      <w:r>
        <w:rPr>
          <w:rFonts w:hint="eastAsia" w:ascii="仿宋_GB2312" w:hAnsi="仿宋" w:eastAsia="仿宋_GB2312"/>
          <w:sz w:val="30"/>
          <w:szCs w:val="30"/>
        </w:rPr>
        <w:t>及职业素养成绩求和，并减去扣分项计算得到。</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评分裁判依据评分方式的要求完成成绩评定工作，填写相应的评分表格后签字确认。记分员负责在监督人员监督下完成统分工作，统分表需由记分员、裁判长、监督组成员共同签字确认。统分后，记分员负责在监督人员监督下完成汇总计分工作，汇总计分表。竞赛名次按照得分高低排序。当总分相同时，用时少者名次靠前。在正式公布比赛成绩之前，任何人员不得随意泄露过程评分和结果评分的评分结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5.所有的评分表、成绩汇总表备案以供核查，最终的成绩由裁判长进行审核确认并上报大赛组委会。</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（三）违规扣分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竞赛过程中，如果发生以下问题或事故，则在竞赛队总分中作扣分处理。具体标准如下：</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.在完成工作任务的过程中，因操作不当导致人身或设备安全事故，扣10-20分，情况严重者取消比赛资格；</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.参赛选手有不服从裁判及监考、扰乱赛场秩序等行为扣10分，情节严重的，取消参赛队竞赛成绩。有作弊行为的，取消参赛队参赛资格；</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.违反赛场纪律，依据情节轻重，扣1-5分。情节特别严重，并产生不良后果的，则报赛项执委会批准，由裁判长宣布终止该选手的比赛；</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.现场裁判宣布竞赛时间结束，选手仍继续操作的，由现场裁判负责记录扣1-5分，情节严重，警告无效的，取消参赛资格。</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（四）成绩公布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赛项成绩解密后，经裁判长、监督组签字后，在赛项执委会指定的地点，以纸质形式向全体参赛队进行公布。成绩公布2小时无异议后，将赛项总成绩的最终结果录入赛务管理系统。</w:t>
      </w:r>
    </w:p>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十四、奖项设定</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此次比赛为选拔赛，不设置奖项，竞赛结果进行排名，推荐参加国赛。</w:t>
      </w:r>
    </w:p>
    <w:p>
      <w:pPr>
        <w:pStyle w:val="3"/>
        <w:spacing w:before="0" w:after="0" w:line="560" w:lineRule="exact"/>
        <w:ind w:firstLine="640" w:firstLineChars="200"/>
        <w:jc w:val="left"/>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五、赛项安全</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（一）安全保障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成立安全保障工作组，负责本赛项筹备和比赛期间的各项安全工作，根据赛项具体特点做好安全事故应急预案，保证比赛筹备和实施工作全过程的安全。赛前检查消防设施，做好安全保卫工作，防止火灾、盗窃现象发生，要按时关窗锁门，确保大赛期间赛场财产的安全。竞赛结束时，要及时进行安全检查，重点做好防火、防盗以及电气、设备的安全检查，防止因疏忽而发生事故。</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赛场周围要设立警戒线，防止无关人员进入，发生意外事件。比赛现场内应参照相关职业岗位的要求为选手提供必要的劳动保护。在具有危险性的操作环节，裁判员要严防选手出现错误操作。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在参赛选手进入赛位，赛项裁判工作人员进入工作场所时，提醒、督促参赛选手、赛项裁判工作人员严禁携带通讯、照相摄录设备，禁止携带未经许可的记录用具。如确有需要，由赛场统一配置，统一管理。赛项可根据需要配置安检设备，对进入赛场重要区域的人员进行安检，可在赛场相关区域安放无线屏蔽设备。</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（二）组队责任</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各学校组织代表队时，须安排为参赛选手购买大赛期间的人身意外伤害保险。</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各学校代表队组成后，须制定相关管理制度，并对所有选手、指导教师进行安全教育。</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各参赛队伍须加强对参赛人员的安全管理，实现与赛场安全管理的对接。</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（三）应急处理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比赛期间发生意外事故时，发现者应在第一时间上报，同时采取措施，避免事态扩大。赛项执委会应立即启动预案予以解决并向赛区执委会报告。出现重大安全问题的赛项可以停赛，是否停赛由赛区组委会决定。事后，赛区执委会应向大赛执委会报告详细情况。</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（四）处罚措施</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因参赛队伍原因造成重大安全事故的，取消其获奖资格。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参赛队伍有发生重大安全事故隐患，经赛场工作人员提示、警告无效的，可取消其继续比赛的资格。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赛事工作人员违规的，按照相应的制度追究责任。情节恶劣并造成重大安全事故的，由司法机关追究相应法律责任。</w:t>
      </w:r>
    </w:p>
    <w:p>
      <w:pPr>
        <w:pStyle w:val="3"/>
        <w:spacing w:before="0" w:after="0" w:line="560" w:lineRule="exact"/>
        <w:ind w:firstLine="640" w:firstLineChars="200"/>
        <w:jc w:val="left"/>
        <w:rPr>
          <w:rFonts w:ascii="黑体" w:hAnsi="黑体" w:eastAsia="黑体"/>
          <w:b w:val="0"/>
          <w:szCs w:val="30"/>
        </w:rPr>
      </w:pPr>
      <w:r>
        <w:rPr>
          <w:rFonts w:hint="eastAsia" w:ascii="黑体" w:hAnsi="黑体" w:eastAsia="黑体"/>
          <w:b w:val="0"/>
          <w:szCs w:val="30"/>
        </w:rPr>
        <w:t>十六、申诉与仲裁</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（一）申诉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1.参赛队对不符合竞赛规定的设备、工具、软件，有失公正的评判、奖励，以及对工作人员的违规行为等，均可提出申诉。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口头申诉，并进行现场核实。申诉发生事件的现象、发生的时间、涉及的人员、申诉依据与理由等进行充分、实事求是的叙述。事实依据不充分、仅凭主观臆断的申诉将不予受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3.竞赛仲裁组收到申诉报告后，应根据申诉事由进行审查，由裁判组组长根据申诉情况给出处理结果及处理依据和理由。</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4.申诉人不得无故拒不接受处理结果，不得采取过激行为刁难、攻击工作人员，否则视为放弃申诉。</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（二）仲裁</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autoSpaceDE w:val="0"/>
        <w:autoSpaceDN w:val="0"/>
        <w:adjustRightInd w:val="0"/>
        <w:spacing w:line="560" w:lineRule="exact"/>
        <w:ind w:firstLine="600" w:firstLineChars="200"/>
        <w:jc w:val="left"/>
        <w:rPr>
          <w:rFonts w:ascii="黑体" w:hAnsi="黑体" w:eastAsia="黑体"/>
          <w:sz w:val="30"/>
          <w:szCs w:val="30"/>
        </w:rPr>
      </w:pPr>
      <w:r>
        <w:rPr>
          <w:rFonts w:hint="eastAsia" w:ascii="黑体" w:hAnsi="黑体" w:eastAsia="黑体"/>
          <w:sz w:val="30"/>
          <w:szCs w:val="30"/>
        </w:rPr>
        <w:t>十七、竞赛须知</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（一）参赛队须知</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参赛队应该参加赛项承办单位组织的闭赛式等各项赛事活动。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在赛事期间，参赛队成员不得私自接触裁判，凡发现有弄虚作假者，取消其参赛资格，成绩无效。</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所有参赛人员须按照赛项规程要求按照完成赛项评价工作。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参赛队认为存在不符合竞赛规定的设备、工具、软件，有失公正的评判、奖励，以及工作人员的违规行为等情况时，须在该赛项竞赛结束后 2 小时内，向赛项仲裁组提交书面申诉材料。各参赛队应服从和执行申诉的最终仲裁结果。</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（二）领队、指导教师须知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各参赛代表队要发扬良好道德风尚，听从指挥，服从裁判，不弄虚作假。如发现弄虚作假者，取消参赛资格，名次无效。</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各代表队领队要坚决执行竞赛的各项规定，加强对参赛人员的管理，做好赛前准备工作，督促选手带好证件等竞赛相关材料。</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竞赛过程中，除参加当场次竞赛的选手、执行裁判员、现场工作人员和经批准的人员外，领队、指导教师及其他人员一律不得进入竞赛现场。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参赛代表队若对竞赛过程有异议，在规定的时间内由领队向赛项仲裁工作组提出书面报告。</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对申诉的仲裁结果，领队要带头服从和执行，并做好选手工作。参赛选手不得因申诉或对处理意见不服而停止竞赛，否则以弃权处理。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指导老师应及时查看大赛专用网页有关赛项的通知和内容，认真研究和掌握本赛项竞赛的规程、技术规范和赛场要求，指导选手做好赛前的一切技术准备和竞赛准备。</w:t>
      </w:r>
    </w:p>
    <w:p>
      <w:pPr>
        <w:spacing w:line="560" w:lineRule="exact"/>
        <w:ind w:firstLine="600" w:firstLineChars="200"/>
        <w:rPr>
          <w:rFonts w:ascii="楷体_GB2312" w:hAnsi="仿宋" w:eastAsia="楷体_GB2312" w:cstheme="minorBidi"/>
          <w:sz w:val="30"/>
          <w:szCs w:val="30"/>
        </w:rPr>
      </w:pPr>
      <w:r>
        <w:rPr>
          <w:rFonts w:hint="eastAsia" w:ascii="楷体_GB2312" w:hAnsi="仿宋" w:eastAsia="楷体_GB2312" w:cstheme="minorBidi"/>
          <w:sz w:val="30"/>
          <w:szCs w:val="30"/>
        </w:rPr>
        <w:t>（三）参赛选手须知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参赛选手应严格遵守赛场规章、操作规程和工艺准则，保证人身及设备安全，接受裁判员的监督和警示，文明竞赛。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参赛选手应按照规定时间抵达赛场，凭身份证、学生证，以及统一发放的参赛证，完成入场检录、抽签确定竞赛工位号，不得迟到早退。</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参赛选手进入赛场前，须将身份证、学生证、参赛证交由检录人员统一保管，不得带入场内。</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参赛选手凭竞赛工位号进入赛场，不允许携带任何电子设备及其他资料、用品。</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参赛选手应在规定的时间段进入赛场，认真核对竞赛工位号，在指定位置就座。</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参赛选手入场后，迅速确认竞赛设备状况，填写相关确认文件，并由参赛队长确认签字（竞赛工位号）。</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7</w:t>
      </w:r>
      <w:r>
        <w:rPr>
          <w:rFonts w:ascii="仿宋_GB2312" w:hAnsi="仿宋" w:eastAsia="仿宋_GB2312"/>
          <w:sz w:val="30"/>
          <w:szCs w:val="30"/>
        </w:rPr>
        <w:t>.</w:t>
      </w:r>
      <w:r>
        <w:rPr>
          <w:rFonts w:hint="eastAsia" w:ascii="仿宋_GB2312" w:hAnsi="仿宋" w:eastAsia="仿宋_GB2312"/>
          <w:sz w:val="30"/>
          <w:szCs w:val="30"/>
        </w:rPr>
        <w:t>参赛选手在收到开赛信号前不得启动操作。在竞赛过程中，确因计算机软件或硬件故障，致使操作无法继续的，经裁判长确认，予以启用备用计算机。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8</w:t>
      </w:r>
      <w:r>
        <w:rPr>
          <w:rFonts w:ascii="仿宋_GB2312" w:hAnsi="仿宋" w:eastAsia="仿宋_GB2312"/>
          <w:sz w:val="30"/>
          <w:szCs w:val="30"/>
        </w:rPr>
        <w:t>.</w:t>
      </w:r>
      <w:r>
        <w:rPr>
          <w:rFonts w:hint="eastAsia" w:ascii="仿宋_GB2312" w:hAnsi="仿宋" w:eastAsia="仿宋_GB2312"/>
          <w:sz w:val="30"/>
          <w:szCs w:val="30"/>
        </w:rPr>
        <w:t>赛项任务书及相关资料，均保存在操作系统桌面的“大赛资料”中。参赛选手应在竞赛规定时间内完成任务书内容，将相应的文档等按要求保存。</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9</w:t>
      </w:r>
      <w:r>
        <w:rPr>
          <w:rFonts w:ascii="仿宋_GB2312" w:hAnsi="仿宋" w:eastAsia="仿宋_GB2312"/>
          <w:sz w:val="30"/>
          <w:szCs w:val="30"/>
        </w:rPr>
        <w:t>.</w:t>
      </w:r>
      <w:r>
        <w:rPr>
          <w:rFonts w:hint="eastAsia" w:ascii="仿宋_GB2312" w:hAnsi="仿宋" w:eastAsia="仿宋_GB2312"/>
          <w:sz w:val="30"/>
          <w:szCs w:val="30"/>
        </w:rPr>
        <w:t>参赛选手需及时保存工作记录，以防止因操作系统异常及其他设备异常造成的数据丢失。对于因各种原因造成的数据丢失，由参赛选手自行负责。</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0.</w:t>
      </w:r>
      <w:r>
        <w:rPr>
          <w:rFonts w:hint="eastAsia" w:ascii="仿宋_GB2312" w:hAnsi="仿宋" w:eastAsia="仿宋_GB2312"/>
          <w:sz w:val="30"/>
          <w:szCs w:val="30"/>
        </w:rPr>
        <w:t>参赛队所提交的答卷采用竞赛工位号进行标识，不得出现地名、校名、姓名、参赛证编号等信息，否则取消竞赛成绩。</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1.</w:t>
      </w:r>
      <w:r>
        <w:rPr>
          <w:rFonts w:hint="eastAsia" w:ascii="仿宋_GB2312" w:hAnsi="仿宋" w:eastAsia="仿宋_GB2312"/>
          <w:sz w:val="30"/>
          <w:szCs w:val="30"/>
        </w:rPr>
        <w:t>竞赛过程中，因严重操作失误或安全事故不能进行比赛的（例如因操作原因发生短路导致赛场断电的、造成设备不能正常工作的），现场裁判员有权中止该队比赛。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参赛期间，选手连续工作，选手休息和如厕时间均计算在比赛时间内。</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在比赛中如遇非人为因素造成的设备故障，经裁判确认后，可向裁判长申请补足排除故障的时间。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参赛选手不得因各种原因提前结束比赛。如确因不可抗因素需要离开赛场的，须向现场裁判员举手示意，经裁判员许可并完成记录后，方可离开。</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5.</w:t>
      </w:r>
      <w:r>
        <w:rPr>
          <w:rFonts w:hint="eastAsia" w:ascii="仿宋_GB2312" w:hAnsi="仿宋" w:eastAsia="仿宋_GB2312"/>
          <w:sz w:val="30"/>
          <w:szCs w:val="30"/>
        </w:rPr>
        <w:t>凡在竞赛期间内提前离开的选手，不得返回赛场。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6.</w:t>
      </w:r>
      <w:r>
        <w:rPr>
          <w:rFonts w:hint="eastAsia" w:ascii="仿宋_GB2312" w:hAnsi="仿宋" w:eastAsia="仿宋_GB2312"/>
          <w:sz w:val="30"/>
          <w:szCs w:val="30"/>
        </w:rPr>
        <w:t>竞赛操作结束后，参赛选手需要根据任务书要求，将相关成果文件拷贝至U盘，填写结束比赛相关确认文件，并由参赛队长签字确认（竞赛工位号）。因参赛选手未能按要求，将相应的文档等拷贝至U盘的，竞赛成绩计为零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7.</w:t>
      </w:r>
      <w:r>
        <w:rPr>
          <w:rFonts w:hint="eastAsia" w:ascii="仿宋_GB2312" w:hAnsi="仿宋" w:eastAsia="仿宋_GB2312"/>
          <w:sz w:val="30"/>
          <w:szCs w:val="30"/>
        </w:rPr>
        <w:t>竞赛时间终了，选手应全体起立，结束操作。经工作人员检查后可离开赛场，离开赛场时不得带走任何资料与设备。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8.</w:t>
      </w:r>
      <w:r>
        <w:rPr>
          <w:rFonts w:hint="eastAsia" w:ascii="仿宋_GB2312" w:hAnsi="仿宋" w:eastAsia="仿宋_GB2312"/>
          <w:sz w:val="30"/>
          <w:szCs w:val="30"/>
        </w:rPr>
        <w:t>在竞赛期间，未经执委会批准，参赛选手不得接受其他单位和个人进行的与竞赛内容相关的采访。参赛选手不得将竞赛的相关信息私自公布。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9.</w:t>
      </w:r>
      <w:r>
        <w:rPr>
          <w:rFonts w:hint="eastAsia" w:ascii="仿宋_GB2312" w:hAnsi="仿宋" w:eastAsia="仿宋_GB2312"/>
          <w:sz w:val="30"/>
          <w:szCs w:val="30"/>
        </w:rPr>
        <w:t>符合下列情形之一的参赛选手，经裁判组裁定后中止其竞赛:</w:t>
      </w:r>
    </w:p>
    <w:p>
      <w:pPr>
        <w:pStyle w:val="27"/>
        <w:numPr>
          <w:ilvl w:val="0"/>
          <w:numId w:val="3"/>
        </w:numPr>
        <w:spacing w:line="560" w:lineRule="exact"/>
        <w:ind w:firstLineChars="0"/>
        <w:rPr>
          <w:rFonts w:ascii="仿宋_GB2312" w:hAnsi="仿宋" w:eastAsia="仿宋_GB2312"/>
          <w:sz w:val="30"/>
          <w:szCs w:val="30"/>
        </w:rPr>
      </w:pPr>
      <w:r>
        <w:rPr>
          <w:rFonts w:hint="eastAsia" w:ascii="仿宋_GB2312" w:hAnsi="仿宋" w:eastAsia="仿宋_GB2312"/>
          <w:sz w:val="30"/>
          <w:szCs w:val="30"/>
        </w:rPr>
        <w:t>不服从裁判员、监考员管理、扰乱赛场秩序、干扰其他参赛选手比赛，裁判员应提出警告，二次警告后无效，或情节特别严重，造成竞赛中止的，经裁判长确认，中止比赛，并取消竞赛资格和竞赛成绩。</w:t>
      </w:r>
    </w:p>
    <w:p>
      <w:pPr>
        <w:pStyle w:val="27"/>
        <w:numPr>
          <w:ilvl w:val="0"/>
          <w:numId w:val="3"/>
        </w:numPr>
        <w:spacing w:line="560" w:lineRule="exact"/>
        <w:ind w:firstLineChars="0"/>
        <w:rPr>
          <w:rFonts w:ascii="仿宋_GB2312" w:hAnsi="仿宋" w:eastAsia="仿宋_GB2312"/>
          <w:sz w:val="30"/>
          <w:szCs w:val="30"/>
        </w:rPr>
      </w:pPr>
      <w:r>
        <w:rPr>
          <w:rFonts w:hint="eastAsia" w:ascii="仿宋_GB2312" w:hAnsi="仿宋" w:eastAsia="仿宋_GB2312"/>
          <w:sz w:val="30"/>
          <w:szCs w:val="30"/>
        </w:rPr>
        <w:t>竞赛过程中，由于选手人为造成计算机、仪器设备及工具等严重损坏，负责赔偿其损失，并由裁判组裁定其竞赛结束与否、是否保留竞赛资格、是否累计其有效竞赛成绩。</w:t>
      </w:r>
    </w:p>
    <w:p>
      <w:pPr>
        <w:pStyle w:val="27"/>
        <w:numPr>
          <w:ilvl w:val="0"/>
          <w:numId w:val="3"/>
        </w:numPr>
        <w:spacing w:line="560" w:lineRule="exact"/>
        <w:ind w:firstLineChars="0"/>
        <w:rPr>
          <w:rFonts w:ascii="仿宋_GB2312" w:hAnsi="仿宋" w:eastAsia="仿宋_GB2312"/>
          <w:sz w:val="30"/>
          <w:szCs w:val="30"/>
        </w:rPr>
      </w:pPr>
      <w:r>
        <w:rPr>
          <w:rFonts w:hint="eastAsia" w:ascii="仿宋_GB2312" w:hAnsi="仿宋" w:eastAsia="仿宋_GB2312"/>
          <w:sz w:val="30"/>
          <w:szCs w:val="30"/>
        </w:rPr>
        <w:t>竞赛过程中，产生重大安全事故、或有产生重大安全事故隐患，经裁判员提示没有采取措施的，裁判员可暂停其竞赛，由裁判组裁定其竞赛结束，保留竞赛资格和有效竞赛成绩。</w:t>
      </w:r>
    </w:p>
    <w:sectPr>
      <w:headerReference r:id="rId3" w:type="default"/>
      <w:footerReference r:id="rId4" w:type="default"/>
      <w:pgSz w:w="11906" w:h="16838"/>
      <w:pgMar w:top="2098" w:right="1247" w:bottom="1985"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F7DC"/>
    <w:multiLevelType w:val="singleLevel"/>
    <w:tmpl w:val="987CF7DC"/>
    <w:lvl w:ilvl="0" w:tentative="0">
      <w:start w:val="10"/>
      <w:numFmt w:val="chineseCounting"/>
      <w:suff w:val="nothing"/>
      <w:lvlText w:val="%1、"/>
      <w:lvlJc w:val="left"/>
      <w:rPr>
        <w:rFonts w:hint="eastAsia"/>
      </w:rPr>
    </w:lvl>
  </w:abstractNum>
  <w:abstractNum w:abstractNumId="1">
    <w:nsid w:val="56681BDA"/>
    <w:multiLevelType w:val="multilevel"/>
    <w:tmpl w:val="56681BDA"/>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89D4894"/>
    <w:multiLevelType w:val="multilevel"/>
    <w:tmpl w:val="589D4894"/>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MzZhNWZiZTY2MTVlZDE0YzE0NGRlOGJiNmFiMTQifQ=="/>
  </w:docVars>
  <w:rsids>
    <w:rsidRoot w:val="008513EE"/>
    <w:rsid w:val="00005947"/>
    <w:rsid w:val="000160F5"/>
    <w:rsid w:val="000169C0"/>
    <w:rsid w:val="00017A85"/>
    <w:rsid w:val="00020C66"/>
    <w:rsid w:val="0002431E"/>
    <w:rsid w:val="00024507"/>
    <w:rsid w:val="00025591"/>
    <w:rsid w:val="0002596C"/>
    <w:rsid w:val="00031D01"/>
    <w:rsid w:val="000321B2"/>
    <w:rsid w:val="00037955"/>
    <w:rsid w:val="00037B5D"/>
    <w:rsid w:val="00037F1A"/>
    <w:rsid w:val="0004137B"/>
    <w:rsid w:val="0004154F"/>
    <w:rsid w:val="00041980"/>
    <w:rsid w:val="00050CE4"/>
    <w:rsid w:val="000517D4"/>
    <w:rsid w:val="00051A89"/>
    <w:rsid w:val="0005399F"/>
    <w:rsid w:val="00057F85"/>
    <w:rsid w:val="00061F09"/>
    <w:rsid w:val="00071E2D"/>
    <w:rsid w:val="000721A0"/>
    <w:rsid w:val="00077DC5"/>
    <w:rsid w:val="00082464"/>
    <w:rsid w:val="00091C83"/>
    <w:rsid w:val="00092C3A"/>
    <w:rsid w:val="0009408B"/>
    <w:rsid w:val="000950A4"/>
    <w:rsid w:val="00096AB7"/>
    <w:rsid w:val="000A1150"/>
    <w:rsid w:val="000A1EE3"/>
    <w:rsid w:val="000A3BF6"/>
    <w:rsid w:val="000A44EC"/>
    <w:rsid w:val="000A6605"/>
    <w:rsid w:val="000A7061"/>
    <w:rsid w:val="000B2464"/>
    <w:rsid w:val="000B2E18"/>
    <w:rsid w:val="000B3C2A"/>
    <w:rsid w:val="000B5298"/>
    <w:rsid w:val="000B67A6"/>
    <w:rsid w:val="000C49F6"/>
    <w:rsid w:val="000D22FA"/>
    <w:rsid w:val="000D2A8F"/>
    <w:rsid w:val="000D2B03"/>
    <w:rsid w:val="000D4183"/>
    <w:rsid w:val="000D68E8"/>
    <w:rsid w:val="000E7F35"/>
    <w:rsid w:val="001000C3"/>
    <w:rsid w:val="001005FC"/>
    <w:rsid w:val="00100BD3"/>
    <w:rsid w:val="0010116C"/>
    <w:rsid w:val="0010289D"/>
    <w:rsid w:val="00103AF5"/>
    <w:rsid w:val="00104ED6"/>
    <w:rsid w:val="001102B5"/>
    <w:rsid w:val="00111112"/>
    <w:rsid w:val="001114C6"/>
    <w:rsid w:val="0011251B"/>
    <w:rsid w:val="001169E1"/>
    <w:rsid w:val="0011714B"/>
    <w:rsid w:val="00117654"/>
    <w:rsid w:val="0012031F"/>
    <w:rsid w:val="001246D1"/>
    <w:rsid w:val="00126EF6"/>
    <w:rsid w:val="00130F75"/>
    <w:rsid w:val="00134A5C"/>
    <w:rsid w:val="00137997"/>
    <w:rsid w:val="00156001"/>
    <w:rsid w:val="00156E65"/>
    <w:rsid w:val="001644E0"/>
    <w:rsid w:val="001701EA"/>
    <w:rsid w:val="001744EF"/>
    <w:rsid w:val="00176F22"/>
    <w:rsid w:val="001830EC"/>
    <w:rsid w:val="001843A8"/>
    <w:rsid w:val="00185BA6"/>
    <w:rsid w:val="00186748"/>
    <w:rsid w:val="001934FA"/>
    <w:rsid w:val="00196169"/>
    <w:rsid w:val="00196F48"/>
    <w:rsid w:val="00197E9B"/>
    <w:rsid w:val="001A0F5C"/>
    <w:rsid w:val="001A287F"/>
    <w:rsid w:val="001A3484"/>
    <w:rsid w:val="001A709B"/>
    <w:rsid w:val="001A791A"/>
    <w:rsid w:val="001B0BAC"/>
    <w:rsid w:val="001B233E"/>
    <w:rsid w:val="001B7E0A"/>
    <w:rsid w:val="001C00F9"/>
    <w:rsid w:val="001C1650"/>
    <w:rsid w:val="001C1668"/>
    <w:rsid w:val="001C5AA6"/>
    <w:rsid w:val="001D05B2"/>
    <w:rsid w:val="001D07EC"/>
    <w:rsid w:val="001D34F4"/>
    <w:rsid w:val="001D44EA"/>
    <w:rsid w:val="001D687F"/>
    <w:rsid w:val="001E2FA5"/>
    <w:rsid w:val="001E4941"/>
    <w:rsid w:val="001F0190"/>
    <w:rsid w:val="001F679E"/>
    <w:rsid w:val="001F7ED2"/>
    <w:rsid w:val="0020265B"/>
    <w:rsid w:val="00202C60"/>
    <w:rsid w:val="00202F66"/>
    <w:rsid w:val="002037AD"/>
    <w:rsid w:val="00203E6F"/>
    <w:rsid w:val="00205E45"/>
    <w:rsid w:val="00207616"/>
    <w:rsid w:val="00212F20"/>
    <w:rsid w:val="00213179"/>
    <w:rsid w:val="00217830"/>
    <w:rsid w:val="0021795A"/>
    <w:rsid w:val="00220B3F"/>
    <w:rsid w:val="00223B5C"/>
    <w:rsid w:val="00225EC2"/>
    <w:rsid w:val="00226980"/>
    <w:rsid w:val="00227BD6"/>
    <w:rsid w:val="0023297A"/>
    <w:rsid w:val="0023428C"/>
    <w:rsid w:val="0023624B"/>
    <w:rsid w:val="0023704A"/>
    <w:rsid w:val="0023786A"/>
    <w:rsid w:val="002406CC"/>
    <w:rsid w:val="00241623"/>
    <w:rsid w:val="00251638"/>
    <w:rsid w:val="0025200A"/>
    <w:rsid w:val="002534DF"/>
    <w:rsid w:val="0025378D"/>
    <w:rsid w:val="00253A6A"/>
    <w:rsid w:val="00254CFC"/>
    <w:rsid w:val="002558E7"/>
    <w:rsid w:val="00255DBA"/>
    <w:rsid w:val="0025662D"/>
    <w:rsid w:val="00267CBD"/>
    <w:rsid w:val="00267FA9"/>
    <w:rsid w:val="002741DB"/>
    <w:rsid w:val="0028093C"/>
    <w:rsid w:val="00281EC3"/>
    <w:rsid w:val="0028556E"/>
    <w:rsid w:val="00287512"/>
    <w:rsid w:val="00290420"/>
    <w:rsid w:val="002911AA"/>
    <w:rsid w:val="00295797"/>
    <w:rsid w:val="00297A63"/>
    <w:rsid w:val="002A03C9"/>
    <w:rsid w:val="002A04E2"/>
    <w:rsid w:val="002A4A16"/>
    <w:rsid w:val="002A786E"/>
    <w:rsid w:val="002B21EA"/>
    <w:rsid w:val="002B6C35"/>
    <w:rsid w:val="002C5941"/>
    <w:rsid w:val="002D0E98"/>
    <w:rsid w:val="002D265D"/>
    <w:rsid w:val="002D2699"/>
    <w:rsid w:val="002D389A"/>
    <w:rsid w:val="002D5F97"/>
    <w:rsid w:val="002E2734"/>
    <w:rsid w:val="002F1645"/>
    <w:rsid w:val="002F1739"/>
    <w:rsid w:val="002F4A9F"/>
    <w:rsid w:val="002F6F2E"/>
    <w:rsid w:val="002F7521"/>
    <w:rsid w:val="002F7A66"/>
    <w:rsid w:val="002F7FF7"/>
    <w:rsid w:val="00303103"/>
    <w:rsid w:val="00307B0A"/>
    <w:rsid w:val="003204B8"/>
    <w:rsid w:val="00321E89"/>
    <w:rsid w:val="00322D05"/>
    <w:rsid w:val="00325791"/>
    <w:rsid w:val="00332941"/>
    <w:rsid w:val="003361D0"/>
    <w:rsid w:val="00344A38"/>
    <w:rsid w:val="00353934"/>
    <w:rsid w:val="00355932"/>
    <w:rsid w:val="003563BF"/>
    <w:rsid w:val="003569C5"/>
    <w:rsid w:val="0036552F"/>
    <w:rsid w:val="003709E3"/>
    <w:rsid w:val="003736A3"/>
    <w:rsid w:val="00373943"/>
    <w:rsid w:val="00375FA5"/>
    <w:rsid w:val="00377A14"/>
    <w:rsid w:val="00382607"/>
    <w:rsid w:val="00386C76"/>
    <w:rsid w:val="00390708"/>
    <w:rsid w:val="003929B0"/>
    <w:rsid w:val="0039687E"/>
    <w:rsid w:val="00397ADD"/>
    <w:rsid w:val="00397CC7"/>
    <w:rsid w:val="003A41D3"/>
    <w:rsid w:val="003A6996"/>
    <w:rsid w:val="003A6CB0"/>
    <w:rsid w:val="003A74A7"/>
    <w:rsid w:val="003B01FC"/>
    <w:rsid w:val="003B0C46"/>
    <w:rsid w:val="003B5D4F"/>
    <w:rsid w:val="003B7CB9"/>
    <w:rsid w:val="003C2804"/>
    <w:rsid w:val="003C2E66"/>
    <w:rsid w:val="003C4B31"/>
    <w:rsid w:val="003C68ED"/>
    <w:rsid w:val="003D09EF"/>
    <w:rsid w:val="003D347D"/>
    <w:rsid w:val="003D4748"/>
    <w:rsid w:val="003D5656"/>
    <w:rsid w:val="003E1013"/>
    <w:rsid w:val="003E6793"/>
    <w:rsid w:val="003E6980"/>
    <w:rsid w:val="003E6D52"/>
    <w:rsid w:val="003F0572"/>
    <w:rsid w:val="003F0FA5"/>
    <w:rsid w:val="003F1096"/>
    <w:rsid w:val="003F1D59"/>
    <w:rsid w:val="003F2493"/>
    <w:rsid w:val="003F29CA"/>
    <w:rsid w:val="003F4436"/>
    <w:rsid w:val="00400F0D"/>
    <w:rsid w:val="00403221"/>
    <w:rsid w:val="00405150"/>
    <w:rsid w:val="00405886"/>
    <w:rsid w:val="00406213"/>
    <w:rsid w:val="004078B9"/>
    <w:rsid w:val="00407B17"/>
    <w:rsid w:val="00416473"/>
    <w:rsid w:val="00424D5F"/>
    <w:rsid w:val="00425E4B"/>
    <w:rsid w:val="0042650B"/>
    <w:rsid w:val="0042755F"/>
    <w:rsid w:val="00427C7B"/>
    <w:rsid w:val="00440934"/>
    <w:rsid w:val="00440D3F"/>
    <w:rsid w:val="00443522"/>
    <w:rsid w:val="00446604"/>
    <w:rsid w:val="00452323"/>
    <w:rsid w:val="004541A9"/>
    <w:rsid w:val="00454EA0"/>
    <w:rsid w:val="004550A2"/>
    <w:rsid w:val="0046131E"/>
    <w:rsid w:val="00461710"/>
    <w:rsid w:val="0046266E"/>
    <w:rsid w:val="0046360B"/>
    <w:rsid w:val="00466E18"/>
    <w:rsid w:val="00470AD6"/>
    <w:rsid w:val="004733F7"/>
    <w:rsid w:val="00477CD5"/>
    <w:rsid w:val="0048081F"/>
    <w:rsid w:val="0048474F"/>
    <w:rsid w:val="0048660A"/>
    <w:rsid w:val="004919B9"/>
    <w:rsid w:val="0049245C"/>
    <w:rsid w:val="00492629"/>
    <w:rsid w:val="004A274B"/>
    <w:rsid w:val="004A65BB"/>
    <w:rsid w:val="004B07D6"/>
    <w:rsid w:val="004B7E0B"/>
    <w:rsid w:val="004C6780"/>
    <w:rsid w:val="004D4F94"/>
    <w:rsid w:val="004D5E84"/>
    <w:rsid w:val="004E0466"/>
    <w:rsid w:val="004E0C56"/>
    <w:rsid w:val="004E32E9"/>
    <w:rsid w:val="004E4CCB"/>
    <w:rsid w:val="004E70C7"/>
    <w:rsid w:val="004E75A6"/>
    <w:rsid w:val="004F0E6E"/>
    <w:rsid w:val="004F5021"/>
    <w:rsid w:val="004F7C25"/>
    <w:rsid w:val="00503FFF"/>
    <w:rsid w:val="00510C82"/>
    <w:rsid w:val="00512275"/>
    <w:rsid w:val="005172DB"/>
    <w:rsid w:val="00521D62"/>
    <w:rsid w:val="00525158"/>
    <w:rsid w:val="0053083B"/>
    <w:rsid w:val="0053165D"/>
    <w:rsid w:val="0053417C"/>
    <w:rsid w:val="00543A1E"/>
    <w:rsid w:val="005447B1"/>
    <w:rsid w:val="0054773A"/>
    <w:rsid w:val="00547C17"/>
    <w:rsid w:val="00551460"/>
    <w:rsid w:val="00552E1C"/>
    <w:rsid w:val="00554213"/>
    <w:rsid w:val="00555D00"/>
    <w:rsid w:val="00556683"/>
    <w:rsid w:val="00565665"/>
    <w:rsid w:val="00565D33"/>
    <w:rsid w:val="0056683E"/>
    <w:rsid w:val="00567A4D"/>
    <w:rsid w:val="00576A66"/>
    <w:rsid w:val="00580E15"/>
    <w:rsid w:val="00580EEE"/>
    <w:rsid w:val="00580FCD"/>
    <w:rsid w:val="005817A2"/>
    <w:rsid w:val="00582A19"/>
    <w:rsid w:val="0058361A"/>
    <w:rsid w:val="00585C60"/>
    <w:rsid w:val="00586650"/>
    <w:rsid w:val="00587F32"/>
    <w:rsid w:val="005946D6"/>
    <w:rsid w:val="005A1729"/>
    <w:rsid w:val="005A440A"/>
    <w:rsid w:val="005A6394"/>
    <w:rsid w:val="005A6B70"/>
    <w:rsid w:val="005A74E8"/>
    <w:rsid w:val="005B26E0"/>
    <w:rsid w:val="005B48E3"/>
    <w:rsid w:val="005B5FCB"/>
    <w:rsid w:val="005C1DEA"/>
    <w:rsid w:val="005C34EE"/>
    <w:rsid w:val="005C36F3"/>
    <w:rsid w:val="005C6863"/>
    <w:rsid w:val="005C7640"/>
    <w:rsid w:val="005C7A4B"/>
    <w:rsid w:val="005D0828"/>
    <w:rsid w:val="005D296F"/>
    <w:rsid w:val="005D2C1C"/>
    <w:rsid w:val="005E1C3B"/>
    <w:rsid w:val="005E5ED7"/>
    <w:rsid w:val="00602B40"/>
    <w:rsid w:val="00604D4B"/>
    <w:rsid w:val="00605B7D"/>
    <w:rsid w:val="006077D0"/>
    <w:rsid w:val="00613C67"/>
    <w:rsid w:val="00615987"/>
    <w:rsid w:val="00617C34"/>
    <w:rsid w:val="00621C07"/>
    <w:rsid w:val="006227B7"/>
    <w:rsid w:val="00624D64"/>
    <w:rsid w:val="0064275A"/>
    <w:rsid w:val="006446E4"/>
    <w:rsid w:val="0064489C"/>
    <w:rsid w:val="00652088"/>
    <w:rsid w:val="006522DE"/>
    <w:rsid w:val="0065243A"/>
    <w:rsid w:val="006524C8"/>
    <w:rsid w:val="00663848"/>
    <w:rsid w:val="006726AD"/>
    <w:rsid w:val="00675032"/>
    <w:rsid w:val="00682746"/>
    <w:rsid w:val="00682ED0"/>
    <w:rsid w:val="006842C3"/>
    <w:rsid w:val="00685261"/>
    <w:rsid w:val="00690336"/>
    <w:rsid w:val="0069401C"/>
    <w:rsid w:val="006A074C"/>
    <w:rsid w:val="006A0CD0"/>
    <w:rsid w:val="006A3508"/>
    <w:rsid w:val="006A4B3A"/>
    <w:rsid w:val="006A4D91"/>
    <w:rsid w:val="006A4F59"/>
    <w:rsid w:val="006A603F"/>
    <w:rsid w:val="006A7907"/>
    <w:rsid w:val="006B1420"/>
    <w:rsid w:val="006B1545"/>
    <w:rsid w:val="006B16EC"/>
    <w:rsid w:val="006B19CA"/>
    <w:rsid w:val="006C2717"/>
    <w:rsid w:val="006D2E6B"/>
    <w:rsid w:val="006E1400"/>
    <w:rsid w:val="006E3FA2"/>
    <w:rsid w:val="006E4E7F"/>
    <w:rsid w:val="006E5757"/>
    <w:rsid w:val="006E5835"/>
    <w:rsid w:val="006E6A7F"/>
    <w:rsid w:val="006F1081"/>
    <w:rsid w:val="006F1E59"/>
    <w:rsid w:val="006F6105"/>
    <w:rsid w:val="00713F44"/>
    <w:rsid w:val="0071423C"/>
    <w:rsid w:val="007145CB"/>
    <w:rsid w:val="007255EC"/>
    <w:rsid w:val="00725DA8"/>
    <w:rsid w:val="00726044"/>
    <w:rsid w:val="0072794E"/>
    <w:rsid w:val="00736CDC"/>
    <w:rsid w:val="007370DF"/>
    <w:rsid w:val="00737332"/>
    <w:rsid w:val="00737AE9"/>
    <w:rsid w:val="007426F5"/>
    <w:rsid w:val="00742799"/>
    <w:rsid w:val="00742CD2"/>
    <w:rsid w:val="0074507B"/>
    <w:rsid w:val="00745124"/>
    <w:rsid w:val="00745C75"/>
    <w:rsid w:val="00747A61"/>
    <w:rsid w:val="00750CDE"/>
    <w:rsid w:val="00752937"/>
    <w:rsid w:val="007601C5"/>
    <w:rsid w:val="00760952"/>
    <w:rsid w:val="007623E4"/>
    <w:rsid w:val="0076500B"/>
    <w:rsid w:val="0077092E"/>
    <w:rsid w:val="00774137"/>
    <w:rsid w:val="00775E8D"/>
    <w:rsid w:val="00783A12"/>
    <w:rsid w:val="007853A4"/>
    <w:rsid w:val="00786E09"/>
    <w:rsid w:val="00787259"/>
    <w:rsid w:val="00795E15"/>
    <w:rsid w:val="007A5406"/>
    <w:rsid w:val="007A7C35"/>
    <w:rsid w:val="007A7FD6"/>
    <w:rsid w:val="007B1526"/>
    <w:rsid w:val="007B34E6"/>
    <w:rsid w:val="007B5110"/>
    <w:rsid w:val="007C10CE"/>
    <w:rsid w:val="007C1BDA"/>
    <w:rsid w:val="007C24BA"/>
    <w:rsid w:val="007C3FA6"/>
    <w:rsid w:val="007C4E05"/>
    <w:rsid w:val="007C58B1"/>
    <w:rsid w:val="007C60E9"/>
    <w:rsid w:val="007C6403"/>
    <w:rsid w:val="007C6897"/>
    <w:rsid w:val="007D492B"/>
    <w:rsid w:val="007D588C"/>
    <w:rsid w:val="007D71E9"/>
    <w:rsid w:val="007E35AE"/>
    <w:rsid w:val="007F1A4C"/>
    <w:rsid w:val="007F1EB0"/>
    <w:rsid w:val="007F2740"/>
    <w:rsid w:val="007F4E5A"/>
    <w:rsid w:val="007F5852"/>
    <w:rsid w:val="00802EE1"/>
    <w:rsid w:val="008034A3"/>
    <w:rsid w:val="008034D8"/>
    <w:rsid w:val="00820F6F"/>
    <w:rsid w:val="0082330B"/>
    <w:rsid w:val="00823E34"/>
    <w:rsid w:val="00830833"/>
    <w:rsid w:val="00833C4C"/>
    <w:rsid w:val="0083682D"/>
    <w:rsid w:val="00843171"/>
    <w:rsid w:val="00850591"/>
    <w:rsid w:val="008513EE"/>
    <w:rsid w:val="008514E4"/>
    <w:rsid w:val="00851E7F"/>
    <w:rsid w:val="008528D6"/>
    <w:rsid w:val="008559AD"/>
    <w:rsid w:val="00863094"/>
    <w:rsid w:val="008636E5"/>
    <w:rsid w:val="00863F9A"/>
    <w:rsid w:val="008648BE"/>
    <w:rsid w:val="00865E10"/>
    <w:rsid w:val="00880670"/>
    <w:rsid w:val="0088179B"/>
    <w:rsid w:val="008818AD"/>
    <w:rsid w:val="008818CD"/>
    <w:rsid w:val="00884E0A"/>
    <w:rsid w:val="00885577"/>
    <w:rsid w:val="00890357"/>
    <w:rsid w:val="008908C3"/>
    <w:rsid w:val="008909DE"/>
    <w:rsid w:val="008925E5"/>
    <w:rsid w:val="00896041"/>
    <w:rsid w:val="008A1D7D"/>
    <w:rsid w:val="008A391D"/>
    <w:rsid w:val="008A3BA3"/>
    <w:rsid w:val="008A582E"/>
    <w:rsid w:val="008A631A"/>
    <w:rsid w:val="008B1F3A"/>
    <w:rsid w:val="008B2B66"/>
    <w:rsid w:val="008B41ED"/>
    <w:rsid w:val="008B4279"/>
    <w:rsid w:val="008C1561"/>
    <w:rsid w:val="008C3BAD"/>
    <w:rsid w:val="008C5574"/>
    <w:rsid w:val="008C5AC2"/>
    <w:rsid w:val="008D225D"/>
    <w:rsid w:val="008D6F6B"/>
    <w:rsid w:val="008E0328"/>
    <w:rsid w:val="008F39C1"/>
    <w:rsid w:val="00902EDF"/>
    <w:rsid w:val="00903E83"/>
    <w:rsid w:val="009061C2"/>
    <w:rsid w:val="00910326"/>
    <w:rsid w:val="0091102D"/>
    <w:rsid w:val="00912FEB"/>
    <w:rsid w:val="009131D2"/>
    <w:rsid w:val="0092128F"/>
    <w:rsid w:val="00921492"/>
    <w:rsid w:val="009224AA"/>
    <w:rsid w:val="00927F74"/>
    <w:rsid w:val="00931338"/>
    <w:rsid w:val="00931EC5"/>
    <w:rsid w:val="00932C46"/>
    <w:rsid w:val="0093303F"/>
    <w:rsid w:val="0093572D"/>
    <w:rsid w:val="0093609A"/>
    <w:rsid w:val="0094418F"/>
    <w:rsid w:val="009444BE"/>
    <w:rsid w:val="00950080"/>
    <w:rsid w:val="00950D68"/>
    <w:rsid w:val="009512B0"/>
    <w:rsid w:val="00952554"/>
    <w:rsid w:val="00955508"/>
    <w:rsid w:val="00955B83"/>
    <w:rsid w:val="00956188"/>
    <w:rsid w:val="00956C05"/>
    <w:rsid w:val="009574F6"/>
    <w:rsid w:val="009577C3"/>
    <w:rsid w:val="009600CE"/>
    <w:rsid w:val="00964271"/>
    <w:rsid w:val="00964644"/>
    <w:rsid w:val="00971530"/>
    <w:rsid w:val="00972711"/>
    <w:rsid w:val="00972FE1"/>
    <w:rsid w:val="00974928"/>
    <w:rsid w:val="00985F25"/>
    <w:rsid w:val="00992441"/>
    <w:rsid w:val="009934F9"/>
    <w:rsid w:val="009A41D5"/>
    <w:rsid w:val="009A6634"/>
    <w:rsid w:val="009A6BE3"/>
    <w:rsid w:val="009B1AAD"/>
    <w:rsid w:val="009B242A"/>
    <w:rsid w:val="009B4D18"/>
    <w:rsid w:val="009B5903"/>
    <w:rsid w:val="009C4E8A"/>
    <w:rsid w:val="009D3CE7"/>
    <w:rsid w:val="009D4462"/>
    <w:rsid w:val="009E24E2"/>
    <w:rsid w:val="009E3963"/>
    <w:rsid w:val="009E3A20"/>
    <w:rsid w:val="009E5A37"/>
    <w:rsid w:val="009E5A40"/>
    <w:rsid w:val="009E7F86"/>
    <w:rsid w:val="009F42D0"/>
    <w:rsid w:val="009F50AB"/>
    <w:rsid w:val="009F733B"/>
    <w:rsid w:val="00A06453"/>
    <w:rsid w:val="00A21BF1"/>
    <w:rsid w:val="00A21D15"/>
    <w:rsid w:val="00A231A6"/>
    <w:rsid w:val="00A24166"/>
    <w:rsid w:val="00A3277C"/>
    <w:rsid w:val="00A339C4"/>
    <w:rsid w:val="00A35B49"/>
    <w:rsid w:val="00A4018F"/>
    <w:rsid w:val="00A41E13"/>
    <w:rsid w:val="00A43559"/>
    <w:rsid w:val="00A44B56"/>
    <w:rsid w:val="00A44EFC"/>
    <w:rsid w:val="00A45324"/>
    <w:rsid w:val="00A46A19"/>
    <w:rsid w:val="00A47F29"/>
    <w:rsid w:val="00A51B6F"/>
    <w:rsid w:val="00A5232E"/>
    <w:rsid w:val="00A53EE4"/>
    <w:rsid w:val="00A626C2"/>
    <w:rsid w:val="00A62A6F"/>
    <w:rsid w:val="00A666D8"/>
    <w:rsid w:val="00A67F52"/>
    <w:rsid w:val="00A67FE1"/>
    <w:rsid w:val="00A732E2"/>
    <w:rsid w:val="00A8091B"/>
    <w:rsid w:val="00A80DEF"/>
    <w:rsid w:val="00A83B24"/>
    <w:rsid w:val="00A83DFA"/>
    <w:rsid w:val="00A85A4A"/>
    <w:rsid w:val="00A87A17"/>
    <w:rsid w:val="00A87B94"/>
    <w:rsid w:val="00A87EC4"/>
    <w:rsid w:val="00A91A42"/>
    <w:rsid w:val="00A94376"/>
    <w:rsid w:val="00A9542D"/>
    <w:rsid w:val="00A957D6"/>
    <w:rsid w:val="00A95818"/>
    <w:rsid w:val="00AA11AD"/>
    <w:rsid w:val="00AA1910"/>
    <w:rsid w:val="00AA3316"/>
    <w:rsid w:val="00AA6208"/>
    <w:rsid w:val="00AA7206"/>
    <w:rsid w:val="00AA7550"/>
    <w:rsid w:val="00AB2100"/>
    <w:rsid w:val="00AB4293"/>
    <w:rsid w:val="00AB7838"/>
    <w:rsid w:val="00AC0D0C"/>
    <w:rsid w:val="00AC23D0"/>
    <w:rsid w:val="00AC24ED"/>
    <w:rsid w:val="00AC3D4D"/>
    <w:rsid w:val="00AC432B"/>
    <w:rsid w:val="00AC4D37"/>
    <w:rsid w:val="00AC5B65"/>
    <w:rsid w:val="00AC6400"/>
    <w:rsid w:val="00AD28CD"/>
    <w:rsid w:val="00AD2AD4"/>
    <w:rsid w:val="00AD5B9E"/>
    <w:rsid w:val="00AE33F1"/>
    <w:rsid w:val="00AE4681"/>
    <w:rsid w:val="00AE53F2"/>
    <w:rsid w:val="00AF7124"/>
    <w:rsid w:val="00B015E4"/>
    <w:rsid w:val="00B025DA"/>
    <w:rsid w:val="00B06B65"/>
    <w:rsid w:val="00B11BAD"/>
    <w:rsid w:val="00B15431"/>
    <w:rsid w:val="00B20085"/>
    <w:rsid w:val="00B2126C"/>
    <w:rsid w:val="00B2128F"/>
    <w:rsid w:val="00B22B2B"/>
    <w:rsid w:val="00B26D39"/>
    <w:rsid w:val="00B30FAF"/>
    <w:rsid w:val="00B31892"/>
    <w:rsid w:val="00B3227C"/>
    <w:rsid w:val="00B35AC0"/>
    <w:rsid w:val="00B41EFC"/>
    <w:rsid w:val="00B423EE"/>
    <w:rsid w:val="00B440B1"/>
    <w:rsid w:val="00B47873"/>
    <w:rsid w:val="00B5166A"/>
    <w:rsid w:val="00B52143"/>
    <w:rsid w:val="00B56F5F"/>
    <w:rsid w:val="00B60309"/>
    <w:rsid w:val="00B64A12"/>
    <w:rsid w:val="00B6668E"/>
    <w:rsid w:val="00B72BEE"/>
    <w:rsid w:val="00B76967"/>
    <w:rsid w:val="00B81FAB"/>
    <w:rsid w:val="00B8209D"/>
    <w:rsid w:val="00B8349A"/>
    <w:rsid w:val="00B851D4"/>
    <w:rsid w:val="00B86D40"/>
    <w:rsid w:val="00B90BEE"/>
    <w:rsid w:val="00B91171"/>
    <w:rsid w:val="00B926C4"/>
    <w:rsid w:val="00B9690E"/>
    <w:rsid w:val="00B97C36"/>
    <w:rsid w:val="00BA1F38"/>
    <w:rsid w:val="00BA3465"/>
    <w:rsid w:val="00BA3736"/>
    <w:rsid w:val="00BA6A6A"/>
    <w:rsid w:val="00BA6FEF"/>
    <w:rsid w:val="00BA77FD"/>
    <w:rsid w:val="00BB057A"/>
    <w:rsid w:val="00BC05E6"/>
    <w:rsid w:val="00BC22A4"/>
    <w:rsid w:val="00BC7F47"/>
    <w:rsid w:val="00BD1E73"/>
    <w:rsid w:val="00BD5264"/>
    <w:rsid w:val="00BE4280"/>
    <w:rsid w:val="00BE52D6"/>
    <w:rsid w:val="00BE688C"/>
    <w:rsid w:val="00BF2E01"/>
    <w:rsid w:val="00BF3E3B"/>
    <w:rsid w:val="00BF4390"/>
    <w:rsid w:val="00C01BFF"/>
    <w:rsid w:val="00C02FED"/>
    <w:rsid w:val="00C03BF1"/>
    <w:rsid w:val="00C0447B"/>
    <w:rsid w:val="00C0495C"/>
    <w:rsid w:val="00C049B3"/>
    <w:rsid w:val="00C07C2B"/>
    <w:rsid w:val="00C109C6"/>
    <w:rsid w:val="00C12AA3"/>
    <w:rsid w:val="00C14084"/>
    <w:rsid w:val="00C22DB0"/>
    <w:rsid w:val="00C22F9B"/>
    <w:rsid w:val="00C24092"/>
    <w:rsid w:val="00C25222"/>
    <w:rsid w:val="00C254A3"/>
    <w:rsid w:val="00C270C7"/>
    <w:rsid w:val="00C30BC8"/>
    <w:rsid w:val="00C42772"/>
    <w:rsid w:val="00C43963"/>
    <w:rsid w:val="00C43F32"/>
    <w:rsid w:val="00C528A7"/>
    <w:rsid w:val="00C56C77"/>
    <w:rsid w:val="00C63AF4"/>
    <w:rsid w:val="00C66964"/>
    <w:rsid w:val="00C704CE"/>
    <w:rsid w:val="00C708D4"/>
    <w:rsid w:val="00C7102F"/>
    <w:rsid w:val="00C711BE"/>
    <w:rsid w:val="00C71A87"/>
    <w:rsid w:val="00C73564"/>
    <w:rsid w:val="00C83F80"/>
    <w:rsid w:val="00C92BDD"/>
    <w:rsid w:val="00C92E2E"/>
    <w:rsid w:val="00C935E4"/>
    <w:rsid w:val="00C96B6F"/>
    <w:rsid w:val="00CA7B67"/>
    <w:rsid w:val="00CB0D28"/>
    <w:rsid w:val="00CB5BF9"/>
    <w:rsid w:val="00CC1B3C"/>
    <w:rsid w:val="00CC2CA2"/>
    <w:rsid w:val="00CC3802"/>
    <w:rsid w:val="00CC4122"/>
    <w:rsid w:val="00CC4D6A"/>
    <w:rsid w:val="00CC5348"/>
    <w:rsid w:val="00CC5A81"/>
    <w:rsid w:val="00CD0743"/>
    <w:rsid w:val="00CD4B63"/>
    <w:rsid w:val="00CD5AD3"/>
    <w:rsid w:val="00CE0B60"/>
    <w:rsid w:val="00CE13F6"/>
    <w:rsid w:val="00CE39A1"/>
    <w:rsid w:val="00CE4929"/>
    <w:rsid w:val="00CE4E24"/>
    <w:rsid w:val="00CE5BD8"/>
    <w:rsid w:val="00CE6E83"/>
    <w:rsid w:val="00CF64A3"/>
    <w:rsid w:val="00D043C6"/>
    <w:rsid w:val="00D0487E"/>
    <w:rsid w:val="00D048DA"/>
    <w:rsid w:val="00D04CEE"/>
    <w:rsid w:val="00D10028"/>
    <w:rsid w:val="00D1245D"/>
    <w:rsid w:val="00D1251D"/>
    <w:rsid w:val="00D14F26"/>
    <w:rsid w:val="00D20D25"/>
    <w:rsid w:val="00D2430B"/>
    <w:rsid w:val="00D25B91"/>
    <w:rsid w:val="00D27679"/>
    <w:rsid w:val="00D315F0"/>
    <w:rsid w:val="00D344CC"/>
    <w:rsid w:val="00D41F8C"/>
    <w:rsid w:val="00D44702"/>
    <w:rsid w:val="00D506E5"/>
    <w:rsid w:val="00D51D5D"/>
    <w:rsid w:val="00D52F55"/>
    <w:rsid w:val="00D52F7D"/>
    <w:rsid w:val="00D54BC7"/>
    <w:rsid w:val="00D566AF"/>
    <w:rsid w:val="00D614F4"/>
    <w:rsid w:val="00D61544"/>
    <w:rsid w:val="00D7063E"/>
    <w:rsid w:val="00D82E20"/>
    <w:rsid w:val="00D94BDD"/>
    <w:rsid w:val="00DA266E"/>
    <w:rsid w:val="00DA466D"/>
    <w:rsid w:val="00DA7A03"/>
    <w:rsid w:val="00DB2FF8"/>
    <w:rsid w:val="00DC09B9"/>
    <w:rsid w:val="00DC1BC6"/>
    <w:rsid w:val="00DC2F25"/>
    <w:rsid w:val="00DD446D"/>
    <w:rsid w:val="00DD5991"/>
    <w:rsid w:val="00DE0538"/>
    <w:rsid w:val="00E046D6"/>
    <w:rsid w:val="00E05EEE"/>
    <w:rsid w:val="00E127C9"/>
    <w:rsid w:val="00E21155"/>
    <w:rsid w:val="00E2353A"/>
    <w:rsid w:val="00E26E04"/>
    <w:rsid w:val="00E302F2"/>
    <w:rsid w:val="00E322CE"/>
    <w:rsid w:val="00E34BA1"/>
    <w:rsid w:val="00E37611"/>
    <w:rsid w:val="00E441E1"/>
    <w:rsid w:val="00E45282"/>
    <w:rsid w:val="00E50DC4"/>
    <w:rsid w:val="00E51249"/>
    <w:rsid w:val="00E601E4"/>
    <w:rsid w:val="00E613C1"/>
    <w:rsid w:val="00E65085"/>
    <w:rsid w:val="00E7103F"/>
    <w:rsid w:val="00E72338"/>
    <w:rsid w:val="00E72FAA"/>
    <w:rsid w:val="00E74078"/>
    <w:rsid w:val="00E76443"/>
    <w:rsid w:val="00E848B4"/>
    <w:rsid w:val="00E84F32"/>
    <w:rsid w:val="00E85FFF"/>
    <w:rsid w:val="00E87449"/>
    <w:rsid w:val="00E9110E"/>
    <w:rsid w:val="00E930C9"/>
    <w:rsid w:val="00E95C70"/>
    <w:rsid w:val="00E96256"/>
    <w:rsid w:val="00EA2A5F"/>
    <w:rsid w:val="00EA44A4"/>
    <w:rsid w:val="00EB21E1"/>
    <w:rsid w:val="00EB5B54"/>
    <w:rsid w:val="00ED13E2"/>
    <w:rsid w:val="00ED2FB5"/>
    <w:rsid w:val="00ED4119"/>
    <w:rsid w:val="00EE1BFB"/>
    <w:rsid w:val="00EE48CE"/>
    <w:rsid w:val="00EE4AFE"/>
    <w:rsid w:val="00EE6513"/>
    <w:rsid w:val="00EE6DF4"/>
    <w:rsid w:val="00EE7058"/>
    <w:rsid w:val="00EE7A9B"/>
    <w:rsid w:val="00EE7BAA"/>
    <w:rsid w:val="00EE7F37"/>
    <w:rsid w:val="00EF1166"/>
    <w:rsid w:val="00EF5A7D"/>
    <w:rsid w:val="00EF67FC"/>
    <w:rsid w:val="00EF7275"/>
    <w:rsid w:val="00F00097"/>
    <w:rsid w:val="00F01559"/>
    <w:rsid w:val="00F0573C"/>
    <w:rsid w:val="00F05E2E"/>
    <w:rsid w:val="00F06F77"/>
    <w:rsid w:val="00F078B9"/>
    <w:rsid w:val="00F1284A"/>
    <w:rsid w:val="00F1555C"/>
    <w:rsid w:val="00F1648F"/>
    <w:rsid w:val="00F16E4A"/>
    <w:rsid w:val="00F1717F"/>
    <w:rsid w:val="00F2231E"/>
    <w:rsid w:val="00F2289C"/>
    <w:rsid w:val="00F23C32"/>
    <w:rsid w:val="00F25601"/>
    <w:rsid w:val="00F26737"/>
    <w:rsid w:val="00F27265"/>
    <w:rsid w:val="00F2732D"/>
    <w:rsid w:val="00F3447E"/>
    <w:rsid w:val="00F34E41"/>
    <w:rsid w:val="00F35409"/>
    <w:rsid w:val="00F36849"/>
    <w:rsid w:val="00F4016C"/>
    <w:rsid w:val="00F4396B"/>
    <w:rsid w:val="00F440EC"/>
    <w:rsid w:val="00F47FE0"/>
    <w:rsid w:val="00F52BEB"/>
    <w:rsid w:val="00F540CA"/>
    <w:rsid w:val="00F54235"/>
    <w:rsid w:val="00F54FB0"/>
    <w:rsid w:val="00F55D0F"/>
    <w:rsid w:val="00F72C5D"/>
    <w:rsid w:val="00F77B45"/>
    <w:rsid w:val="00F86D49"/>
    <w:rsid w:val="00F877D3"/>
    <w:rsid w:val="00F877F6"/>
    <w:rsid w:val="00F970F3"/>
    <w:rsid w:val="00F975EF"/>
    <w:rsid w:val="00FA153C"/>
    <w:rsid w:val="00FA2B77"/>
    <w:rsid w:val="00FA2FA3"/>
    <w:rsid w:val="00FC08FA"/>
    <w:rsid w:val="00FC4EB1"/>
    <w:rsid w:val="00FC5DB0"/>
    <w:rsid w:val="00FD3CEE"/>
    <w:rsid w:val="00FD3ED7"/>
    <w:rsid w:val="00FD7C7A"/>
    <w:rsid w:val="00FE1A80"/>
    <w:rsid w:val="00FE1C18"/>
    <w:rsid w:val="00FE5581"/>
    <w:rsid w:val="00FE5F9C"/>
    <w:rsid w:val="00FF2A00"/>
    <w:rsid w:val="00FF445C"/>
    <w:rsid w:val="02847110"/>
    <w:rsid w:val="050B34F2"/>
    <w:rsid w:val="0738222E"/>
    <w:rsid w:val="0C037852"/>
    <w:rsid w:val="17FC7822"/>
    <w:rsid w:val="21DB36C1"/>
    <w:rsid w:val="24396437"/>
    <w:rsid w:val="266C7101"/>
    <w:rsid w:val="2B1E32D3"/>
    <w:rsid w:val="32CE1F7D"/>
    <w:rsid w:val="3A046BB2"/>
    <w:rsid w:val="491E3579"/>
    <w:rsid w:val="4CB72466"/>
    <w:rsid w:val="4CFD78A0"/>
    <w:rsid w:val="52C6283F"/>
    <w:rsid w:val="5DFF40AC"/>
    <w:rsid w:val="61B85484"/>
    <w:rsid w:val="64DB004D"/>
    <w:rsid w:val="67A7376D"/>
    <w:rsid w:val="78A555BE"/>
    <w:rsid w:val="7A894274"/>
    <w:rsid w:val="7C2F3C50"/>
    <w:rsid w:val="7E80524A"/>
    <w:rsid w:val="7F890D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3"/>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unhideWhenUsed/>
    <w:qFormat/>
    <w:locked/>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semiHidden/>
    <w:unhideWhenUsed/>
    <w:qFormat/>
    <w:uiPriority w:val="99"/>
    <w:pPr>
      <w:jc w:val="left"/>
    </w:pPr>
  </w:style>
  <w:style w:type="paragraph" w:styleId="5">
    <w:name w:val="Body Text"/>
    <w:basedOn w:val="1"/>
    <w:link w:val="39"/>
    <w:semiHidden/>
    <w:unhideWhenUsed/>
    <w:qFormat/>
    <w:uiPriority w:val="99"/>
    <w:pPr>
      <w:spacing w:after="120"/>
    </w:pPr>
  </w:style>
  <w:style w:type="paragraph" w:styleId="6">
    <w:name w:val="Balloon Text"/>
    <w:basedOn w:val="1"/>
    <w:link w:val="34"/>
    <w:semiHidden/>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0"/>
    <w:qFormat/>
    <w:uiPriority w:val="0"/>
    <w:pPr>
      <w:spacing w:before="240" w:after="60" w:line="312" w:lineRule="auto"/>
      <w:jc w:val="center"/>
      <w:outlineLvl w:val="1"/>
    </w:pPr>
    <w:rPr>
      <w:rFonts w:ascii="Cambria" w:hAnsi="Cambria"/>
      <w:b/>
      <w:bCs/>
      <w:kern w:val="28"/>
      <w:sz w:val="32"/>
      <w:szCs w:val="32"/>
    </w:rPr>
  </w:style>
  <w:style w:type="paragraph" w:styleId="10">
    <w:name w:val="footnote text"/>
    <w:basedOn w:val="1"/>
    <w:link w:val="26"/>
    <w:semiHidden/>
    <w:qFormat/>
    <w:uiPriority w:val="99"/>
    <w:pPr>
      <w:snapToGrid w:val="0"/>
      <w:jc w:val="left"/>
    </w:pPr>
    <w:rPr>
      <w:sz w:val="18"/>
      <w:szCs w:val="18"/>
    </w:rPr>
  </w:style>
  <w:style w:type="paragraph" w:styleId="11">
    <w:name w:val="HTML Preformatted"/>
    <w:basedOn w:val="1"/>
    <w:link w:val="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37"/>
    <w:semiHidden/>
    <w:unhideWhenUsed/>
    <w:qFormat/>
    <w:uiPriority w:val="99"/>
    <w:rPr>
      <w:b/>
      <w:bCs/>
    </w:rPr>
  </w:style>
  <w:style w:type="paragraph" w:styleId="14">
    <w:name w:val="Body Text First Indent"/>
    <w:basedOn w:val="5"/>
    <w:link w:val="40"/>
    <w:unhideWhenUsed/>
    <w:qFormat/>
    <w:uiPriority w:val="0"/>
    <w:pPr>
      <w:ind w:firstLine="420" w:firstLineChars="100"/>
    </w:pPr>
    <w:rPr>
      <w:rFonts w:ascii="Times New Roman" w:hAnsi="Times New Roman"/>
      <w:szCs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locked/>
    <w:uiPriority w:val="0"/>
    <w:rPr>
      <w:rFonts w:ascii="仿宋_GB2312" w:hAnsi="黑体" w:eastAsia="仿宋_GB2312" w:cs="宋体"/>
      <w:kern w:val="0"/>
      <w:sz w:val="28"/>
      <w:szCs w:val="28"/>
    </w:rPr>
  </w:style>
  <w:style w:type="character" w:styleId="19">
    <w:name w:val="Hyperlink"/>
    <w:basedOn w:val="17"/>
    <w:qFormat/>
    <w:uiPriority w:val="99"/>
    <w:rPr>
      <w:rFonts w:cs="Times New Roman"/>
      <w:color w:val="0000FF"/>
      <w:u w:val="single"/>
    </w:rPr>
  </w:style>
  <w:style w:type="character" w:styleId="20">
    <w:name w:val="annotation reference"/>
    <w:basedOn w:val="17"/>
    <w:semiHidden/>
    <w:unhideWhenUsed/>
    <w:qFormat/>
    <w:uiPriority w:val="99"/>
    <w:rPr>
      <w:sz w:val="21"/>
      <w:szCs w:val="21"/>
    </w:rPr>
  </w:style>
  <w:style w:type="character" w:styleId="21">
    <w:name w:val="footnote reference"/>
    <w:basedOn w:val="17"/>
    <w:semiHidden/>
    <w:qFormat/>
    <w:uiPriority w:val="99"/>
    <w:rPr>
      <w:rFonts w:cs="Times New Roman"/>
      <w:vertAlign w:val="superscript"/>
    </w:rPr>
  </w:style>
  <w:style w:type="character" w:customStyle="1" w:styleId="22">
    <w:name w:val="标题 3 字符"/>
    <w:basedOn w:val="17"/>
    <w:link w:val="3"/>
    <w:qFormat/>
    <w:uiPriority w:val="9"/>
    <w:rPr>
      <w:rFonts w:ascii="Calibri" w:hAnsi="Calibri"/>
      <w:b/>
      <w:bCs/>
      <w:kern w:val="2"/>
      <w:sz w:val="32"/>
      <w:szCs w:val="32"/>
    </w:rPr>
  </w:style>
  <w:style w:type="character" w:customStyle="1" w:styleId="23">
    <w:name w:val="标题 2 字符"/>
    <w:basedOn w:val="17"/>
    <w:link w:val="2"/>
    <w:qFormat/>
    <w:locked/>
    <w:uiPriority w:val="99"/>
    <w:rPr>
      <w:rFonts w:ascii="Arial" w:hAnsi="Arial" w:eastAsia="黑体" w:cs="Times New Roman"/>
      <w:b/>
      <w:kern w:val="2"/>
      <w:sz w:val="32"/>
    </w:rPr>
  </w:style>
  <w:style w:type="character" w:customStyle="1" w:styleId="24">
    <w:name w:val="页眉 字符"/>
    <w:basedOn w:val="17"/>
    <w:link w:val="8"/>
    <w:semiHidden/>
    <w:qFormat/>
    <w:locked/>
    <w:uiPriority w:val="99"/>
    <w:rPr>
      <w:rFonts w:ascii="Calibri" w:hAnsi="Calibri" w:cs="Times New Roman"/>
      <w:sz w:val="18"/>
      <w:szCs w:val="18"/>
    </w:rPr>
  </w:style>
  <w:style w:type="character" w:customStyle="1" w:styleId="25">
    <w:name w:val="页脚 字符"/>
    <w:basedOn w:val="17"/>
    <w:link w:val="7"/>
    <w:qFormat/>
    <w:locked/>
    <w:uiPriority w:val="99"/>
    <w:rPr>
      <w:rFonts w:ascii="Calibri" w:hAnsi="Calibri" w:cs="Times New Roman"/>
      <w:sz w:val="18"/>
      <w:szCs w:val="18"/>
    </w:rPr>
  </w:style>
  <w:style w:type="character" w:customStyle="1" w:styleId="26">
    <w:name w:val="脚注文本 字符"/>
    <w:basedOn w:val="17"/>
    <w:link w:val="10"/>
    <w:semiHidden/>
    <w:qFormat/>
    <w:locked/>
    <w:uiPriority w:val="99"/>
    <w:rPr>
      <w:rFonts w:ascii="Calibri" w:hAnsi="Calibri" w:eastAsia="宋体" w:cs="Times New Roman"/>
      <w:kern w:val="2"/>
      <w:sz w:val="18"/>
    </w:rPr>
  </w:style>
  <w:style w:type="paragraph" w:styleId="27">
    <w:name w:val="List Paragraph"/>
    <w:basedOn w:val="1"/>
    <w:link w:val="41"/>
    <w:qFormat/>
    <w:uiPriority w:val="34"/>
    <w:pPr>
      <w:ind w:firstLine="420" w:firstLineChars="200"/>
    </w:pPr>
    <w:rPr>
      <w:rFonts w:ascii="Times New Roman" w:hAnsi="Times New Roman"/>
      <w:szCs w:val="24"/>
    </w:rPr>
  </w:style>
  <w:style w:type="character" w:customStyle="1" w:styleId="28">
    <w:name w:val="apple-style-span"/>
    <w:qFormat/>
    <w:uiPriority w:val="99"/>
  </w:style>
  <w:style w:type="character" w:customStyle="1" w:styleId="29">
    <w:name w:val="HTML 预设格式 字符"/>
    <w:basedOn w:val="17"/>
    <w:link w:val="11"/>
    <w:qFormat/>
    <w:locked/>
    <w:uiPriority w:val="99"/>
    <w:rPr>
      <w:rFonts w:ascii="宋体" w:eastAsia="宋体" w:cs="Times New Roman"/>
      <w:sz w:val="24"/>
    </w:rPr>
  </w:style>
  <w:style w:type="character" w:customStyle="1" w:styleId="30">
    <w:name w:val="副标题 字符"/>
    <w:basedOn w:val="17"/>
    <w:link w:val="9"/>
    <w:qFormat/>
    <w:locked/>
    <w:uiPriority w:val="0"/>
    <w:rPr>
      <w:rFonts w:ascii="Cambria" w:hAnsi="Cambria" w:cs="Times New Roman"/>
      <w:b/>
      <w:kern w:val="28"/>
      <w:sz w:val="32"/>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2">
    <w:name w:val="apple-converted-space"/>
    <w:basedOn w:val="17"/>
    <w:qFormat/>
    <w:uiPriority w:val="99"/>
    <w:rPr>
      <w:rFonts w:cs="Times New Roman"/>
    </w:rPr>
  </w:style>
  <w:style w:type="paragraph" w:customStyle="1" w:styleId="3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4">
    <w:name w:val="批注框文本 字符"/>
    <w:basedOn w:val="17"/>
    <w:link w:val="6"/>
    <w:semiHidden/>
    <w:qFormat/>
    <w:uiPriority w:val="99"/>
    <w:rPr>
      <w:rFonts w:ascii="Calibri" w:hAnsi="Calibri"/>
      <w:kern w:val="2"/>
      <w:sz w:val="18"/>
      <w:szCs w:val="18"/>
    </w:rPr>
  </w:style>
  <w:style w:type="character" w:styleId="35">
    <w:name w:val="Placeholder Text"/>
    <w:basedOn w:val="17"/>
    <w:semiHidden/>
    <w:qFormat/>
    <w:uiPriority w:val="99"/>
    <w:rPr>
      <w:color w:val="808080"/>
    </w:rPr>
  </w:style>
  <w:style w:type="character" w:customStyle="1" w:styleId="36">
    <w:name w:val="批注文字 字符"/>
    <w:basedOn w:val="17"/>
    <w:link w:val="4"/>
    <w:semiHidden/>
    <w:qFormat/>
    <w:uiPriority w:val="99"/>
    <w:rPr>
      <w:rFonts w:ascii="Calibri" w:hAnsi="Calibri"/>
      <w:kern w:val="2"/>
      <w:sz w:val="21"/>
      <w:szCs w:val="22"/>
    </w:rPr>
  </w:style>
  <w:style w:type="character" w:customStyle="1" w:styleId="37">
    <w:name w:val="批注主题 字符"/>
    <w:basedOn w:val="36"/>
    <w:link w:val="13"/>
    <w:semiHidden/>
    <w:qFormat/>
    <w:uiPriority w:val="99"/>
    <w:rPr>
      <w:rFonts w:ascii="Calibri" w:hAnsi="Calibri"/>
      <w:b/>
      <w:bCs/>
      <w:kern w:val="2"/>
      <w:sz w:val="21"/>
      <w:szCs w:val="22"/>
    </w:rPr>
  </w:style>
  <w:style w:type="paragraph" w:customStyle="1" w:styleId="38">
    <w:name w:val="彩色列表 - 强调文字颜色 11"/>
    <w:basedOn w:val="1"/>
    <w:qFormat/>
    <w:uiPriority w:val="0"/>
    <w:pPr>
      <w:ind w:firstLine="420" w:firstLineChars="200"/>
    </w:pPr>
    <w:rPr>
      <w:rFonts w:ascii="Times New Roman" w:hAnsi="Times New Roman"/>
      <w:sz w:val="28"/>
      <w:szCs w:val="28"/>
    </w:rPr>
  </w:style>
  <w:style w:type="character" w:customStyle="1" w:styleId="39">
    <w:name w:val="正文文本 字符"/>
    <w:basedOn w:val="17"/>
    <w:link w:val="5"/>
    <w:semiHidden/>
    <w:qFormat/>
    <w:uiPriority w:val="99"/>
    <w:rPr>
      <w:rFonts w:ascii="Calibri" w:hAnsi="Calibri"/>
      <w:kern w:val="2"/>
      <w:sz w:val="21"/>
      <w:szCs w:val="22"/>
    </w:rPr>
  </w:style>
  <w:style w:type="character" w:customStyle="1" w:styleId="40">
    <w:name w:val="正文文本首行缩进 字符"/>
    <w:basedOn w:val="39"/>
    <w:link w:val="14"/>
    <w:qFormat/>
    <w:uiPriority w:val="0"/>
    <w:rPr>
      <w:rFonts w:ascii="Calibri" w:hAnsi="Calibri"/>
      <w:kern w:val="2"/>
      <w:sz w:val="21"/>
      <w:szCs w:val="24"/>
    </w:rPr>
  </w:style>
  <w:style w:type="character" w:customStyle="1" w:styleId="41">
    <w:name w:val="列表段落 字符"/>
    <w:link w:val="27"/>
    <w:qFormat/>
    <w:uiPriority w:val="34"/>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9C45-8604-4243-AD3F-7FA64BCDD730}">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24</Pages>
  <Words>10883</Words>
  <Characters>11719</Characters>
  <Lines>87</Lines>
  <Paragraphs>24</Paragraphs>
  <TotalTime>76</TotalTime>
  <ScaleCrop>false</ScaleCrop>
  <LinksUpToDate>false</LinksUpToDate>
  <CharactersWithSpaces>11757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2023-05-15T10:06:00Z</dcterms:created>
  <dc:creator>Administrator</dc:creator>
  <cp:lastModifiedBy>刘东洋</cp:lastModifiedBy>
  <cp:lastPrinted>2021-10-09T05:27:00Z</cp:lastPrinted>
  <dcterms:modified xsi:type="dcterms:W3CDTF">2023-05-21T00:02:20Z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EC2B6359E1B645EF866F6A0CDED7D5FD_12</vt:lpwstr>
  </property>
</Properties>
</file>