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overflowPunct/>
        <w:topLinePunct w:val="0"/>
        <w:bidi w:val="0"/>
        <w:spacing w:line="60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202</w:t>
      </w:r>
      <w:r>
        <w:rPr>
          <w:rFonts w:hint="eastAsia" w:ascii="方正小标宋_GBK" w:hAnsi="方正小标宋_GBK" w:eastAsia="方正小标宋_GBK" w:cs="方正小标宋_GBK"/>
          <w:kern w:val="0"/>
          <w:sz w:val="44"/>
          <w:szCs w:val="44"/>
          <w:lang w:val="en-US" w:eastAsia="zh-CN"/>
        </w:rPr>
        <w:t>4</w:t>
      </w:r>
      <w:r>
        <w:rPr>
          <w:rFonts w:hint="eastAsia" w:ascii="方正小标宋_GBK" w:hAnsi="方正小标宋_GBK" w:eastAsia="方正小标宋_GBK" w:cs="方正小标宋_GBK"/>
          <w:kern w:val="0"/>
          <w:sz w:val="44"/>
          <w:szCs w:val="44"/>
        </w:rPr>
        <w:t>年</w:t>
      </w:r>
      <w:r>
        <w:rPr>
          <w:rFonts w:hint="eastAsia" w:ascii="方正小标宋_GBK" w:hAnsi="方正小标宋_GBK" w:eastAsia="方正小标宋_GBK" w:cs="方正小标宋_GBK"/>
          <w:kern w:val="0"/>
          <w:sz w:val="44"/>
          <w:szCs w:val="44"/>
          <w:lang w:val="en-US" w:eastAsia="zh-CN"/>
        </w:rPr>
        <w:t>河南省高等</w:t>
      </w:r>
      <w:r>
        <w:rPr>
          <w:rFonts w:hint="eastAsia" w:ascii="方正小标宋_GBK" w:hAnsi="方正小标宋_GBK" w:eastAsia="方正小标宋_GBK" w:cs="方正小标宋_GBK"/>
          <w:kern w:val="0"/>
          <w:sz w:val="44"/>
          <w:szCs w:val="44"/>
        </w:rPr>
        <w:t>职业</w:t>
      </w:r>
      <w:r>
        <w:rPr>
          <w:rFonts w:hint="eastAsia" w:ascii="方正小标宋_GBK" w:hAnsi="方正小标宋_GBK" w:eastAsia="方正小标宋_GBK" w:cs="方正小标宋_GBK"/>
          <w:kern w:val="0"/>
          <w:sz w:val="44"/>
          <w:szCs w:val="44"/>
          <w:lang w:val="en-US" w:eastAsia="zh-CN"/>
        </w:rPr>
        <w:t>教育</w:t>
      </w:r>
      <w:r>
        <w:rPr>
          <w:rFonts w:hint="eastAsia" w:ascii="方正小标宋_GBK" w:hAnsi="方正小标宋_GBK" w:eastAsia="方正小标宋_GBK" w:cs="方正小标宋_GBK"/>
          <w:kern w:val="0"/>
          <w:sz w:val="44"/>
          <w:szCs w:val="44"/>
        </w:rPr>
        <w:t>技能大赛</w:t>
      </w:r>
    </w:p>
    <w:p>
      <w:pPr>
        <w:pageBreakBefore w:val="0"/>
        <w:widowControl w:val="0"/>
        <w:kinsoku/>
        <w:overflowPunct/>
        <w:topLinePunct w:val="0"/>
        <w:bidi w:val="0"/>
        <w:spacing w:line="600" w:lineRule="exact"/>
        <w:jc w:val="center"/>
        <w:textAlignment w:val="auto"/>
        <w:rPr>
          <w:rFonts w:hint="eastAsia" w:ascii="方正小标宋_GBK" w:hAnsi="方正小标宋_GBK" w:eastAsia="方正小标宋_GBK" w:cs="方正小标宋_GBK"/>
          <w:b/>
          <w:color w:val="000000"/>
          <w:kern w:val="2"/>
          <w:sz w:val="44"/>
          <w:szCs w:val="44"/>
        </w:rPr>
      </w:pPr>
      <w:r>
        <w:rPr>
          <w:rFonts w:hint="eastAsia" w:ascii="方正小标宋_GBK" w:hAnsi="方正小标宋_GBK" w:eastAsia="方正小标宋_GBK" w:cs="方正小标宋_GBK"/>
          <w:kern w:val="0"/>
          <w:sz w:val="44"/>
          <w:szCs w:val="44"/>
          <w:lang w:val="en-US" w:eastAsia="zh-CN"/>
        </w:rPr>
        <w:t>数控机床装调与技术改造</w:t>
      </w:r>
      <w:r>
        <w:rPr>
          <w:rFonts w:hint="eastAsia" w:ascii="方正小标宋_GBK" w:hAnsi="方正小标宋_GBK" w:eastAsia="方正小标宋_GBK" w:cs="方正小标宋_GBK"/>
          <w:kern w:val="0"/>
          <w:sz w:val="44"/>
          <w:szCs w:val="44"/>
        </w:rPr>
        <w:t>赛项</w:t>
      </w:r>
      <w:r>
        <w:rPr>
          <w:rFonts w:hint="eastAsia" w:ascii="方正小标宋_GBK" w:hAnsi="方正小标宋_GBK" w:eastAsia="方正小标宋_GBK" w:cs="方正小标宋_GBK"/>
          <w:kern w:val="0"/>
          <w:sz w:val="44"/>
          <w:szCs w:val="44"/>
          <w:lang w:val="en-US" w:eastAsia="zh-CN"/>
        </w:rPr>
        <w:t>竞赛方案</w:t>
      </w:r>
      <w:bookmarkStart w:id="0" w:name="_Toc4287709"/>
      <w:bookmarkStart w:id="1" w:name="_Toc477270874"/>
    </w:p>
    <w:p>
      <w:pPr>
        <w:pStyle w:val="53"/>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both"/>
        <w:textAlignment w:val="auto"/>
        <w:rPr>
          <w:rFonts w:hint="eastAsia" w:ascii="黑体" w:hAnsi="黑体" w:eastAsia="黑体" w:cs="黑体"/>
          <w:b w:val="0"/>
          <w:bCs/>
          <w:color w:val="000000"/>
          <w:kern w:val="2"/>
          <w:sz w:val="30"/>
          <w:szCs w:val="30"/>
          <w:lang w:val="en-US" w:eastAsia="zh-CN"/>
        </w:rPr>
      </w:pPr>
    </w:p>
    <w:p>
      <w:pPr>
        <w:pStyle w:val="53"/>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rPr>
      </w:pPr>
      <w:r>
        <w:rPr>
          <w:rFonts w:hint="eastAsia" w:ascii="黑体" w:hAnsi="黑体" w:eastAsia="黑体" w:cs="黑体"/>
          <w:b w:val="0"/>
          <w:bCs/>
          <w:color w:val="000000"/>
          <w:kern w:val="2"/>
          <w:sz w:val="30"/>
          <w:szCs w:val="30"/>
          <w:lang w:val="en-US" w:eastAsia="zh-CN"/>
        </w:rPr>
        <w:t>一、赛项名称</w:t>
      </w:r>
      <w:bookmarkEnd w:id="0"/>
      <w:bookmarkEnd w:id="1"/>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赛项名称：数控机床装调与技术改造</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赛项组别：高职学生组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竞赛形式：团体赛</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赛项专业大类：装备制造大类</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主办单位：河南省教育厅</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承办院校：新乡职业技术学院</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报到及推荐住宿地点：另行通知</w:t>
      </w:r>
    </w:p>
    <w:p>
      <w:pPr>
        <w:pStyle w:val="53"/>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2" w:name="_Toc4287710"/>
      <w:bookmarkStart w:id="3" w:name="_Toc477270875"/>
      <w:r>
        <w:rPr>
          <w:rFonts w:hint="eastAsia" w:ascii="黑体" w:hAnsi="黑体" w:eastAsia="黑体" w:cs="黑体"/>
          <w:b w:val="0"/>
          <w:bCs/>
          <w:color w:val="000000"/>
          <w:kern w:val="2"/>
          <w:sz w:val="30"/>
          <w:szCs w:val="30"/>
          <w:lang w:val="en-US" w:eastAsia="zh-CN"/>
        </w:rPr>
        <w:t>二、竞赛目的</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（一）对接标准，培养技术技能人才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赛项对接智能制造工程技术人员新职业标准、数控设备维护与维修职业技能等级证书，聚焦数控机床装调的核心技能，适应装备制造业产业需求为导向，培养具备数控机床机械安装与调试、电气安装与调试、零件制造工艺编制、机床精度检验、设备机电联调与维护、智能装备技术改造、设备联网与数据采集等能力的高素质技术技能人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（二）以赛促教，引领教育教学改革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赛项坚持比赛与教学资源建设相结合，借鉴世界技能大赛理念、引领高职院校智能制造装备技术、机电设备技术、机械设计与制造、数控技术、机械制造及自动化、机械装备制造技术、机电一体化技术、智能机电技术等专业的建设与教学改革，为学生提供更多的实践机会和创新空间，提高学生的创新意识和创新能力，满足产教协同育人目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（三）营造氛围，弘扬大国工匠精神</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赛项通过搭建公平公正、切磋技艺、展示技能的平台，营造崇尚技能的社会氛围，展示职教改革成果及师生良好精神面貌，达到以赛促教，以赛促学，以赛促改的目的，推动职业教育与产业深度互动，推动职业教育提档升级，服务制造强国战略。</w:t>
      </w:r>
    </w:p>
    <w:p>
      <w:pPr>
        <w:pStyle w:val="53"/>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4" w:name="_Hlk69776530"/>
      <w:bookmarkStart w:id="5" w:name="_Hlk508369866"/>
      <w:r>
        <w:rPr>
          <w:rFonts w:hint="eastAsia" w:ascii="黑体" w:hAnsi="黑体" w:eastAsia="黑体" w:cs="黑体"/>
          <w:b w:val="0"/>
          <w:bCs/>
          <w:color w:val="000000"/>
          <w:kern w:val="2"/>
          <w:sz w:val="30"/>
          <w:szCs w:val="30"/>
          <w:lang w:val="en-US" w:eastAsia="zh-CN"/>
        </w:rPr>
        <w:t>三、参赛资格</w:t>
      </w:r>
    </w:p>
    <w:bookmarkEnd w:id="4"/>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楷体_GB2312" w:hAnsi="楷体_GB2312" w:eastAsia="楷体_GB2312" w:cs="楷体_GB2312"/>
          <w:sz w:val="30"/>
          <w:szCs w:val="30"/>
          <w:lang w:val="en-US" w:eastAsia="zh-CN"/>
        </w:rPr>
        <w:t>（一）竞赛以团体赛方式进行。</w:t>
      </w:r>
      <w:r>
        <w:rPr>
          <w:rFonts w:hint="eastAsia" w:ascii="仿宋_GB2312" w:hAnsi="仿宋_GB2312" w:eastAsia="仿宋_GB2312" w:cs="仿宋_GB2312"/>
          <w:sz w:val="30"/>
          <w:szCs w:val="30"/>
          <w:lang w:val="en-US" w:eastAsia="zh-CN"/>
        </w:rPr>
        <w:t>每支参赛队由2名比赛选手组成，每校不超过2个代表队。参赛选手必须是2024年度高等职业学校全日制在籍学生或五年制高职四至五年级（含四年级）全日制在籍学生。</w:t>
      </w:r>
      <w:r>
        <w:rPr>
          <w:rFonts w:hint="eastAsia" w:ascii="仿宋_GB2312" w:hAnsi="仿宋" w:eastAsia="仿宋_GB2312"/>
          <w:color w:val="000000"/>
          <w:sz w:val="30"/>
          <w:szCs w:val="30"/>
        </w:rPr>
        <w:t>凡</w:t>
      </w:r>
      <w:r>
        <w:rPr>
          <w:rFonts w:hint="eastAsia" w:ascii="仿宋_GB2312" w:hAnsi="仿宋_GB2312" w:eastAsia="仿宋_GB2312" w:cs="仿宋_GB2312"/>
          <w:sz w:val="30"/>
          <w:szCs w:val="30"/>
          <w:lang w:val="en-US" w:eastAsia="zh-CN"/>
        </w:rPr>
        <w:t>在往届全国职业院校技能大赛、</w:t>
      </w:r>
      <w:r>
        <w:rPr>
          <w:rFonts w:hint="eastAsia" w:ascii="仿宋_GB2312" w:hAnsi="仿宋" w:eastAsia="仿宋_GB2312"/>
          <w:color w:val="000000"/>
          <w:sz w:val="30"/>
          <w:szCs w:val="30"/>
        </w:rPr>
        <w:t>世界职业院校技能大赛</w:t>
      </w:r>
      <w:r>
        <w:rPr>
          <w:rFonts w:hint="eastAsia" w:ascii="仿宋_GB2312" w:hAnsi="仿宋_GB2312" w:eastAsia="仿宋_GB2312" w:cs="仿宋_GB2312"/>
          <w:sz w:val="30"/>
          <w:szCs w:val="30"/>
          <w:lang w:val="en-US" w:eastAsia="zh-CN"/>
        </w:rPr>
        <w:t>中获一等奖的选手，</w:t>
      </w:r>
      <w:r>
        <w:rPr>
          <w:rFonts w:hint="eastAsia" w:ascii="仿宋_GB2312" w:hAnsi="仿宋" w:eastAsia="仿宋_GB2312"/>
          <w:color w:val="000000"/>
          <w:sz w:val="30"/>
          <w:szCs w:val="30"/>
        </w:rPr>
        <w:t>不能再参加今年同一专业类赛项的比赛</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楷体_GB2312" w:hAnsi="楷体_GB2312" w:eastAsia="楷体_GB2312" w:cs="楷体_GB2312"/>
          <w:sz w:val="30"/>
          <w:szCs w:val="30"/>
          <w:lang w:val="en-US" w:eastAsia="zh-CN"/>
        </w:rPr>
        <w:t>（二）竞赛队伍组成。</w:t>
      </w:r>
      <w:r>
        <w:rPr>
          <w:rFonts w:hint="eastAsia" w:ascii="仿宋_GB2312" w:hAnsi="仿宋_GB2312" w:eastAsia="仿宋_GB2312" w:cs="仿宋_GB2312"/>
          <w:sz w:val="30"/>
          <w:szCs w:val="30"/>
          <w:lang w:val="en-US" w:eastAsia="zh-CN"/>
        </w:rPr>
        <w:t>以学校为单位组队参赛，不得跨校组队；指导教师须为本校专兼职教师，每队限报2名指导教师。</w:t>
      </w:r>
    </w:p>
    <w:p>
      <w:pPr>
        <w:pStyle w:val="53"/>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r>
        <w:rPr>
          <w:rFonts w:hint="eastAsia" w:ascii="黑体" w:hAnsi="黑体" w:eastAsia="黑体" w:cs="黑体"/>
          <w:b w:val="0"/>
          <w:bCs/>
          <w:color w:val="000000"/>
          <w:kern w:val="2"/>
          <w:sz w:val="30"/>
          <w:szCs w:val="30"/>
          <w:lang w:val="en-US" w:eastAsia="zh-CN"/>
        </w:rPr>
        <w:t>四、参赛报名</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1.参赛院校须于12月12日前登录河南省高职院校技能大赛报名系统（http://39.105.49.188），按要求填报并提交参赛信息。</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2.各参赛校以学校为单位注册报名平台，专人负责报名工作。（技术支持：王晗，电话：18338338901）。</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3.提交报名信息后，参赛院校从系统导出参赛选手报名表、参赛信息汇总表后，连同参赛选手身份证复印件和学信网“教育部学籍在线验</w:t>
      </w:r>
      <w:r>
        <w:rPr>
          <w:rFonts w:hint="eastAsia" w:ascii="仿宋_GB2312" w:hAnsi="仿宋_GB2312" w:eastAsia="仿宋_GB2312" w:cs="仿宋_GB2312"/>
          <w:color w:val="auto"/>
          <w:sz w:val="30"/>
          <w:szCs w:val="30"/>
          <w:lang w:val="en-US" w:eastAsia="zh-CN"/>
        </w:rPr>
        <w:t>证报告”或省招办录取名册复印件各1份并加盖院校公章，报送或邮寄到赛项承办院校（新乡职业技术学院）。纸质报名材料接收截止时间为12月13日，以邮戳时间为准。</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邮寄地址：河南省新乡经济技术开发区经三路6号新乡职业技术学院  姚红伟  13603936291</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bidi="zh-CN"/>
        </w:rPr>
      </w:pPr>
      <w:r>
        <w:rPr>
          <w:rFonts w:hint="eastAsia" w:ascii="仿宋_GB2312" w:hAnsi="仿宋_GB2312" w:eastAsia="仿宋_GB2312" w:cs="仿宋_GB2312"/>
          <w:sz w:val="30"/>
          <w:szCs w:val="30"/>
          <w:lang w:val="en-US" w:eastAsia="zh-CN"/>
        </w:rPr>
        <w:t>4.承办学校收到纸质报名材料，按参赛条件的要求认真审核参赛选手和指导教师资格，审核通过报名成功。</w:t>
      </w:r>
    </w:p>
    <w:bookmarkEnd w:id="5"/>
    <w:p>
      <w:pPr>
        <w:pStyle w:val="53"/>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6" w:name="_Toc477270881"/>
      <w:bookmarkStart w:id="7" w:name="_Toc4287716"/>
      <w:r>
        <w:rPr>
          <w:rFonts w:hint="eastAsia" w:ascii="黑体" w:hAnsi="黑体" w:eastAsia="黑体" w:cs="黑体"/>
          <w:b w:val="0"/>
          <w:bCs/>
          <w:color w:val="000000"/>
          <w:kern w:val="2"/>
          <w:sz w:val="30"/>
          <w:szCs w:val="30"/>
          <w:lang w:val="en-US" w:eastAsia="zh-CN"/>
        </w:rPr>
        <w:t>五、竞赛日程安排（具体以《参赛指南》为准）</w:t>
      </w:r>
      <w:bookmarkEnd w:id="6"/>
      <w:bookmarkEnd w:id="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TW"/>
        </w:rPr>
        <w:t>（一）</w:t>
      </w:r>
      <w:r>
        <w:rPr>
          <w:rFonts w:hint="eastAsia" w:ascii="楷体_GB2312" w:hAnsi="楷体_GB2312" w:eastAsia="楷体_GB2312" w:cs="楷体_GB2312"/>
          <w:sz w:val="30"/>
          <w:szCs w:val="30"/>
          <w:lang w:val="zh-TW" w:eastAsia="zh-CN"/>
        </w:rPr>
        <w:t>竞赛时间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2024年12月20日报到，2024年12月21日—22日为竞赛时间。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（二）竞赛日程见表5-1</w:t>
      </w:r>
    </w:p>
    <w:p>
      <w:pPr>
        <w:pageBreakBefore w:val="0"/>
        <w:widowControl w:val="0"/>
        <w:kinsoku/>
        <w:wordWrap/>
        <w:overflowPunct/>
        <w:topLinePunct w:val="0"/>
        <w:autoSpaceDE/>
        <w:autoSpaceDN/>
        <w:bidi w:val="0"/>
        <w:adjustRightInd/>
        <w:snapToGrid/>
        <w:spacing w:line="600" w:lineRule="exact"/>
        <w:jc w:val="center"/>
        <w:textAlignment w:val="auto"/>
        <w:rPr>
          <w:sz w:val="24"/>
          <w:szCs w:val="24"/>
        </w:rPr>
      </w:pPr>
      <w:r>
        <w:rPr>
          <w:rFonts w:hint="eastAsia" w:ascii="黑体" w:hAnsi="黑体" w:eastAsia="黑体" w:cs="黑体"/>
          <w:kern w:val="2"/>
          <w:sz w:val="24"/>
          <w:szCs w:val="24"/>
          <w:lang w:val="en-US" w:eastAsia="zh-CN" w:bidi="ar-SA"/>
        </w:rPr>
        <w:t>表5-1 竞赛日程表</w:t>
      </w:r>
    </w:p>
    <w:tbl>
      <w:tblPr>
        <w:tblStyle w:val="23"/>
        <w:tblW w:w="9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608"/>
        <w:gridCol w:w="1872"/>
        <w:gridCol w:w="3466"/>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kern w:val="0"/>
                <w:sz w:val="24"/>
              </w:rPr>
            </w:pPr>
            <w:bookmarkStart w:id="8" w:name="_Toc477270882"/>
            <w:r>
              <w:rPr>
                <w:rFonts w:hint="eastAsia" w:ascii="黑体" w:hAnsi="黑体" w:eastAsia="黑体" w:cs="黑体"/>
                <w:b w:val="0"/>
                <w:bCs/>
                <w:kern w:val="0"/>
                <w:sz w:val="24"/>
              </w:rPr>
              <w:t>序号</w:t>
            </w:r>
          </w:p>
        </w:tc>
        <w:tc>
          <w:tcPr>
            <w:tcW w:w="16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kern w:val="0"/>
                <w:sz w:val="24"/>
              </w:rPr>
            </w:pPr>
            <w:r>
              <w:rPr>
                <w:rFonts w:hint="eastAsia" w:ascii="黑体" w:hAnsi="黑体" w:eastAsia="黑体" w:cs="黑体"/>
                <w:b w:val="0"/>
                <w:bCs/>
                <w:kern w:val="0"/>
                <w:sz w:val="24"/>
              </w:rPr>
              <w:t>日期</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kern w:val="0"/>
                <w:sz w:val="24"/>
              </w:rPr>
            </w:pPr>
            <w:r>
              <w:rPr>
                <w:rFonts w:hint="eastAsia" w:ascii="黑体" w:hAnsi="黑体" w:eastAsia="黑体" w:cs="黑体"/>
                <w:b w:val="0"/>
                <w:bCs/>
                <w:kern w:val="0"/>
                <w:sz w:val="24"/>
              </w:rPr>
              <w:t>时间</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kern w:val="0"/>
                <w:sz w:val="24"/>
              </w:rPr>
            </w:pPr>
            <w:r>
              <w:rPr>
                <w:rFonts w:hint="eastAsia" w:ascii="黑体" w:hAnsi="黑体" w:eastAsia="黑体" w:cs="黑体"/>
                <w:b w:val="0"/>
                <w:bCs/>
                <w:kern w:val="0"/>
                <w:sz w:val="24"/>
              </w:rPr>
              <w:t>内容</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kern w:val="0"/>
                <w:sz w:val="24"/>
                <w:lang w:eastAsia="zh-CN"/>
              </w:rPr>
            </w:pPr>
            <w:r>
              <w:rPr>
                <w:rFonts w:hint="eastAsia" w:ascii="黑体" w:hAnsi="黑体" w:eastAsia="黑体" w:cs="黑体"/>
                <w:b w:val="0"/>
                <w:bCs/>
                <w:kern w:val="0"/>
                <w:sz w:val="24"/>
                <w:lang w:val="en-US" w:eastAsia="zh-CN"/>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仿宋" w:hAnsi="仿宋" w:eastAsia="仿宋"/>
                <w:kern w:val="0"/>
                <w:sz w:val="24"/>
              </w:rPr>
            </w:pPr>
            <w:r>
              <w:rPr>
                <w:rFonts w:ascii="仿宋" w:hAnsi="仿宋" w:eastAsia="仿宋"/>
                <w:kern w:val="0"/>
                <w:sz w:val="24"/>
              </w:rPr>
              <w:t>1</w:t>
            </w:r>
          </w:p>
        </w:tc>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 w:hAnsi="仿宋" w:eastAsia="仿宋" w:cs="仿宋"/>
                <w:sz w:val="24"/>
                <w:szCs w:val="24"/>
                <w:lang w:val="en-US" w:eastAsia="zh-CN"/>
              </w:rPr>
              <w:t>12月20日</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8：00-12：00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报到</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入住宾馆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2</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14:00-15:30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赛前说明、答疑与抽签</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6号实训楼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3</w:t>
            </w:r>
          </w:p>
        </w:tc>
        <w:tc>
          <w:tcPr>
            <w:tcW w:w="160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15:30-17:00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选手熟悉赛场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4</w:t>
            </w:r>
          </w:p>
        </w:tc>
        <w:tc>
          <w:tcPr>
            <w:tcW w:w="1608"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 w:hAnsi="仿宋" w:eastAsia="仿宋" w:cs="仿宋"/>
                <w:sz w:val="24"/>
                <w:szCs w:val="24"/>
                <w:lang w:val="en-US" w:eastAsia="zh-CN"/>
              </w:rPr>
              <w:t>12月21日</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7:30-8:00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按抽签顺序号抽赛位号、检验选手有关证件、进入赛位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5</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8:00-11:00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实际操作比赛第一场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6</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11:00-12:00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设备恢复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7</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12:00-12:30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按抽签顺序号抽赛位号、检验选手有关证件、进入赛位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8</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12:30-15:30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实际操作比赛第二场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Times New Roman"/>
                <w:kern w:val="0"/>
                <w:sz w:val="24"/>
                <w:szCs w:val="24"/>
                <w:lang w:val="en-US" w:eastAsia="zh-CN" w:bidi="ar-SA"/>
              </w:rPr>
            </w:pPr>
            <w:r>
              <w:rPr>
                <w:rFonts w:hint="eastAsia" w:ascii="仿宋" w:hAnsi="仿宋" w:eastAsia="仿宋"/>
                <w:kern w:val="0"/>
                <w:sz w:val="24"/>
                <w:lang w:val="en-US" w:eastAsia="zh-CN"/>
              </w:rPr>
              <w:t>9</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15:30-16:30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设备恢复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Times New Roman"/>
                <w:kern w:val="0"/>
                <w:sz w:val="24"/>
                <w:szCs w:val="24"/>
                <w:lang w:val="en-US" w:eastAsia="zh-CN" w:bidi="ar-SA"/>
              </w:rPr>
            </w:pPr>
            <w:r>
              <w:rPr>
                <w:rFonts w:hint="eastAsia" w:ascii="仿宋" w:hAnsi="仿宋" w:eastAsia="仿宋"/>
                <w:kern w:val="0"/>
                <w:sz w:val="24"/>
                <w:lang w:val="en-US" w:eastAsia="zh-CN"/>
              </w:rPr>
              <w:t>10</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16:30-17:00</w:t>
            </w:r>
          </w:p>
        </w:tc>
        <w:tc>
          <w:tcPr>
            <w:tcW w:w="34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按抽签顺序号抽赛位号、检验选手有关证件、进入赛位</w:t>
            </w:r>
          </w:p>
        </w:tc>
        <w:tc>
          <w:tcPr>
            <w:tcW w:w="140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Times New Roman"/>
                <w:kern w:val="0"/>
                <w:sz w:val="24"/>
                <w:szCs w:val="24"/>
                <w:lang w:val="en-US" w:eastAsia="zh-CN" w:bidi="ar-SA"/>
              </w:rPr>
            </w:pPr>
            <w:r>
              <w:rPr>
                <w:rFonts w:hint="eastAsia" w:ascii="仿宋" w:hAnsi="仿宋" w:eastAsia="仿宋"/>
                <w:kern w:val="0"/>
                <w:sz w:val="24"/>
                <w:lang w:val="en-US" w:eastAsia="zh-CN"/>
              </w:rPr>
              <w:t>11</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17:00-20:00</w:t>
            </w:r>
          </w:p>
        </w:tc>
        <w:tc>
          <w:tcPr>
            <w:tcW w:w="34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实际操作比赛第三场</w:t>
            </w:r>
          </w:p>
        </w:tc>
        <w:tc>
          <w:tcPr>
            <w:tcW w:w="140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Times New Roman"/>
                <w:kern w:val="0"/>
                <w:sz w:val="24"/>
                <w:szCs w:val="24"/>
                <w:lang w:val="en-US" w:eastAsia="zh-CN" w:bidi="ar-SA"/>
              </w:rPr>
            </w:pPr>
            <w:r>
              <w:rPr>
                <w:rFonts w:hint="eastAsia" w:ascii="仿宋" w:hAnsi="仿宋" w:eastAsia="仿宋"/>
                <w:kern w:val="0"/>
                <w:sz w:val="24"/>
                <w:lang w:val="en-US" w:eastAsia="zh-CN"/>
              </w:rPr>
              <w:t>12</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20:00-21:00</w:t>
            </w:r>
          </w:p>
        </w:tc>
        <w:tc>
          <w:tcPr>
            <w:tcW w:w="34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设备恢复</w:t>
            </w:r>
          </w:p>
        </w:tc>
        <w:tc>
          <w:tcPr>
            <w:tcW w:w="140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Times New Roman"/>
                <w:kern w:val="0"/>
                <w:sz w:val="24"/>
                <w:szCs w:val="24"/>
                <w:lang w:val="en-US" w:eastAsia="zh-CN" w:bidi="ar-SA"/>
              </w:rPr>
            </w:pPr>
            <w:r>
              <w:rPr>
                <w:rFonts w:hint="eastAsia" w:ascii="仿宋" w:hAnsi="仿宋" w:eastAsia="仿宋"/>
                <w:kern w:val="0"/>
                <w:sz w:val="24"/>
                <w:lang w:val="en-US" w:eastAsia="zh-CN"/>
              </w:rPr>
              <w:t>13</w:t>
            </w:r>
          </w:p>
        </w:tc>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 w:hAnsi="仿宋" w:eastAsia="仿宋" w:cs="仿宋"/>
                <w:sz w:val="24"/>
                <w:szCs w:val="24"/>
                <w:lang w:val="en-US" w:eastAsia="zh-CN"/>
              </w:rPr>
              <w:t>12月22日</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7:30-8:00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按抽签顺序号抽赛位号、检验选手有关证件、进入赛位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Times New Roman"/>
                <w:kern w:val="0"/>
                <w:sz w:val="24"/>
                <w:szCs w:val="24"/>
                <w:lang w:val="en-US" w:eastAsia="zh-CN" w:bidi="ar-SA"/>
              </w:rPr>
            </w:pPr>
            <w:r>
              <w:rPr>
                <w:rFonts w:hint="eastAsia" w:ascii="仿宋" w:hAnsi="仿宋" w:eastAsia="仿宋"/>
                <w:kern w:val="0"/>
                <w:sz w:val="24"/>
                <w:lang w:val="en-US" w:eastAsia="zh-CN"/>
              </w:rPr>
              <w:t>14</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8:00-11:00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实际操作比赛第四场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Times New Roman"/>
                <w:kern w:val="0"/>
                <w:sz w:val="24"/>
                <w:szCs w:val="24"/>
                <w:lang w:val="en-US" w:eastAsia="zh-CN" w:bidi="ar-SA"/>
              </w:rPr>
            </w:pPr>
            <w:r>
              <w:rPr>
                <w:rFonts w:hint="eastAsia" w:ascii="仿宋" w:hAnsi="仿宋" w:eastAsia="仿宋"/>
                <w:kern w:val="0"/>
                <w:sz w:val="24"/>
                <w:lang w:val="en-US" w:eastAsia="zh-CN"/>
              </w:rPr>
              <w:t>15</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11:00-12:00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设备恢复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Times New Roman"/>
                <w:kern w:val="0"/>
                <w:sz w:val="24"/>
                <w:szCs w:val="24"/>
                <w:lang w:val="en-US" w:eastAsia="zh-CN" w:bidi="ar-SA"/>
              </w:rPr>
            </w:pPr>
            <w:r>
              <w:rPr>
                <w:rFonts w:hint="eastAsia" w:ascii="仿宋" w:hAnsi="仿宋" w:eastAsia="仿宋"/>
                <w:kern w:val="0"/>
                <w:sz w:val="24"/>
                <w:lang w:val="en-US" w:eastAsia="zh-CN"/>
              </w:rPr>
              <w:t>16</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12:00-12:30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按抽签顺序号抽赛位号、检验选手有关证件、进入赛位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Times New Roman"/>
                <w:kern w:val="0"/>
                <w:sz w:val="24"/>
                <w:szCs w:val="24"/>
                <w:lang w:val="en-US" w:eastAsia="zh-CN" w:bidi="ar-SA"/>
              </w:rPr>
            </w:pPr>
            <w:r>
              <w:rPr>
                <w:rFonts w:hint="eastAsia" w:ascii="仿宋" w:hAnsi="仿宋" w:eastAsia="仿宋"/>
                <w:kern w:val="0"/>
                <w:sz w:val="24"/>
                <w:lang w:val="en-US" w:eastAsia="zh-CN"/>
              </w:rPr>
              <w:t>17</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12:30-15:30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实际操作比赛第五场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Times New Roman"/>
                <w:kern w:val="0"/>
                <w:sz w:val="24"/>
                <w:szCs w:val="24"/>
                <w:lang w:val="en-US" w:eastAsia="zh-CN" w:bidi="ar-SA"/>
              </w:rPr>
            </w:pPr>
            <w:r>
              <w:rPr>
                <w:rFonts w:hint="eastAsia" w:ascii="仿宋" w:hAnsi="仿宋" w:eastAsia="仿宋"/>
                <w:kern w:val="0"/>
                <w:sz w:val="24"/>
                <w:lang w:val="en-US" w:eastAsia="zh-CN"/>
              </w:rPr>
              <w:t>20</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15:30-16:30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设备恢复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Times New Roman"/>
                <w:kern w:val="0"/>
                <w:sz w:val="24"/>
                <w:szCs w:val="24"/>
                <w:lang w:val="en-US" w:eastAsia="zh-CN" w:bidi="ar-SA"/>
              </w:rPr>
            </w:pPr>
            <w:r>
              <w:rPr>
                <w:rFonts w:hint="eastAsia" w:ascii="仿宋" w:hAnsi="仿宋" w:eastAsia="仿宋"/>
                <w:kern w:val="0"/>
                <w:sz w:val="24"/>
                <w:lang w:val="en-US" w:eastAsia="zh-CN"/>
              </w:rPr>
              <w:t>21</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16:30-17:00</w:t>
            </w:r>
          </w:p>
        </w:tc>
        <w:tc>
          <w:tcPr>
            <w:tcW w:w="34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按抽签顺序号抽赛位号、检验选手有关证件、进入赛位</w:t>
            </w:r>
          </w:p>
        </w:tc>
        <w:tc>
          <w:tcPr>
            <w:tcW w:w="140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Times New Roman"/>
                <w:kern w:val="0"/>
                <w:sz w:val="24"/>
                <w:szCs w:val="24"/>
                <w:lang w:val="en-US" w:eastAsia="zh-CN" w:bidi="ar-SA"/>
              </w:rPr>
            </w:pPr>
            <w:r>
              <w:rPr>
                <w:rFonts w:hint="eastAsia" w:ascii="仿宋" w:hAnsi="仿宋" w:eastAsia="仿宋"/>
                <w:kern w:val="0"/>
                <w:sz w:val="24"/>
                <w:lang w:val="en-US" w:eastAsia="zh-CN"/>
              </w:rPr>
              <w:t>22</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17:00-20:00</w:t>
            </w:r>
          </w:p>
        </w:tc>
        <w:tc>
          <w:tcPr>
            <w:tcW w:w="34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实际操作比赛第六场</w:t>
            </w:r>
          </w:p>
        </w:tc>
        <w:tc>
          <w:tcPr>
            <w:tcW w:w="140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Times New Roman"/>
                <w:kern w:val="0"/>
                <w:sz w:val="24"/>
                <w:szCs w:val="24"/>
                <w:lang w:val="en-US" w:eastAsia="zh-CN" w:bidi="ar-SA"/>
              </w:rPr>
            </w:pPr>
            <w:r>
              <w:rPr>
                <w:rFonts w:hint="eastAsia" w:ascii="仿宋" w:hAnsi="仿宋" w:eastAsia="仿宋"/>
                <w:kern w:val="0"/>
                <w:sz w:val="24"/>
                <w:lang w:val="en-US" w:eastAsia="zh-CN"/>
              </w:rPr>
              <w:t>23</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20:00-21:00</w:t>
            </w:r>
          </w:p>
        </w:tc>
        <w:tc>
          <w:tcPr>
            <w:tcW w:w="34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设备恢复</w:t>
            </w:r>
          </w:p>
        </w:tc>
        <w:tc>
          <w:tcPr>
            <w:tcW w:w="140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竞赛场地</w:t>
            </w:r>
          </w:p>
        </w:tc>
      </w:tr>
      <w:bookmarkEnd w:id="8"/>
    </w:tbl>
    <w:p>
      <w:pPr>
        <w:pageBreakBefore w:val="0"/>
        <w:widowControl w:val="0"/>
        <w:kinsoku/>
        <w:wordWrap/>
        <w:overflowPunct/>
        <w:topLinePunct w:val="0"/>
        <w:autoSpaceDE/>
        <w:autoSpaceDN/>
        <w:bidi w:val="0"/>
        <w:adjustRightInd/>
        <w:snapToGrid/>
        <w:spacing w:line="600" w:lineRule="exact"/>
        <w:ind w:firstLine="481" w:firstLineChars="200"/>
        <w:jc w:val="both"/>
        <w:textAlignment w:val="auto"/>
        <w:rPr>
          <w:rFonts w:hint="eastAsia" w:ascii="仿宋_GB2312" w:hAnsi="仿宋_GB2312" w:eastAsia="仿宋_GB2312" w:cs="仿宋_GB2312"/>
          <w:b/>
          <w:bCs/>
          <w:sz w:val="24"/>
          <w:szCs w:val="24"/>
          <w:lang w:val="en-US" w:eastAsia="zh-CN"/>
        </w:rPr>
      </w:pPr>
      <w:bookmarkStart w:id="9" w:name="_Toc477270876"/>
      <w:bookmarkStart w:id="10" w:name="_Toc4287711"/>
      <w:bookmarkStart w:id="11" w:name="_Toc4287717"/>
      <w:bookmarkStart w:id="12" w:name="_Toc477270884"/>
      <w:r>
        <w:rPr>
          <w:rFonts w:hint="eastAsia" w:ascii="仿宋_GB2312" w:hAnsi="仿宋_GB2312" w:eastAsia="仿宋_GB2312" w:cs="仿宋_GB2312"/>
          <w:b/>
          <w:bCs/>
          <w:sz w:val="24"/>
          <w:szCs w:val="24"/>
          <w:lang w:val="en-US" w:eastAsia="zh-CN"/>
        </w:rPr>
        <w:t>备注：根据报名参赛队数量，将适当调整比赛时间。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（三）竞赛流程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参赛队报到——组织参赛选手赛前熟悉场地、介绍比赛规程与答疑与抽签——正式比赛——比赛结束（参赛队上交比赛成果）——专家评委进行评定——召开竞赛执行委员会总结会议。</w:t>
      </w:r>
    </w:p>
    <w:p>
      <w:pPr>
        <w:pStyle w:val="53"/>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r>
        <w:rPr>
          <w:rFonts w:hint="eastAsia" w:ascii="黑体" w:hAnsi="黑体" w:eastAsia="黑体" w:cs="黑体"/>
          <w:b w:val="0"/>
          <w:bCs/>
          <w:color w:val="000000"/>
          <w:kern w:val="2"/>
          <w:sz w:val="30"/>
          <w:szCs w:val="30"/>
          <w:lang w:val="en-US" w:eastAsia="zh-CN"/>
        </w:rPr>
        <w:t>六、竞赛内容</w:t>
      </w:r>
      <w:bookmarkEnd w:id="9"/>
      <w:bookmarkEnd w:id="1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13" w:name="_Toc4287712"/>
      <w:bookmarkStart w:id="14" w:name="_Toc477270877"/>
      <w:r>
        <w:rPr>
          <w:rFonts w:hint="eastAsia" w:ascii="楷体_GB2312" w:hAnsi="楷体_GB2312" w:eastAsia="楷体_GB2312" w:cs="楷体_GB2312"/>
          <w:sz w:val="30"/>
          <w:szCs w:val="30"/>
          <w:lang w:val="en-US" w:eastAsia="zh-CN"/>
        </w:rPr>
        <w:t>（一）内容描述</w:t>
      </w:r>
      <w:bookmarkEnd w:id="13"/>
      <w:bookmarkEnd w:id="1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本赛项有六项考核内容构成。①数控机床电气控制设置与调试；②数控机床故障诊断与排除；③数控机床部件的装配与调试；④数控机床功能开发与调试；⑤零件试切加工；⑥职业素养和安全意识。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15" w:name="_Toc4287713"/>
      <w:bookmarkStart w:id="16" w:name="_Toc477270878"/>
      <w:r>
        <w:rPr>
          <w:rFonts w:hint="eastAsia" w:ascii="楷体_GB2312" w:hAnsi="楷体_GB2312" w:eastAsia="楷体_GB2312" w:cs="楷体_GB2312"/>
          <w:sz w:val="30"/>
          <w:szCs w:val="30"/>
          <w:lang w:val="en-US" w:eastAsia="zh-CN"/>
        </w:rPr>
        <w:t>（二）命题</w:t>
      </w:r>
      <w:bookmarkEnd w:id="15"/>
      <w:bookmarkEnd w:id="16"/>
      <w:r>
        <w:rPr>
          <w:rFonts w:hint="eastAsia" w:ascii="楷体_GB2312" w:hAnsi="楷体_GB2312" w:eastAsia="楷体_GB2312" w:cs="楷体_GB2312"/>
          <w:sz w:val="30"/>
          <w:szCs w:val="30"/>
          <w:lang w:val="en-US" w:eastAsia="zh-CN"/>
        </w:rPr>
        <w:t>标准</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本赛项为实操竞赛，是利用赛场配备的加工中心、功能部件、检测仪器、工业机器人等，在规定的时间内，实际操作完成赛项任务。赛项实际操作赛题由赛项专家组按照本赛项申报方案命题。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17" w:name="_Toc477270879"/>
      <w:bookmarkStart w:id="18" w:name="_Toc4287714"/>
      <w:r>
        <w:rPr>
          <w:rFonts w:hint="eastAsia" w:ascii="楷体_GB2312" w:hAnsi="楷体_GB2312" w:eastAsia="楷体_GB2312" w:cs="楷体_GB2312"/>
          <w:sz w:val="30"/>
          <w:szCs w:val="30"/>
          <w:lang w:val="en-US" w:eastAsia="zh-CN"/>
        </w:rPr>
        <w:t>（三）命题内容</w:t>
      </w:r>
      <w:bookmarkEnd w:id="17"/>
      <w:bookmarkEnd w:id="1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本赛项采取团队比赛的形式进行。每组2位选手，要求在规定的180分钟比赛时间内，连续完成赛项任务书给定的任务。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任务一：数控机床电气控制设置与调试（15分）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选手根据任务书要求，设计数控机床电气控制电路，选择适宜的器件，严格遵循电气原理图和接线规范，确保线路连接与电气原理图完全一致。实现任务书中的功能要求，并通过验证测试。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任务二：数控机床故障诊断与排除（20分）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检查机床电气系统，排除隐患，解除系统及PLC报警。进行机床功能检查，诊断并解决故障，调整参数至最佳状态。填写指定表格记录故障现象、故障点、排除故障过程和调整过程。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任务三：数控机床部件的装配与调试（15分）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选手需按照赛项任务书要求，完成机械主轴零部件的装配与调整，安装精度和检测项应符合赛题要求，同时将机械主轴、联轴节、异步电机、安全保护罩等安装到基座上，保证同轴度符合赛题中指标要求。选手还需完成手夹和平口钳在加工中心上的安装和气压调节任务，确保气压值符合规定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任务四：数控机床功能开发与调试（15分）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选手需要完成以下任务：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4-1数控机床技术升级改造；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4-2实现数控系统与PC的互联互通；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4-3完成指定功能的开发。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任务五：零件试切加工（25分）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选手需要验证智能加工流程的可行性，包括单步模式下和自动模式下的验证。在单步模式下，选手需要按照指定的智能加工流程进行验证，并可自行设计合理的流程。在自动模式下，选手需要按照相同的智能加工流程进行加工，并不能人工干预过程；实现虚拟制造仿真。最后，零件模拟试加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任务六：职业素养和安全意识（10分）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olor w:val="000000"/>
          <w:sz w:val="30"/>
          <w:szCs w:val="24"/>
        </w:rPr>
      </w:pPr>
      <w:r>
        <w:rPr>
          <w:rFonts w:hint="eastAsia" w:ascii="仿宋_GB2312" w:hAnsi="仿宋_GB2312" w:eastAsia="仿宋_GB2312" w:cs="仿宋_GB2312"/>
          <w:sz w:val="30"/>
          <w:szCs w:val="30"/>
          <w:lang w:val="en-US" w:eastAsia="zh-CN"/>
        </w:rPr>
        <w:t>本赛项专设职业素养和安全意识评价环节，用于评价选</w:t>
      </w:r>
      <w:r>
        <w:rPr>
          <w:rFonts w:hint="eastAsia" w:ascii="仿宋_GB2312" w:hAnsi="仿宋_GB2312" w:eastAsia="仿宋_GB2312"/>
          <w:color w:val="000000"/>
          <w:sz w:val="30"/>
          <w:szCs w:val="24"/>
        </w:rPr>
        <w:t>手在竞赛全程的职业素养水平和安全意识。</w:t>
      </w:r>
    </w:p>
    <w:p>
      <w:pPr>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eastAsia" w:ascii="仿宋_GB2312" w:hAnsi="仿宋_GB2312" w:eastAsia="仿宋_GB2312"/>
          <w:color w:val="000000"/>
          <w:sz w:val="30"/>
          <w:szCs w:val="24"/>
          <w:lang w:val="en-US" w:eastAsia="zh-CN"/>
        </w:rPr>
      </w:pPr>
      <w:r>
        <w:rPr>
          <w:rFonts w:hint="eastAsia" w:ascii="黑体" w:hAnsi="黑体" w:eastAsia="黑体" w:cs="黑体"/>
          <w:color w:val="0B0B0B"/>
          <w:kern w:val="2"/>
          <w:sz w:val="24"/>
          <w:szCs w:val="22"/>
          <w:lang w:val="en-US" w:eastAsia="zh-CN" w:bidi="ar-SA"/>
        </w:rPr>
        <w:t>表6-1 赛项任务、比赛时长及分值配比</w:t>
      </w:r>
    </w:p>
    <w:tbl>
      <w:tblPr>
        <w:tblStyle w:val="23"/>
        <w:tblW w:w="90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693"/>
        <w:gridCol w:w="3232"/>
        <w:gridCol w:w="2480"/>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0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color w:val="auto"/>
                <w:sz w:val="24"/>
                <w:lang w:eastAsia="zh-CN"/>
              </w:rPr>
            </w:pPr>
            <w:r>
              <w:rPr>
                <w:rFonts w:hint="eastAsia" w:ascii="黑体" w:hAnsi="黑体" w:eastAsia="黑体" w:cs="黑体"/>
                <w:color w:val="auto"/>
                <w:sz w:val="24"/>
                <w:lang w:val="en-US" w:eastAsia="zh-CN"/>
              </w:rPr>
              <w:t>任务</w:t>
            </w:r>
          </w:p>
        </w:tc>
        <w:tc>
          <w:tcPr>
            <w:tcW w:w="32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黑体" w:hAnsi="黑体" w:eastAsia="黑体" w:cs="黑体"/>
                <w:color w:val="auto"/>
                <w:sz w:val="24"/>
                <w:lang w:val="en-US" w:eastAsia="zh-CN"/>
              </w:rPr>
            </w:pPr>
            <w:r>
              <w:rPr>
                <w:rFonts w:hint="eastAsia" w:ascii="黑体" w:hAnsi="黑体" w:eastAsia="黑体" w:cs="黑体"/>
                <w:color w:val="auto"/>
                <w:sz w:val="24"/>
                <w:lang w:val="en-US" w:eastAsia="zh-CN"/>
              </w:rPr>
              <w:t>主要内容</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黑体" w:hAnsi="黑体" w:eastAsia="黑体" w:cs="黑体"/>
                <w:color w:val="auto"/>
                <w:sz w:val="24"/>
                <w:lang w:val="en-US" w:eastAsia="zh-CN"/>
              </w:rPr>
            </w:pPr>
            <w:r>
              <w:rPr>
                <w:rFonts w:hint="eastAsia" w:ascii="黑体" w:hAnsi="黑体" w:eastAsia="黑体" w:cs="黑体"/>
                <w:color w:val="auto"/>
                <w:sz w:val="24"/>
                <w:lang w:val="en-US" w:eastAsia="zh-CN"/>
              </w:rPr>
              <w:t>比赛时长</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color w:val="auto"/>
                <w:sz w:val="24"/>
              </w:rPr>
            </w:pPr>
            <w:r>
              <w:rPr>
                <w:rFonts w:hint="eastAsia" w:ascii="黑体" w:hAnsi="黑体" w:eastAsia="黑体" w:cs="黑体"/>
                <w:color w:val="auto"/>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olor w:val="auto"/>
                <w:sz w:val="24"/>
                <w:lang w:val="en-US" w:eastAsia="zh-CN"/>
              </w:rPr>
            </w:pPr>
            <w:r>
              <w:rPr>
                <w:rFonts w:hint="eastAsia" w:ascii="仿宋" w:hAnsi="仿宋" w:eastAsia="仿宋"/>
                <w:color w:val="auto"/>
                <w:sz w:val="24"/>
                <w:lang w:val="en-US" w:eastAsia="zh-CN"/>
              </w:rPr>
              <w:t>任务一</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仿宋" w:hAnsi="仿宋" w:eastAsia="仿宋"/>
                <w:color w:val="auto"/>
                <w:sz w:val="24"/>
              </w:rPr>
            </w:pPr>
            <w:r>
              <w:rPr>
                <w:rFonts w:hint="default" w:ascii="仿宋" w:hAnsi="仿宋" w:eastAsia="仿宋"/>
                <w:color w:val="auto"/>
                <w:sz w:val="24"/>
              </w:rPr>
              <w:t>数控机床电气</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olor w:val="auto"/>
                <w:sz w:val="24"/>
                <w:lang w:val="en-US" w:eastAsia="zh-CN"/>
              </w:rPr>
            </w:pPr>
            <w:r>
              <w:rPr>
                <w:rFonts w:hint="default" w:ascii="仿宋" w:hAnsi="仿宋" w:eastAsia="仿宋"/>
                <w:color w:val="auto"/>
                <w:sz w:val="24"/>
              </w:rPr>
              <w:t>装调</w:t>
            </w:r>
          </w:p>
        </w:tc>
        <w:tc>
          <w:tcPr>
            <w:tcW w:w="32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Times New Roman"/>
                <w:color w:val="auto"/>
                <w:sz w:val="24"/>
                <w:szCs w:val="24"/>
                <w:lang w:val="en-US" w:eastAsia="zh-CN" w:bidi="ar-SA"/>
              </w:rPr>
            </w:pPr>
            <w:r>
              <w:rPr>
                <w:rFonts w:hint="eastAsia" w:ascii="仿宋" w:hAnsi="仿宋" w:eastAsia="仿宋" w:cs="Times New Roman"/>
                <w:color w:val="auto"/>
                <w:sz w:val="24"/>
                <w:szCs w:val="24"/>
                <w:lang w:val="en-US" w:eastAsia="zh-CN" w:bidi="ar-SA"/>
              </w:rPr>
              <w:t>1-1选手根据赛项任务书题目要求，针对数控机床电气控制功能，设计相应的控制电路。</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Times New Roman"/>
                <w:color w:val="auto"/>
                <w:sz w:val="24"/>
                <w:szCs w:val="24"/>
                <w:lang w:val="en-US" w:eastAsia="zh-CN" w:bidi="ar-SA"/>
              </w:rPr>
            </w:pPr>
            <w:r>
              <w:rPr>
                <w:rFonts w:hint="eastAsia" w:ascii="仿宋" w:hAnsi="仿宋" w:eastAsia="仿宋" w:cs="Times New Roman"/>
                <w:color w:val="auto"/>
                <w:sz w:val="24"/>
                <w:szCs w:val="24"/>
                <w:lang w:val="en-US" w:eastAsia="zh-CN" w:bidi="ar-SA"/>
              </w:rPr>
              <w:t>1-2选择适宜的器件、严格遵循电气原理图绘制标准、正确绘制电气原理图。严格遵循电工接线规范，正确连接线路，做到接线与电气原理图完全一致。</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olor w:val="auto"/>
                <w:sz w:val="24"/>
                <w:lang w:val="en-US" w:eastAsia="zh-CN"/>
              </w:rPr>
            </w:pPr>
            <w:r>
              <w:rPr>
                <w:rFonts w:hint="eastAsia" w:ascii="仿宋" w:hAnsi="仿宋" w:eastAsia="仿宋" w:cs="Times New Roman"/>
                <w:color w:val="auto"/>
                <w:sz w:val="24"/>
                <w:szCs w:val="24"/>
                <w:lang w:val="en-US" w:eastAsia="zh-CN" w:bidi="ar-SA"/>
              </w:rPr>
              <w:t>1-3要求：实现赛项任务书中的功能要求，通过验证测试。</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olor w:val="auto"/>
                <w:sz w:val="24"/>
                <w:lang w:val="en-US" w:eastAsia="zh-CN"/>
              </w:rPr>
            </w:pPr>
            <w:r>
              <w:rPr>
                <w:rFonts w:hint="eastAsia" w:ascii="仿宋" w:hAnsi="仿宋" w:eastAsia="仿宋"/>
                <w:color w:val="auto"/>
                <w:sz w:val="24"/>
                <w:lang w:val="en-US" w:eastAsia="zh-CN"/>
              </w:rPr>
              <w:t>40分钟</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olor w:val="auto"/>
                <w:sz w:val="24"/>
                <w:lang w:val="en-US" w:eastAsia="zh-CN"/>
              </w:rPr>
            </w:pPr>
            <w:r>
              <w:rPr>
                <w:rFonts w:hint="default" w:ascii="仿宋" w:hAnsi="仿宋" w:eastAsia="仿宋"/>
                <w:color w:val="auto"/>
                <w:sz w:val="24"/>
              </w:rPr>
              <w:t>1</w:t>
            </w:r>
            <w:r>
              <w:rPr>
                <w:rFonts w:hint="eastAsia" w:ascii="仿宋" w:hAnsi="仿宋" w:eastAsia="仿宋"/>
                <w:color w:val="auto"/>
                <w:sz w:val="24"/>
                <w:lang w:val="en-US" w:eastAsia="zh-CN"/>
              </w:rPr>
              <w:t>5</w:t>
            </w:r>
            <w:r>
              <w:rPr>
                <w:rFonts w:hint="default" w:ascii="仿宋" w:hAnsi="仿宋" w:eastAsia="仿宋"/>
                <w:color w:val="auto"/>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olor w:val="auto"/>
                <w:sz w:val="24"/>
                <w:lang w:eastAsia="zh-CN"/>
              </w:rPr>
            </w:pPr>
            <w:r>
              <w:rPr>
                <w:rFonts w:hint="eastAsia" w:ascii="仿宋" w:hAnsi="仿宋" w:eastAsia="仿宋"/>
                <w:color w:val="auto"/>
                <w:sz w:val="24"/>
                <w:lang w:val="en-US" w:eastAsia="zh-CN"/>
              </w:rPr>
              <w:t>任务二</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 w:hAnsi="仿宋" w:eastAsia="仿宋" w:cs="Times New Roman"/>
                <w:color w:val="auto"/>
                <w:sz w:val="24"/>
                <w:szCs w:val="24"/>
                <w:lang w:val="en-US" w:eastAsia="zh-CN" w:bidi="ar-SA"/>
              </w:rPr>
              <w:t>数控机床故障诊断与排除</w:t>
            </w:r>
          </w:p>
        </w:tc>
        <w:tc>
          <w:tcPr>
            <w:tcW w:w="3232" w:type="dxa"/>
            <w:tcBorders>
              <w:right w:val="single" w:color="auto" w:sz="4" w:space="0"/>
            </w:tcBorders>
            <w:vAlign w:val="center"/>
          </w:tcPr>
          <w:p>
            <w:pPr>
              <w:pStyle w:val="50"/>
              <w:spacing w:line="277" w:lineRule="exact"/>
              <w:ind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2-1在机床不通电情况下检查机床电气系统，排除目测隐患。</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Times New Roman"/>
                <w:color w:val="auto"/>
                <w:sz w:val="24"/>
                <w:szCs w:val="24"/>
                <w:lang w:val="en-US" w:eastAsia="zh-CN" w:bidi="ar-SA"/>
              </w:rPr>
            </w:pPr>
            <w:r>
              <w:rPr>
                <w:rFonts w:hint="eastAsia" w:ascii="仿宋" w:hAnsi="仿宋" w:eastAsia="仿宋" w:cs="Times New Roman"/>
                <w:color w:val="auto"/>
                <w:sz w:val="24"/>
                <w:szCs w:val="24"/>
                <w:lang w:val="en-US" w:eastAsia="zh-CN" w:bidi="ar-SA"/>
              </w:rPr>
              <w:t>2-2机床通电后选手根据屏幕显示的报警信息，逐一解除系统及PLC报警。</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Times New Roman"/>
                <w:color w:val="auto"/>
                <w:sz w:val="24"/>
                <w:szCs w:val="24"/>
                <w:lang w:val="en-US" w:eastAsia="zh-CN" w:bidi="ar-SA"/>
              </w:rPr>
            </w:pPr>
            <w:r>
              <w:rPr>
                <w:rFonts w:hint="eastAsia" w:ascii="仿宋" w:hAnsi="仿宋" w:eastAsia="仿宋" w:cs="Times New Roman"/>
                <w:color w:val="auto"/>
                <w:sz w:val="24"/>
                <w:szCs w:val="24"/>
                <w:lang w:val="en-US" w:eastAsia="zh-CN" w:bidi="ar-SA"/>
              </w:rPr>
              <w:t>2-3按照赛项任务书机床功能检查表要求，进行机床功能检查，诊断并排除故障。</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Times New Roman"/>
                <w:color w:val="auto"/>
                <w:sz w:val="24"/>
                <w:szCs w:val="24"/>
                <w:lang w:val="en-US" w:eastAsia="zh-CN" w:bidi="ar-SA"/>
              </w:rPr>
            </w:pPr>
            <w:r>
              <w:rPr>
                <w:rFonts w:hint="eastAsia" w:ascii="仿宋" w:hAnsi="仿宋" w:eastAsia="仿宋" w:cs="Times New Roman"/>
                <w:color w:val="auto"/>
                <w:sz w:val="24"/>
                <w:szCs w:val="24"/>
                <w:lang w:val="en-US" w:eastAsia="zh-CN" w:bidi="ar-SA"/>
              </w:rPr>
              <w:t>2-4系统及伺服参数应调整至最佳状态。</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Times New Roman"/>
                <w:color w:val="auto"/>
                <w:sz w:val="24"/>
                <w:szCs w:val="24"/>
                <w:lang w:val="en-US" w:eastAsia="zh-CN" w:bidi="ar-SA"/>
              </w:rPr>
            </w:pPr>
            <w:r>
              <w:rPr>
                <w:rFonts w:hint="eastAsia" w:ascii="仿宋" w:hAnsi="仿宋" w:eastAsia="仿宋" w:cs="Times New Roman"/>
                <w:color w:val="auto"/>
                <w:sz w:val="24"/>
                <w:szCs w:val="24"/>
                <w:lang w:val="en-US" w:eastAsia="zh-CN" w:bidi="ar-SA"/>
              </w:rPr>
              <w:t>2-5根据机床存在的故障，将故障现象、故障点、排除故障过程、调整过程填入指定表格</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Times New Roman"/>
                <w:color w:val="auto"/>
                <w:sz w:val="24"/>
                <w:szCs w:val="24"/>
                <w:lang w:val="en-US" w:eastAsia="zh-CN" w:bidi="ar-SA"/>
              </w:rPr>
            </w:pPr>
            <w:r>
              <w:rPr>
                <w:rFonts w:hint="eastAsia" w:ascii="仿宋" w:hAnsi="仿宋" w:eastAsia="仿宋" w:cs="Times New Roman"/>
                <w:color w:val="auto"/>
                <w:sz w:val="24"/>
                <w:szCs w:val="24"/>
                <w:lang w:val="en-US" w:eastAsia="zh-CN" w:bidi="ar-SA"/>
              </w:rPr>
              <w:t>中。</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40分钟</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olor w:val="auto"/>
                <w:sz w:val="24"/>
                <w:lang w:val="en-US" w:eastAsia="zh-CN"/>
              </w:rPr>
            </w:pPr>
            <w:r>
              <w:rPr>
                <w:rFonts w:hint="eastAsia" w:ascii="仿宋" w:hAnsi="仿宋" w:eastAsia="仿宋"/>
                <w:color w:val="auto"/>
                <w:sz w:val="24"/>
                <w:lang w:val="en-US" w:eastAsia="zh-CN"/>
              </w:rPr>
              <w:t>任务三</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仿宋_GB2312" w:hAnsi="仿宋_GB2312" w:eastAsia="仿宋_GB2312" w:cs="仿宋_GB2312"/>
                <w:kern w:val="2"/>
                <w:sz w:val="24"/>
                <w:szCs w:val="24"/>
                <w:lang w:val="en-US" w:eastAsia="zh-CN" w:bidi="ar-SA"/>
              </w:rPr>
            </w:pPr>
            <w:r>
              <w:rPr>
                <w:rFonts w:hint="eastAsia" w:ascii="仿宋" w:hAnsi="仿宋" w:eastAsia="仿宋" w:cs="仿宋"/>
                <w:sz w:val="24"/>
                <w:szCs w:val="24"/>
                <w:lang w:val="en-US" w:eastAsia="zh-CN"/>
              </w:rPr>
              <w:t>数控机床部件的装配与调试</w:t>
            </w:r>
          </w:p>
        </w:tc>
        <w:tc>
          <w:tcPr>
            <w:tcW w:w="3232"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Times New Roman"/>
                <w:color w:val="auto"/>
                <w:sz w:val="24"/>
                <w:szCs w:val="24"/>
                <w:lang w:val="en-US" w:eastAsia="zh-CN" w:bidi="ar-SA"/>
              </w:rPr>
            </w:pPr>
            <w:r>
              <w:rPr>
                <w:rFonts w:hint="eastAsia" w:ascii="仿宋" w:hAnsi="仿宋" w:eastAsia="仿宋" w:cs="Times New Roman"/>
                <w:color w:val="auto"/>
                <w:sz w:val="24"/>
                <w:szCs w:val="24"/>
                <w:lang w:val="en-US" w:eastAsia="zh-CN" w:bidi="ar-SA"/>
              </w:rPr>
              <w:t>3-1选手根据赛场提供的机械主轴零部件，按照赛项任务书题目要求，进行主轴装配与调整，安装工艺应符合赛项提供的主轴安装工艺标准。</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Times New Roman"/>
                <w:color w:val="auto"/>
                <w:sz w:val="24"/>
                <w:szCs w:val="24"/>
                <w:lang w:val="en-US" w:eastAsia="zh-CN" w:bidi="ar-SA"/>
              </w:rPr>
            </w:pPr>
            <w:r>
              <w:rPr>
                <w:rFonts w:hint="eastAsia" w:ascii="仿宋" w:hAnsi="仿宋" w:eastAsia="仿宋" w:cs="Times New Roman"/>
                <w:color w:val="auto"/>
                <w:sz w:val="24"/>
                <w:szCs w:val="24"/>
                <w:lang w:val="en-US" w:eastAsia="zh-CN" w:bidi="ar-SA"/>
              </w:rPr>
              <w:t>3-2安装精度和检测项应符合赛题要求。</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Times New Roman"/>
                <w:color w:val="auto"/>
                <w:sz w:val="24"/>
                <w:szCs w:val="24"/>
                <w:lang w:val="en-US" w:eastAsia="zh-CN" w:bidi="ar-SA"/>
              </w:rPr>
            </w:pPr>
            <w:r>
              <w:rPr>
                <w:rFonts w:hint="eastAsia" w:ascii="仿宋" w:hAnsi="仿宋" w:eastAsia="仿宋" w:cs="Times New Roman"/>
                <w:color w:val="auto"/>
                <w:sz w:val="24"/>
                <w:szCs w:val="24"/>
                <w:lang w:val="en-US" w:eastAsia="zh-CN" w:bidi="ar-SA"/>
              </w:rPr>
              <w:t>3-3将机械主轴、联轴节、异步电机、安全保护罩等安装到基座上，并应保证同轴度符合赛题中指标要求。</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仿宋" w:hAnsi="仿宋" w:eastAsia="仿宋" w:cs="仿宋"/>
                <w:kern w:val="2"/>
                <w:sz w:val="24"/>
                <w:szCs w:val="24"/>
                <w:lang w:val="en-US" w:eastAsia="zh-CN" w:bidi="ar-SA"/>
              </w:rPr>
            </w:pPr>
            <w:r>
              <w:rPr>
                <w:rFonts w:hint="eastAsia" w:ascii="仿宋" w:hAnsi="仿宋" w:eastAsia="仿宋" w:cs="Times New Roman"/>
                <w:color w:val="auto"/>
                <w:sz w:val="24"/>
                <w:szCs w:val="24"/>
                <w:lang w:val="en-US" w:eastAsia="zh-CN" w:bidi="ar-SA"/>
              </w:rPr>
              <w:t>3-4选手根据赛项任务书要求，完成手夹和机床平口钳安装与调试，平口钳在加工中心上的安装、以及调节平口钳上各气路的气压值至规定要求。</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40分钟</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olor w:val="auto"/>
                <w:sz w:val="24"/>
                <w:lang w:val="en-US" w:eastAsia="zh-CN"/>
              </w:rPr>
            </w:pPr>
            <w:r>
              <w:rPr>
                <w:rFonts w:hint="eastAsia" w:ascii="仿宋" w:hAnsi="仿宋" w:eastAsia="仿宋"/>
                <w:color w:val="auto"/>
                <w:sz w:val="24"/>
                <w:lang w:val="en-US" w:eastAsia="zh-CN"/>
              </w:rPr>
              <w:t>任务四</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数控机床功能开发与调试</w:t>
            </w:r>
          </w:p>
        </w:tc>
        <w:tc>
          <w:tcPr>
            <w:tcW w:w="3232"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Times New Roman"/>
                <w:color w:val="auto"/>
                <w:sz w:val="24"/>
                <w:szCs w:val="24"/>
                <w:lang w:val="en-US" w:eastAsia="zh-CN" w:bidi="ar-SA"/>
              </w:rPr>
            </w:pPr>
            <w:r>
              <w:rPr>
                <w:rFonts w:hint="eastAsia" w:ascii="仿宋" w:hAnsi="仿宋" w:eastAsia="仿宋" w:cs="Times New Roman"/>
                <w:color w:val="auto"/>
                <w:sz w:val="24"/>
                <w:szCs w:val="24"/>
                <w:lang w:val="en-US" w:eastAsia="zh-CN" w:bidi="ar-SA"/>
              </w:rPr>
              <w:t>4-1数控机床技术升级改造。选手根据题目，开发和升级机床相应功能。</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Times New Roman"/>
                <w:color w:val="auto"/>
                <w:sz w:val="24"/>
                <w:szCs w:val="24"/>
                <w:lang w:val="en-US" w:eastAsia="zh-CN" w:bidi="ar-SA"/>
              </w:rPr>
            </w:pPr>
            <w:r>
              <w:rPr>
                <w:rFonts w:hint="eastAsia" w:ascii="仿宋" w:hAnsi="仿宋" w:eastAsia="仿宋" w:cs="Times New Roman"/>
                <w:color w:val="auto"/>
                <w:sz w:val="24"/>
                <w:szCs w:val="24"/>
                <w:lang w:val="en-US" w:eastAsia="zh-CN" w:bidi="ar-SA"/>
              </w:rPr>
              <w:t>4-2 PC机与CNC互联互通。选手根据赛项任务书要求，通过赛场提供的软件，实现数控系统与PC的数据传送。</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仿宋" w:hAnsi="仿宋" w:eastAsia="仿宋" w:cs="仿宋"/>
                <w:kern w:val="2"/>
                <w:sz w:val="24"/>
                <w:szCs w:val="24"/>
                <w:lang w:val="en-US" w:eastAsia="zh-CN" w:bidi="ar-SA"/>
              </w:rPr>
            </w:pPr>
            <w:r>
              <w:rPr>
                <w:rFonts w:hint="eastAsia" w:ascii="仿宋" w:hAnsi="仿宋" w:eastAsia="仿宋" w:cs="Times New Roman"/>
                <w:color w:val="auto"/>
                <w:sz w:val="24"/>
                <w:szCs w:val="24"/>
                <w:lang w:val="en-US" w:eastAsia="zh-CN" w:bidi="ar-SA"/>
              </w:rPr>
              <w:t>4-3完成指定功能的开发。选手按要求实现赛项任务书指定的功能。</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20分钟</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olor w:val="auto"/>
                <w:sz w:val="24"/>
                <w:lang w:eastAsia="zh-CN"/>
              </w:rPr>
            </w:pPr>
            <w:r>
              <w:rPr>
                <w:rFonts w:hint="eastAsia" w:ascii="仿宋" w:hAnsi="仿宋" w:eastAsia="仿宋"/>
                <w:color w:val="auto"/>
                <w:sz w:val="24"/>
                <w:lang w:val="en-US" w:eastAsia="zh-CN"/>
              </w:rPr>
              <w:t>任务五</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零件试切加工</w:t>
            </w:r>
          </w:p>
        </w:tc>
        <w:tc>
          <w:tcPr>
            <w:tcW w:w="32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Times New Roman"/>
                <w:color w:val="auto"/>
                <w:sz w:val="24"/>
                <w:szCs w:val="24"/>
                <w:lang w:val="en-US" w:eastAsia="zh-CN" w:bidi="ar-SA"/>
              </w:rPr>
            </w:pPr>
            <w:r>
              <w:rPr>
                <w:rFonts w:hint="eastAsia" w:ascii="仿宋" w:hAnsi="仿宋" w:eastAsia="仿宋" w:cs="Times New Roman"/>
                <w:color w:val="auto"/>
                <w:sz w:val="24"/>
                <w:szCs w:val="24"/>
                <w:lang w:val="en-US" w:eastAsia="zh-CN" w:bidi="ar-SA"/>
              </w:rPr>
              <w:t>5-1机器人应用功能开发。示教编制机器人程序，实现在MDI和单步方式下，使用机器人信号输出实现自动门开关，以及自动门开关的安全联锁，智能加工区安全围栏上安全门的安全联锁等功能。</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Times New Roman"/>
                <w:color w:val="auto"/>
                <w:sz w:val="24"/>
                <w:szCs w:val="24"/>
                <w:lang w:val="en-US" w:eastAsia="zh-CN" w:bidi="ar-SA"/>
              </w:rPr>
            </w:pPr>
            <w:r>
              <w:rPr>
                <w:rFonts w:hint="eastAsia" w:ascii="仿宋" w:hAnsi="仿宋" w:eastAsia="仿宋" w:cs="Times New Roman"/>
                <w:color w:val="auto"/>
                <w:sz w:val="24"/>
                <w:szCs w:val="24"/>
                <w:lang w:val="en-US" w:eastAsia="zh-CN" w:bidi="ar-SA"/>
              </w:rPr>
              <w:t>5-2机器人上下料编程。</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Times New Roman"/>
                <w:color w:val="auto"/>
                <w:sz w:val="24"/>
                <w:szCs w:val="24"/>
                <w:lang w:val="en-US" w:eastAsia="zh-CN" w:bidi="ar-SA"/>
              </w:rPr>
            </w:pPr>
            <w:r>
              <w:rPr>
                <w:rFonts w:hint="eastAsia" w:ascii="仿宋" w:hAnsi="仿宋" w:eastAsia="仿宋" w:cs="Times New Roman"/>
                <w:color w:val="auto"/>
                <w:sz w:val="24"/>
                <w:szCs w:val="24"/>
                <w:lang w:val="en-US" w:eastAsia="zh-CN" w:bidi="ar-SA"/>
              </w:rPr>
              <w:t>5-3智能加工验证。单步模式下验证智能加工流程。参考的智能加工流程为：按下机器人控制柜上循环启动→自动门开、夹具松开→机器人抓取第1件毛坯、上料至机床→机器人放置毛坯、夹具夹紧→机器人回退到位→自动门关、机床暂不进行零件真实加工，用延时5-10秒钟替代→延时到，机床门开、夹具松开→机器人下料运动至机床→机器人抓取零件→机械人回退到位，放置零件→机器人移动，抓取第2件毛坯，进入下一个循环。选手也可自行设计合理的智能加工流程。自动模式下，按单步模式下验证相同的智能加工流程（选手不得人工干预智能加工过程）。</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s="Times New Roman"/>
                <w:color w:val="auto"/>
                <w:sz w:val="24"/>
                <w:szCs w:val="24"/>
                <w:lang w:val="en-US" w:eastAsia="zh-CN" w:bidi="ar-SA"/>
              </w:rPr>
            </w:pPr>
            <w:r>
              <w:rPr>
                <w:rFonts w:hint="eastAsia" w:ascii="仿宋" w:hAnsi="仿宋" w:eastAsia="仿宋" w:cs="Times New Roman"/>
                <w:color w:val="auto"/>
                <w:sz w:val="24"/>
                <w:szCs w:val="24"/>
                <w:lang w:val="en-US" w:eastAsia="zh-CN" w:bidi="ar-SA"/>
              </w:rPr>
              <w:t>5-4虚拟制造仿真。</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 w:hAnsi="仿宋" w:eastAsia="仿宋" w:cs="Times New Roman"/>
                <w:color w:val="auto"/>
                <w:sz w:val="24"/>
                <w:szCs w:val="24"/>
                <w:lang w:val="en-US" w:eastAsia="zh-CN" w:bidi="ar-SA"/>
              </w:rPr>
              <w:t>5-5零件模拟试加工。</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40分钟</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olor w:val="auto"/>
                <w:sz w:val="24"/>
                <w:lang w:val="en-US" w:eastAsia="zh-CN"/>
              </w:rPr>
            </w:pPr>
            <w:r>
              <w:rPr>
                <w:rFonts w:hint="eastAsia" w:ascii="仿宋" w:hAnsi="仿宋" w:eastAsia="仿宋"/>
                <w:color w:val="auto"/>
                <w:sz w:val="24"/>
                <w:lang w:val="en-US" w:eastAsia="zh-CN"/>
              </w:rPr>
              <w:t>任务六</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职业素养与安全意识</w:t>
            </w:r>
          </w:p>
        </w:tc>
        <w:tc>
          <w:tcPr>
            <w:tcW w:w="32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6-1安全意识：着装、电工鞋及其他劳动防护得当、具有良好的安全意识及行为。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6-2遵守规范：操作过程中遵守标准和规范。</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6-3践行5S：工、量具码放整齐，保持工位清洁卫生，践行现场5S管理规范。</w:t>
            </w:r>
          </w:p>
          <w:p>
            <w:pPr>
              <w:pStyle w:val="50"/>
              <w:widowControl w:val="0"/>
              <w:spacing w:line="275" w:lineRule="exact"/>
              <w:ind w:right="0"/>
              <w:jc w:val="left"/>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6-4和谐友善：参赛选手间和谐团结，善意对待其他选手。</w:t>
            </w:r>
          </w:p>
          <w:p>
            <w:pPr>
              <w:pStyle w:val="50"/>
              <w:widowControl w:val="0"/>
              <w:spacing w:line="275" w:lineRule="exact"/>
              <w:ind w:right="0"/>
              <w:jc w:val="left"/>
              <w:rPr>
                <w:rFonts w:hint="default" w:ascii="仿宋_GB2312" w:hAnsi="仿宋_GB2312" w:eastAsia="仿宋_GB2312" w:cs="仿宋_GB2312"/>
                <w:kern w:val="2"/>
                <w:sz w:val="24"/>
                <w:szCs w:val="24"/>
                <w:lang w:val="en-US" w:eastAsia="zh-CN" w:bidi="ar-SA"/>
              </w:rPr>
            </w:pPr>
            <w:r>
              <w:rPr>
                <w:rFonts w:hint="eastAsia" w:ascii="仿宋" w:hAnsi="仿宋" w:eastAsia="仿宋" w:cs="仿宋"/>
                <w:sz w:val="24"/>
                <w:szCs w:val="24"/>
                <w:lang w:val="en-US" w:eastAsia="zh-CN" w:bidi="ar-SA"/>
              </w:rPr>
              <w:t>6-5诚信文明：在提出补时申请时，以及赛后向指导教师描述申诉事实时，不夸大不扭曲事实。尊重裁判及其他赛场工作人员，言行举止文明。</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10分</w:t>
            </w:r>
          </w:p>
        </w:tc>
      </w:tr>
    </w:tbl>
    <w:p>
      <w:pPr>
        <w:pStyle w:val="53"/>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r>
        <w:rPr>
          <w:rFonts w:hint="eastAsia" w:ascii="黑体" w:hAnsi="黑体" w:eastAsia="黑体" w:cs="黑体"/>
          <w:b w:val="0"/>
          <w:bCs/>
          <w:color w:val="000000"/>
          <w:kern w:val="2"/>
          <w:sz w:val="30"/>
          <w:szCs w:val="30"/>
          <w:lang w:val="en-US" w:eastAsia="zh-CN"/>
        </w:rPr>
        <w:t>七、竞赛方式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1.比赛类别：本赛项为团体竞赛。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参赛要求：凡开设有赛项相关专业的高等职业院校和本科院校的高职学生均可报名参加高职组比赛，参赛选手必须是2024年在籍全日制高职学生，指导老师和学生须为同校在籍。在往届全国职业院校技能大赛中获一等奖的选手，不得参加同一赛项同一组别的省级竞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3.组队方式：本赛项为团体赛。每校不超过2个代表队，不得跨校组队。每支参赛队由2名比赛选手组成，每个参赛队限报2名指导教师。</w:t>
      </w:r>
    </w:p>
    <w:bookmarkEnd w:id="11"/>
    <w:bookmarkEnd w:id="12"/>
    <w:p>
      <w:pPr>
        <w:pStyle w:val="53"/>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19" w:name="_Toc4287718"/>
      <w:bookmarkStart w:id="20" w:name="_Toc477270885"/>
      <w:r>
        <w:rPr>
          <w:rFonts w:hint="eastAsia" w:ascii="黑体" w:hAnsi="黑体" w:eastAsia="黑体" w:cs="黑体"/>
          <w:b w:val="0"/>
          <w:bCs/>
          <w:color w:val="000000"/>
          <w:kern w:val="2"/>
          <w:sz w:val="30"/>
          <w:szCs w:val="30"/>
          <w:lang w:val="en-US" w:eastAsia="zh-CN"/>
        </w:rPr>
        <w:t>八、竞赛规则</w:t>
      </w:r>
      <w:bookmarkEnd w:id="19"/>
      <w:bookmarkEnd w:id="2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（一）竞赛报名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1.以学校为单位组织报名参赛。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2.不得跨校组队。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3.参赛选手和指导教师报名获得确认后不得随意更换。选手因特殊原因不能参加比赛时，则视为自动放弃竞赛；竞赛开始后，参赛队不得更换参赛选手，若有参赛队员缺席，不得补充参赛选手。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（二）赛前准备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1.本次竞赛承办校安排开赛式结束后各参赛队熟悉场地，选手和指导教师可进入工位体验（但不能开动设备）。同时发放竞赛程序手册，宣布竞赛纪律和有关规定。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2.赛前承办校应组织赛前说明会和场次抽签，赛前说明会由裁判长、专家组长解答参赛队提出的问题。场次抽签方案由裁判长拟定、抽签过程须由监督员全程监督完成。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3.参赛队熟悉场地后，认为所提供的设备、工具等不符合比赛规定或有异议时，必须在</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sz w:val="30"/>
          <w:szCs w:val="30"/>
          <w:lang w:val="en-US" w:eastAsia="zh-CN"/>
        </w:rPr>
        <w:t>小时内由领队提出书面报告送交仲裁工作组提请承办校安排整改，超过时效将不予受理。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4.除赛项规定的量具或赛项指定的物品外，参赛选手不允许携带任何通讯及存储设备、纸质材料等物品进入赛场，赛场内提供比赛必备用品，赛场不提供网络环境。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21" w:name="_Toc477270886"/>
      <w:r>
        <w:rPr>
          <w:rFonts w:hint="eastAsia" w:ascii="楷体_GB2312" w:hAnsi="楷体_GB2312" w:eastAsia="楷体_GB2312" w:cs="楷体_GB2312"/>
          <w:sz w:val="30"/>
          <w:szCs w:val="30"/>
          <w:lang w:val="en-US" w:eastAsia="zh-CN"/>
        </w:rPr>
        <w:t>（三）正式比赛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1.比赛入场</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各参赛队按照本队抽签场次比赛时段，在正式比赛时间前30分钟准时到达赛场集合地点，凭参赛证、身份证、学生证三证经检录后进入比赛现场。正式比赛前15分钟参赛队长抽取赛位号，选手按赛位号进入赛位进行侯赛，现场裁判员将对各参赛选手的身份进行核对。正式比赛开始15分钟后迟到选手不得入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参赛选手凭赛位号进入赛场，不得携带其它显示个人身份信息和违规的物品，现场裁判负责引导参赛队至赛位前等待竞赛指令。比赛开始前，在没有裁判允许的情况下严禁随意触碰竞赛设施和赛题内容。比赛中途不得离开赛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bookmarkStart w:id="22" w:name="_Toc477270887"/>
      <w:r>
        <w:rPr>
          <w:rFonts w:hint="eastAsia" w:ascii="仿宋_GB2312" w:hAnsi="仿宋_GB2312" w:eastAsia="仿宋_GB2312" w:cs="仿宋_GB2312"/>
          <w:sz w:val="30"/>
          <w:szCs w:val="30"/>
          <w:lang w:val="en-US" w:eastAsia="zh-CN"/>
        </w:rPr>
        <w:t>2.比赛过程</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（1）选手进入赛场赛位后，应听从现场裁判员的统一布置和指挥，对比赛设备、选配部件、工量具等物品要进行细则检查和测试，如有问题及时向裁判员报告。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（2）选手进入赛场所携带的证件，现场裁判员有权进行检验和核准。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（3）在选手候赛时间内裁判长将赛项任务书下发到参赛队，参赛队长根据赛项任务书自行安排选手分工、工作流程和时间安排。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（4）各参赛队统一听从裁判长发布“比赛开始”指令后正式比赛操作，合理利用现场提供的所有条件，按照正确的操作步骤，高效、优质地完成比赛任务。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（5）比赛时间以现场各赛位能观看到的时钟为准。在3小时连续比赛时间内，饮水和小食品由赛场统一提供，选手休息、饮食等时间都算在比赛时间内。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比赛过程中，选手须严格遵守安全操作规程，并接受裁判员的监督和警示，以确保参赛人身及设备安全。选手因个人误操作造成人身安全事故和设备故障时，裁判长有权中止该队比赛；如非选手个人因素出现设备故障而无法比赛，由裁判长视具体情况做出裁决(调换到备份赛位或调整至最后一场次参加比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如裁判长确定设备故障，可由技术支持人员排除故障后继续比赛。在技术支持人员排除故障期间，选手不能放下其他未完成的赛项任务，等待排除故障，这种情况下，其等待排除故障的时间不予延时。选手必须抓紧时间操作其余未完成的赛项任务，若确已没有其他未完成的任务，因技术支持人员排除故障，造成选手等待的时间，将由赛位裁判或裁判长根据实际情况酌情给参赛队延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（8）裁判验证学生比赛成果的时间在15分钟之内，不予延时，超过15分钟由赛位裁判或裁判长根据实际情况酌情给参赛队延时。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选手在请求裁判验证比赛成果前，必须自行检查和确认。每一项任务请求裁判验证比赛成果，有且仅有一次机会。裁判验证的比赛成果是最终的评分依据，裁判验证后，选手新形成的比赛成果无效，不予重新验证和计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（10）参赛队在“数控机床故障诊断与排除”比赛环节中遇到不能自行排除的故障，可以在比赛开始</w:t>
      </w:r>
      <w:r>
        <w:rPr>
          <w:rFonts w:hint="eastAsia" w:ascii="仿宋_GB2312" w:hAnsi="仿宋_GB2312" w:eastAsia="仿宋_GB2312" w:cs="仿宋_GB2312"/>
          <w:color w:val="auto"/>
          <w:sz w:val="30"/>
          <w:szCs w:val="30"/>
          <w:lang w:val="en-US" w:eastAsia="zh-CN"/>
        </w:rPr>
        <w:t>60</w:t>
      </w:r>
      <w:r>
        <w:rPr>
          <w:rFonts w:hint="eastAsia" w:ascii="仿宋_GB2312" w:hAnsi="仿宋_GB2312" w:eastAsia="仿宋_GB2312" w:cs="仿宋_GB2312"/>
          <w:sz w:val="30"/>
          <w:szCs w:val="30"/>
          <w:lang w:val="en-US" w:eastAsia="zh-CN"/>
        </w:rPr>
        <w:t>分钟后选择一次放弃全部未排除的故障，并由裁判通知工作人员排除全部未排除故障。本环节选手已经查出故障的按规定给分，选手放弃后未查出的故障不给分,要求由工作人员排除的故障，每一个故障倒扣1分。如果工作人员排除故障的时间超过15分钟，由裁判记录时间并酌情加时。参赛队放弃故障排除的机会只有一次，请求裁判验收的机会只有一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（11）选手不得删除数控系统数据进行重新编辑。一经发现，按要求排除全部故障的情形计分。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选手可以在比赛结束后2小时内，且不离开比赛赛场的情况下，书面提出延时请求。在书面延时请求时，必须依据事实和诚信原则，不得夸大时间损耗（声称的损耗时间大于等于实际时间的1.2倍，即认定为夸大时间损耗，是不诚信的行为），不依据事实和违背诚信原则的请求，不予补时，且该选手所在队自动丧失再次请求和申诉补时的机会和权利，同时扣职业素养分2分或以上。裁判接受选手的延时请求后，原则上延时时间应依据赛场录像回放时间，补足选手实际损耗的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选手在比赛统一结束时间之后，不离开比赛赛场请求延时申请的时间，以及同意延时的时间，都计入领队赛后规定的2小时申诉期时间之内，即赛后2小时之内的有效申诉时间，从比赛统一结束的时间开始计算，不以选手因申诉和实际延时等原因的实际结束时间开始计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（14）选手一旦离开赛场，或和指导教师等任何赛场外人员接触，立即丧失请求延时的机会和权利。不接受赛后2小时，选手和指导教师等赛场外人员接触后提出的延时申诉。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（15）比赛过程中选手不得随意离开赛位，不得与其他队选手交流或擅自离开场地，如遇问题时须举手向裁判员示意询问后处理，否则按作弊行为处理。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（16）在比赛过程中除参赛选手之外，只允许裁判员、工作人员进入场地，其余人员（包括领队、指导教师和其他参赛选手）未经工作人员同意不得进入场地。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17）比赛结束后2小时内，由领队发起的申诉，必须依据事实和遵守诚信原则，客观正确地描述事实和证据，不依据事实和违背诚信原则的申诉，不予受理，且将其行为记录在案，存档，必要时向赛项执委会通报，请求对该参赛单位作进一步处理，并向省教育主管部门通报其不诚信的事实。</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3.比赛物品参见本规程第十一节技术平台之表11-5。</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bookmarkStart w:id="23" w:name="_Toc477270889"/>
      <w:r>
        <w:rPr>
          <w:rFonts w:hint="eastAsia" w:ascii="仿宋" w:hAnsi="仿宋" w:eastAsia="仿宋" w:cs="仿宋"/>
          <w:sz w:val="30"/>
          <w:szCs w:val="30"/>
          <w:lang w:val="en-US" w:eastAsia="zh-CN"/>
        </w:rPr>
        <w:t>（四）比赛结束</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1.裁判长在比赛结束前15分钟提醒选手，裁判长发布“比赛结束”指令后所有未完成任务参赛队立即停止操作，比赛正式结束，参赛队按要求清理赛位。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2.参赛队比赛结束时需按照比赛要求立即提交比赛结果，裁判员与参赛队员要在相应签字处签字确认。赛卷留在赛位上，不得带出场。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3.比赛结束后，做好比赛设备的整理工作，包括设备移动部位的复位，整理工具及个人物品。经工作人员现场清点检查数控机床和工、量具后，参赛队方可离开赛位。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比赛结束前60分钟允许参赛队放弃比赛或提前离场，离场前参赛队按要求清理赛位。参赛队若提前结束比赛，应由选手向裁判员举手示意，裁判员应准确记录比赛完成时间。一旦记录比赛完成时间后，参赛队不得再进行任何操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5.参赛选手不得将赛项任务书、图纸、草稿纸和赛场工具等与比赛有关的物品不得带离赛场，选手必须经现场裁判员检查许可后方能离开赛场。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（五）成绩评定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成绩评定过程中，选手根据裁判要求展示竞赛成果和任务完成情况。裁判严格按照评分表，依照选手实际发生的动作情况完成评定过程，确保公平公正。裁判不得将选手表现和评定结果泄露。工作人员根据裁判要求配合评定工作，不得擅自进入赛位影响评判过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（六）确定比赛成绩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记分员将解密后的各参赛队（选手）成绩汇总成比赛成绩，经裁判长、监督长签字后，将本赛项总成绩的评审结果录入赛务管理系统，经裁判长、监督长在系统导出成绩单上审核签字后，确定为本赛项最终比赛成绩。</w:t>
      </w:r>
    </w:p>
    <w:p>
      <w:pPr>
        <w:pStyle w:val="53"/>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24" w:name="_Toc4287719"/>
      <w:bookmarkStart w:id="25" w:name="_Toc477270892"/>
      <w:r>
        <w:rPr>
          <w:rFonts w:hint="eastAsia" w:ascii="黑体" w:hAnsi="黑体" w:eastAsia="黑体" w:cs="黑体"/>
          <w:b w:val="0"/>
          <w:bCs/>
          <w:color w:val="000000"/>
          <w:kern w:val="2"/>
          <w:sz w:val="30"/>
          <w:szCs w:val="30"/>
          <w:lang w:val="en-US" w:eastAsia="zh-CN"/>
        </w:rPr>
        <w:t>九、竞赛环境</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（一）赛场设在规范的车间内，赛场符合防火安全规定，防火疏散标识清晰、齐全，疏散通道畅通；赛场采光、照明和通风良好，提供稳定的水、电、气源，并配有供电应急设备等。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（二）竞赛场地划分为检录区、操作区、检测区，现场服务与技术支持区、休息区、医疗区、观摩通道。</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（三）竞赛场地的基本要求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1.每个比赛赛位使用场地为5.5米×5.5米（约31平方米）,工作场地及安全（参观）通道宽度要求，容纳的比赛赛位数5个。</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2.场地地面平整，能防风遮雨，地面与顶棚净高不少于3.2米。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3.由于有机械部件装调和机床机械几何精度检测，场地地基必须牢固稳定（地基应为混凝土结构，厚度大于300mm）。</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（四）赛场提供立式加工中心本体、电气柜、机械装调区、电脑操作台、机器人、安全围栏等组成的赛位，标明编号；每个赛位有保持相对独立的隔离护栏，确保选手比赛不受外界影响。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（五）每个比赛赛位配有工作台，供选手书写，摆放工、量具等。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（六）每个比赛赛位配有电脑，预装数控系统调试软件（PLC软件）以及FTP软件，现场配备以太网线，但选手需根据赛项任务书要求完成互联互通。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七）每个比赛赛位提供电子版数控机床使用说明书、数控系统连接说明书、参数手册、数控系统编程操作说明书、交流伺服驱动器使用说明书等（存放在比赛赛位配备的电脑中），变频调速器说明书、机器人安装手册、机器人编程手册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（八）赛场设有保安、公安、消防、设备维修和电力抢险人员待命，以防突发事件。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（九）赛场配备维修服务、医疗、生活补给站等公共服务设施，为选手和赛场人员提供服务。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（十）承办校安排交通车接送各代表队从驻地至赛场往返参赛和参加会议等活动。</w:t>
      </w:r>
    </w:p>
    <w:p>
      <w:pPr>
        <w:pStyle w:val="53"/>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26" w:name="_Toc4287720"/>
      <w:bookmarkStart w:id="27" w:name="_Toc477270893"/>
      <w:r>
        <w:rPr>
          <w:rFonts w:hint="eastAsia" w:ascii="黑体" w:hAnsi="黑体" w:eastAsia="黑体" w:cs="黑体"/>
          <w:b w:val="0"/>
          <w:bCs/>
          <w:color w:val="000000"/>
          <w:kern w:val="2"/>
          <w:sz w:val="30"/>
          <w:szCs w:val="30"/>
          <w:lang w:val="en-US" w:eastAsia="zh-CN"/>
        </w:rPr>
        <w:t>十、技术规范</w:t>
      </w:r>
      <w:bookmarkEnd w:id="26"/>
      <w:bookmarkEnd w:id="27"/>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sz w:val="30"/>
          <w:szCs w:val="30"/>
        </w:rPr>
      </w:pPr>
      <w:bookmarkStart w:id="28" w:name="_Toc477270894"/>
      <w:r>
        <w:rPr>
          <w:rFonts w:hint="eastAsia" w:ascii="楷体" w:hAnsi="楷体" w:eastAsia="楷体" w:cs="楷体"/>
          <w:bCs/>
          <w:sz w:val="30"/>
          <w:szCs w:val="30"/>
        </w:rPr>
        <w:t>（一）职业道德</w:t>
      </w:r>
      <w:bookmarkEnd w:id="2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1.敬业爱岗，忠于职守，严于律已，刻苦钻研；</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2.勤于学习，善于思考，勇于探索，敏于创新；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3.认真负责，吃苦耐劳，团结协作，精益求精；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4.遵守操作规程，安全、文明生产；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5.着装规范整洁，爱护设备，保持工作环境清洁有序。</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 w:hAnsi="仿宋" w:eastAsia="仿宋" w:cs="仿宋"/>
          <w:sz w:val="30"/>
          <w:szCs w:val="30"/>
        </w:rPr>
      </w:pPr>
      <w:bookmarkStart w:id="29" w:name="_Toc477270895"/>
      <w:r>
        <w:rPr>
          <w:rFonts w:hint="eastAsia" w:ascii="楷体" w:hAnsi="楷体" w:eastAsia="楷体" w:cs="楷体"/>
          <w:bCs/>
          <w:sz w:val="30"/>
          <w:szCs w:val="30"/>
        </w:rPr>
        <w:t>（二）相关知识与技能</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1.数控机床电气原理；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2.数控机床机械结构，安装，检测，调试；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3.数控装置原理、结构，交流伺服驱动系统原理和结构；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4.数控加工编程技术，数控加工工艺方法；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5.数控机床故障诊断和排除；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6.工业机器人电气原理；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7.机器人机械结构；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8.机器人虚拟仿真；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9.机器人编程与调试；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10.机床自动夹具；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11.数控系统与服务器互联互通，FTP协议推送程序；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12.数控机床PLC的修改调试；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13.基于机器人的零件智能加工。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zh-TW" w:eastAsia="zh-TW"/>
        </w:rPr>
      </w:pPr>
      <w:bookmarkStart w:id="30" w:name="_Toc477270896"/>
      <w:r>
        <w:rPr>
          <w:rFonts w:hint="eastAsia" w:ascii="仿宋_GB2312" w:hAnsi="仿宋_GB2312" w:eastAsia="仿宋_GB2312" w:cs="仿宋_GB2312"/>
          <w:sz w:val="30"/>
          <w:szCs w:val="30"/>
          <w:lang w:val="en-US" w:eastAsia="zh-CN"/>
        </w:rPr>
        <w:t>（三）参考相关标准</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1.GB/T 26220-2010 工业自动化系统集成机床数值控制数控系统通用技术条件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2.JB/T8801-1998《加工中心 技术条件》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3.GB/T 3168 数字控制机床操作指示形象化符号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4.GB/T 4728（所有部分）电气简图用图形符号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5.JB/T 2740 工业机械电气设备电气图、图解和表的绘制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6.低压配电设计规范 GB 50054-95</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7.JB/T 10273 数控机床交流主轴电动机通用技术条件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8.JB/T 10274 数控机床交流伺服电动机通用技术条件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9.GB/T20957[7].1-2007《精密加工中心检验条件-精加工试件精度检验》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10.GB 5226.1-2016 机械安全机械电气设备:通用技术条件</w:t>
      </w:r>
    </w:p>
    <w:p>
      <w:pPr>
        <w:pStyle w:val="53"/>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31" w:name="_Toc477270897"/>
      <w:bookmarkStart w:id="32" w:name="_Toc4287721"/>
      <w:r>
        <w:rPr>
          <w:rFonts w:hint="eastAsia" w:ascii="黑体" w:hAnsi="黑体" w:eastAsia="黑体" w:cs="黑体"/>
          <w:b w:val="0"/>
          <w:bCs/>
          <w:color w:val="000000"/>
          <w:kern w:val="2"/>
          <w:sz w:val="30"/>
          <w:szCs w:val="30"/>
          <w:lang w:val="en-US" w:eastAsia="zh-CN"/>
        </w:rPr>
        <w:t>十一、技术平台</w:t>
      </w:r>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bookmarkStart w:id="33" w:name="_Toc477270898"/>
      <w:r>
        <w:rPr>
          <w:rFonts w:hint="eastAsia" w:ascii="楷体_GB2312" w:hAnsi="楷体_GB2312" w:eastAsia="楷体_GB2312" w:cs="楷体_GB2312"/>
          <w:sz w:val="30"/>
          <w:szCs w:val="30"/>
          <w:lang w:val="zh-TW" w:eastAsia="zh-TW"/>
        </w:rPr>
        <w:t>（一）机床</w:t>
      </w:r>
      <w:bookmarkEnd w:id="33"/>
      <w:r>
        <w:rPr>
          <w:rFonts w:hint="eastAsia" w:ascii="楷体_GB2312" w:hAnsi="楷体_GB2312" w:eastAsia="楷体_GB2312" w:cs="楷体_GB2312"/>
          <w:sz w:val="30"/>
          <w:szCs w:val="30"/>
          <w:lang w:val="zh-TW" w:eastAsia="zh-TW"/>
        </w:rPr>
        <w:t>本体</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bCs/>
          <w:sz w:val="30"/>
          <w:szCs w:val="30"/>
        </w:rPr>
      </w:pPr>
      <w:r>
        <w:rPr>
          <w:rFonts w:hint="eastAsia" w:ascii="仿宋_GB2312" w:hAnsi="仿宋_GB2312" w:eastAsia="仿宋_GB2312" w:cs="仿宋_GB2312"/>
          <w:sz w:val="30"/>
          <w:szCs w:val="30"/>
          <w:lang w:val="en-US" w:eastAsia="zh-CN"/>
        </w:rPr>
        <w:t>本赛项立式数控铣床主要规格参数范围见表11-1。</w:t>
      </w:r>
    </w:p>
    <w:p>
      <w:pPr>
        <w:pStyle w:val="42"/>
        <w:pageBreakBefore w:val="0"/>
        <w:widowControl w:val="0"/>
        <w:pBdr>
          <w:top w:val="none" w:color="000000" w:sz="0" w:space="0"/>
          <w:left w:val="none" w:color="000000" w:sz="0" w:space="0"/>
          <w:bottom w:val="none" w:color="000000" w:sz="0" w:space="0"/>
          <w:right w:val="none" w:color="000000" w:sz="0" w:space="0"/>
        </w:pBdr>
        <w:tabs>
          <w:tab w:val="left" w:pos="425"/>
        </w:tabs>
        <w:kinsoku/>
        <w:overflowPunct/>
        <w:topLinePunct w:val="0"/>
        <w:autoSpaceDN w:val="0"/>
        <w:bidi w:val="0"/>
        <w:adjustRightInd w:val="0"/>
        <w:snapToGrid w:val="0"/>
        <w:spacing w:line="600" w:lineRule="exact"/>
        <w:ind w:firstLine="0" w:firstLineChars="0"/>
        <w:jc w:val="center"/>
        <w:textAlignment w:val="auto"/>
        <w:rPr>
          <w:rFonts w:hint="eastAsia" w:ascii="黑体" w:hAnsi="黑体" w:eastAsia="黑体" w:cs="黑体"/>
          <w:bCs/>
          <w:sz w:val="28"/>
          <w:szCs w:val="28"/>
        </w:rPr>
      </w:pPr>
      <w:r>
        <w:rPr>
          <w:rFonts w:hint="eastAsia" w:ascii="黑体" w:hAnsi="黑体" w:eastAsia="黑体" w:cs="黑体"/>
          <w:color w:val="0B0B0B"/>
          <w:sz w:val="24"/>
        </w:rPr>
        <w:t>表1</w:t>
      </w:r>
      <w:r>
        <w:rPr>
          <w:rFonts w:hint="eastAsia" w:ascii="黑体" w:hAnsi="黑体" w:eastAsia="黑体" w:cs="黑体"/>
          <w:color w:val="0B0B0B"/>
          <w:sz w:val="24"/>
          <w:lang w:val="en-US" w:eastAsia="zh-CN"/>
        </w:rPr>
        <w:t>1</w:t>
      </w:r>
      <w:r>
        <w:rPr>
          <w:rFonts w:hint="eastAsia" w:ascii="黑体" w:hAnsi="黑体" w:eastAsia="黑体" w:cs="黑体"/>
          <w:color w:val="0B0B0B"/>
          <w:sz w:val="24"/>
        </w:rPr>
        <w:t>-1 立式加工中心主要规格参数范围</w:t>
      </w:r>
    </w:p>
    <w:tbl>
      <w:tblPr>
        <w:tblStyle w:val="23"/>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509"/>
        <w:gridCol w:w="3631"/>
        <w:gridCol w:w="1044"/>
        <w:gridCol w:w="2308"/>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序号</w:t>
            </w:r>
          </w:p>
        </w:tc>
        <w:tc>
          <w:tcPr>
            <w:tcW w:w="4140"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名称</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单位</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参数</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509" w:type="dxa"/>
            <w:vMerge w:val="restart"/>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三</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轴</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行</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程</w:t>
            </w: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X轴最大行程</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mm</w:t>
            </w:r>
          </w:p>
        </w:tc>
        <w:tc>
          <w:tcPr>
            <w:tcW w:w="2308" w:type="dxa"/>
            <w:vAlign w:val="center"/>
          </w:tcPr>
          <w:p>
            <w:pPr>
              <w:pStyle w:val="50"/>
              <w:spacing w:before="60" w:line="240" w:lineRule="auto"/>
              <w:ind w:left="103" w:leftChars="0" w:right="0" w:right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450~650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Y轴最大行程</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mm</w:t>
            </w:r>
          </w:p>
        </w:tc>
        <w:tc>
          <w:tcPr>
            <w:tcW w:w="2308" w:type="dxa"/>
            <w:vAlign w:val="center"/>
          </w:tcPr>
          <w:p>
            <w:pPr>
              <w:pStyle w:val="50"/>
              <w:spacing w:before="61" w:line="240" w:lineRule="auto"/>
              <w:ind w:left="103" w:leftChars="0" w:right="0" w:right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350~485</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主轴最前端面到工作面台（最小）</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mm</w:t>
            </w:r>
          </w:p>
        </w:tc>
        <w:tc>
          <w:tcPr>
            <w:tcW w:w="2308" w:type="dxa"/>
            <w:vAlign w:val="center"/>
          </w:tcPr>
          <w:p>
            <w:pPr>
              <w:pStyle w:val="50"/>
              <w:spacing w:before="172" w:line="240" w:lineRule="auto"/>
              <w:ind w:left="103" w:leftChars="0" w:right="0" w:right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120~190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c>
          <w:tcPr>
            <w:tcW w:w="3631"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主轴最前端面到工作面台（最大）</w:t>
            </w:r>
          </w:p>
        </w:tc>
        <w:tc>
          <w:tcPr>
            <w:tcW w:w="1044"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mm</w:t>
            </w:r>
          </w:p>
        </w:tc>
        <w:tc>
          <w:tcPr>
            <w:tcW w:w="2308" w:type="dxa"/>
            <w:tcBorders>
              <w:bottom w:val="single" w:color="auto" w:sz="4" w:space="0"/>
            </w:tcBorders>
            <w:vAlign w:val="center"/>
          </w:tcPr>
          <w:p>
            <w:pPr>
              <w:pStyle w:val="50"/>
              <w:spacing w:before="173" w:line="240" w:lineRule="auto"/>
              <w:ind w:left="103" w:leftChars="0" w:right="0" w:right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380~640</w:t>
            </w:r>
          </w:p>
        </w:tc>
        <w:tc>
          <w:tcPr>
            <w:tcW w:w="755"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w:t>
            </w:r>
          </w:p>
        </w:tc>
        <w:tc>
          <w:tcPr>
            <w:tcW w:w="509"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c>
          <w:tcPr>
            <w:tcW w:w="3631"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主轴中心线到立柱前面距离</w:t>
            </w:r>
          </w:p>
        </w:tc>
        <w:tc>
          <w:tcPr>
            <w:tcW w:w="1044"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mm</w:t>
            </w:r>
          </w:p>
        </w:tc>
        <w:tc>
          <w:tcPr>
            <w:tcW w:w="2308" w:type="dxa"/>
            <w:tcBorders>
              <w:bottom w:val="single" w:color="auto" w:sz="4" w:space="0"/>
            </w:tcBorders>
            <w:vAlign w:val="center"/>
          </w:tcPr>
          <w:p>
            <w:pPr>
              <w:pStyle w:val="50"/>
              <w:spacing w:before="51" w:line="240" w:lineRule="auto"/>
              <w:ind w:left="103" w:leftChars="0" w:right="0" w:right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430</w:t>
            </w:r>
          </w:p>
        </w:tc>
        <w:tc>
          <w:tcPr>
            <w:tcW w:w="755"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w:t>
            </w:r>
          </w:p>
        </w:tc>
        <w:tc>
          <w:tcPr>
            <w:tcW w:w="509" w:type="dxa"/>
            <w:vMerge w:val="restart"/>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工</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作</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台</w:t>
            </w: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T型槽（槽数×槽宽×槽距）</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mm</w:t>
            </w:r>
          </w:p>
        </w:tc>
        <w:tc>
          <w:tcPr>
            <w:tcW w:w="2308" w:type="dxa"/>
            <w:vAlign w:val="center"/>
          </w:tcPr>
          <w:p>
            <w:pPr>
              <w:pStyle w:val="50"/>
              <w:spacing w:line="293" w:lineRule="exact"/>
              <w:ind w:left="103" w:right="-1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5"/>
                <w:sz w:val="21"/>
                <w:szCs w:val="21"/>
              </w:rPr>
              <w:t>3×14（或18）</w:t>
            </w:r>
          </w:p>
          <w:p>
            <w:pPr>
              <w:pStyle w:val="50"/>
              <w:spacing w:before="19" w:line="240" w:lineRule="auto"/>
              <w:ind w:left="103" w:leftChars="0" w:right="0" w:right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×84~125</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工作台最大载重</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kg</w:t>
            </w:r>
          </w:p>
        </w:tc>
        <w:tc>
          <w:tcPr>
            <w:tcW w:w="2308" w:type="dxa"/>
            <w:vAlign w:val="center"/>
          </w:tcPr>
          <w:p>
            <w:pPr>
              <w:pStyle w:val="50"/>
              <w:spacing w:before="61" w:line="240" w:lineRule="auto"/>
              <w:ind w:left="103" w:leftChars="0" w:right="0" w:right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150~350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工作台尺寸</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mm</w:t>
            </w:r>
          </w:p>
        </w:tc>
        <w:tc>
          <w:tcPr>
            <w:tcW w:w="2308" w:type="dxa"/>
            <w:vAlign w:val="center"/>
          </w:tcPr>
          <w:p>
            <w:pPr>
              <w:pStyle w:val="50"/>
              <w:spacing w:line="275" w:lineRule="exact"/>
              <w:ind w:left="103"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700~750×32</w:t>
            </w:r>
          </w:p>
          <w:p>
            <w:pPr>
              <w:pStyle w:val="50"/>
              <w:spacing w:line="240" w:lineRule="auto"/>
              <w:ind w:left="103" w:leftChars="0" w:right="0" w:right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0~420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w:t>
            </w:r>
          </w:p>
        </w:tc>
        <w:tc>
          <w:tcPr>
            <w:tcW w:w="509" w:type="dxa"/>
            <w:vMerge w:val="restart"/>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主</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轴</w:t>
            </w: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主轴最高转速</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r/min</w:t>
            </w:r>
          </w:p>
        </w:tc>
        <w:tc>
          <w:tcPr>
            <w:tcW w:w="2308" w:type="dxa"/>
            <w:vAlign w:val="center"/>
          </w:tcPr>
          <w:p>
            <w:pPr>
              <w:pStyle w:val="50"/>
              <w:spacing w:before="59" w:line="240" w:lineRule="auto"/>
              <w:ind w:left="103" w:leftChars="0" w:right="0" w:right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10000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主轴电机功率</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kW</w:t>
            </w:r>
          </w:p>
        </w:tc>
        <w:tc>
          <w:tcPr>
            <w:tcW w:w="2308" w:type="dxa"/>
            <w:vAlign w:val="center"/>
          </w:tcPr>
          <w:p>
            <w:pPr>
              <w:pStyle w:val="50"/>
              <w:spacing w:before="4" w:line="240" w:lineRule="auto"/>
              <w:ind w:left="103" w:leftChars="0" w:right="0" w:right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3.7～7.5</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11</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主轴锥口类型</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c>
          <w:tcPr>
            <w:tcW w:w="2308" w:type="dxa"/>
            <w:vAlign w:val="center"/>
          </w:tcPr>
          <w:p>
            <w:pPr>
              <w:pStyle w:val="50"/>
              <w:spacing w:line="294" w:lineRule="exact"/>
              <w:ind w:left="103" w:right="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ISO 40#或BT40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13</w:t>
            </w:r>
          </w:p>
        </w:tc>
        <w:tc>
          <w:tcPr>
            <w:tcW w:w="509" w:type="dxa"/>
            <w:vMerge w:val="restart"/>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速度</w:t>
            </w: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切削进给速度(X/Y/Z)</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mm/min</w:t>
            </w:r>
          </w:p>
        </w:tc>
        <w:tc>
          <w:tcPr>
            <w:tcW w:w="2308" w:type="dxa"/>
            <w:vAlign w:val="center"/>
          </w:tcPr>
          <w:p>
            <w:pPr>
              <w:pStyle w:val="50"/>
              <w:spacing w:before="60" w:line="240" w:lineRule="auto"/>
              <w:ind w:left="103" w:leftChars="0" w:right="0" w:right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≥1～10000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14</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快速移动速度（X/Y/Z轴）</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m/min</w:t>
            </w:r>
          </w:p>
        </w:tc>
        <w:tc>
          <w:tcPr>
            <w:tcW w:w="2308" w:type="dxa"/>
            <w:vAlign w:val="center"/>
          </w:tcPr>
          <w:p>
            <w:pPr>
              <w:pStyle w:val="50"/>
              <w:spacing w:before="60" w:line="240" w:lineRule="auto"/>
              <w:ind w:left="103" w:leftChars="0" w:right="0" w:right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w:t>
            </w:r>
          </w:p>
        </w:tc>
        <w:tc>
          <w:tcPr>
            <w:tcW w:w="4140"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冷却</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c>
          <w:tcPr>
            <w:tcW w:w="2308" w:type="dxa"/>
            <w:vAlign w:val="center"/>
          </w:tcPr>
          <w:p>
            <w:pPr>
              <w:pStyle w:val="50"/>
              <w:spacing w:before="60" w:line="240" w:lineRule="auto"/>
              <w:ind w:left="103" w:leftChars="0" w:right="0" w:right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有</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16</w:t>
            </w:r>
          </w:p>
        </w:tc>
        <w:tc>
          <w:tcPr>
            <w:tcW w:w="4140"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气压</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Mpa</w:t>
            </w:r>
          </w:p>
        </w:tc>
        <w:tc>
          <w:tcPr>
            <w:tcW w:w="2308" w:type="dxa"/>
            <w:vAlign w:val="center"/>
          </w:tcPr>
          <w:p>
            <w:pPr>
              <w:pStyle w:val="50"/>
              <w:spacing w:before="60" w:line="240" w:lineRule="auto"/>
              <w:ind w:left="103" w:leftChars="0" w:right="0" w:right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0.5～0.8</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17</w:t>
            </w:r>
          </w:p>
        </w:tc>
        <w:tc>
          <w:tcPr>
            <w:tcW w:w="509" w:type="dxa"/>
            <w:vMerge w:val="restart"/>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机床精度</w:t>
            </w: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定位精度（X/Y/Z）</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mm</w:t>
            </w:r>
          </w:p>
        </w:tc>
        <w:tc>
          <w:tcPr>
            <w:tcW w:w="2308" w:type="dxa"/>
            <w:vAlign w:val="center"/>
          </w:tcPr>
          <w:p>
            <w:pPr>
              <w:pStyle w:val="50"/>
              <w:spacing w:before="60" w:line="240" w:lineRule="auto"/>
              <w:ind w:left="103" w:leftChars="0" w:right="0" w:right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≤0.016</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18</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重复定位精度（X/Y/Z）</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mm</w:t>
            </w:r>
          </w:p>
        </w:tc>
        <w:tc>
          <w:tcPr>
            <w:tcW w:w="2308" w:type="dxa"/>
            <w:vAlign w:val="center"/>
          </w:tcPr>
          <w:p>
            <w:pPr>
              <w:pStyle w:val="50"/>
              <w:spacing w:before="60" w:line="240" w:lineRule="auto"/>
              <w:ind w:left="103" w:leftChars="0" w:right="0" w:right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≤0.01</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19</w:t>
            </w:r>
          </w:p>
        </w:tc>
        <w:tc>
          <w:tcPr>
            <w:tcW w:w="4140"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机床重量</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kg</w:t>
            </w:r>
          </w:p>
        </w:tc>
        <w:tc>
          <w:tcPr>
            <w:tcW w:w="2308" w:type="dxa"/>
            <w:vAlign w:val="center"/>
          </w:tcPr>
          <w:p>
            <w:pPr>
              <w:pStyle w:val="50"/>
              <w:spacing w:before="60" w:line="240" w:lineRule="auto"/>
              <w:ind w:left="103" w:leftChars="0" w:right="0" w:right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2500～4000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w:t>
            </w:r>
          </w:p>
        </w:tc>
        <w:tc>
          <w:tcPr>
            <w:tcW w:w="4140"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外型尺寸</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mm</w:t>
            </w:r>
          </w:p>
        </w:tc>
        <w:tc>
          <w:tcPr>
            <w:tcW w:w="2308" w:type="dxa"/>
            <w:vAlign w:val="center"/>
          </w:tcPr>
          <w:p>
            <w:pPr>
              <w:pStyle w:val="50"/>
              <w:spacing w:line="275" w:lineRule="exact"/>
              <w:ind w:left="103"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1900~2300×</w:t>
            </w:r>
          </w:p>
          <w:p>
            <w:pPr>
              <w:pStyle w:val="50"/>
              <w:spacing w:line="240" w:lineRule="auto"/>
              <w:ind w:left="103"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1700~2530×</w:t>
            </w:r>
          </w:p>
          <w:p>
            <w:pPr>
              <w:pStyle w:val="50"/>
              <w:spacing w:before="60" w:line="240" w:lineRule="auto"/>
              <w:ind w:left="103" w:leftChars="0" w:right="0" w:right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2200~2650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21</w:t>
            </w:r>
          </w:p>
        </w:tc>
        <w:tc>
          <w:tcPr>
            <w:tcW w:w="4140" w:type="dxa"/>
            <w:gridSpan w:val="2"/>
            <w:vAlign w:val="center"/>
          </w:tcPr>
          <w:p>
            <w:pPr>
              <w:pStyle w:val="50"/>
              <w:spacing w:before="5" w:line="240" w:lineRule="auto"/>
              <w:ind w:left="102" w:leftChars="0" w:right="0" w:rightChars="0"/>
              <w:jc w:val="both"/>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刀库类型</w:t>
            </w:r>
          </w:p>
        </w:tc>
        <w:tc>
          <w:tcPr>
            <w:tcW w:w="4107" w:type="dxa"/>
            <w:gridSpan w:val="3"/>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斗笠式（BT40-12T）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22</w:t>
            </w:r>
          </w:p>
        </w:tc>
        <w:tc>
          <w:tcPr>
            <w:tcW w:w="4140" w:type="dxa"/>
            <w:gridSpan w:val="2"/>
            <w:vAlign w:val="center"/>
          </w:tcPr>
          <w:p>
            <w:pPr>
              <w:pStyle w:val="50"/>
              <w:spacing w:before="3" w:line="240" w:lineRule="auto"/>
              <w:ind w:left="102" w:leftChars="0" w:right="0" w:rightChars="0"/>
              <w:jc w:val="both"/>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冷却系统</w:t>
            </w:r>
          </w:p>
        </w:tc>
        <w:tc>
          <w:tcPr>
            <w:tcW w:w="4107" w:type="dxa"/>
            <w:gridSpan w:val="3"/>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必须加装</w:t>
            </w: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（二）电气装置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立式加工中心配备的电气控制单元（电气控制柜、数控装置、伺服驱动系统等）应满足赛项内容和相关的国家标准。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电气控制柜应预留能满足任务一安装要求的电气操作区；该操作区的电源与系统电源相隔离。预留外围辅助设备的输入输出引出端，可实现通电测试功能，电柜可灵活适配各类数控系统。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数控系统能够开放功能调试过程中用到的所有参数，并能通过系统内置PLC或在线编辑PLC程序，选手可以在现场提供的设备平台中完成比赛内容要求的编辑、修改和调试。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（三）机器人本体</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本赛项机器人主要规格参数范围见表11-2。机器人周围加装安全围栏，围栏上设置安全门。</w:t>
      </w:r>
    </w:p>
    <w:p>
      <w:pPr>
        <w:pStyle w:val="42"/>
        <w:pageBreakBefore w:val="0"/>
        <w:widowControl w:val="0"/>
        <w:pBdr>
          <w:top w:val="none" w:color="000000" w:sz="0" w:space="0"/>
          <w:left w:val="none" w:color="000000" w:sz="0" w:space="0"/>
          <w:bottom w:val="none" w:color="000000" w:sz="0" w:space="0"/>
          <w:right w:val="none" w:color="000000" w:sz="0" w:space="0"/>
        </w:pBdr>
        <w:tabs>
          <w:tab w:val="left" w:pos="425"/>
        </w:tabs>
        <w:kinsoku/>
        <w:overflowPunct/>
        <w:topLinePunct w:val="0"/>
        <w:autoSpaceDN w:val="0"/>
        <w:bidi w:val="0"/>
        <w:adjustRightInd w:val="0"/>
        <w:snapToGrid w:val="0"/>
        <w:spacing w:line="600" w:lineRule="exact"/>
        <w:ind w:firstLine="0" w:firstLineChars="0"/>
        <w:jc w:val="center"/>
        <w:textAlignment w:val="auto"/>
        <w:rPr>
          <w:rFonts w:hint="default" w:ascii="黑体" w:hAnsi="黑体" w:eastAsia="黑体" w:cs="黑体"/>
          <w:color w:val="0B0B0B"/>
          <w:sz w:val="24"/>
        </w:rPr>
      </w:pPr>
      <w:r>
        <w:rPr>
          <w:rFonts w:hint="default" w:ascii="黑体" w:hAnsi="黑体" w:eastAsia="黑体" w:cs="黑体"/>
          <w:color w:val="0B0B0B"/>
          <w:sz w:val="24"/>
        </w:rPr>
        <w:t>表1</w:t>
      </w:r>
      <w:r>
        <w:rPr>
          <w:rFonts w:hint="eastAsia" w:ascii="黑体" w:hAnsi="黑体" w:eastAsia="黑体" w:cs="黑体"/>
          <w:color w:val="0B0B0B"/>
          <w:sz w:val="24"/>
          <w:lang w:val="en-US" w:eastAsia="zh-CN"/>
        </w:rPr>
        <w:t>1</w:t>
      </w:r>
      <w:r>
        <w:rPr>
          <w:rFonts w:hint="default" w:ascii="黑体" w:hAnsi="黑体" w:eastAsia="黑体" w:cs="黑体"/>
          <w:color w:val="0B0B0B"/>
          <w:sz w:val="24"/>
        </w:rPr>
        <w:t>-2 机器人主要规格参数范围</w:t>
      </w:r>
    </w:p>
    <w:p>
      <w:pPr>
        <w:spacing w:before="13" w:line="240" w:lineRule="auto"/>
        <w:rPr>
          <w:rFonts w:hint="default" w:ascii="仿宋" w:hAnsi="仿宋" w:eastAsia="仿宋" w:cs="仿宋"/>
          <w:b/>
          <w:bCs/>
          <w:sz w:val="5"/>
          <w:szCs w:val="5"/>
        </w:rPr>
      </w:pPr>
    </w:p>
    <w:tbl>
      <w:tblPr>
        <w:tblStyle w:val="23"/>
        <w:tblW w:w="8927" w:type="dxa"/>
        <w:jc w:val="center"/>
        <w:tblLayout w:type="fixed"/>
        <w:tblCellMar>
          <w:top w:w="0" w:type="dxa"/>
          <w:left w:w="0" w:type="dxa"/>
          <w:bottom w:w="0" w:type="dxa"/>
          <w:right w:w="0" w:type="dxa"/>
        </w:tblCellMar>
      </w:tblPr>
      <w:tblGrid>
        <w:gridCol w:w="1247"/>
        <w:gridCol w:w="2208"/>
        <w:gridCol w:w="1336"/>
        <w:gridCol w:w="4136"/>
      </w:tblGrid>
      <w:tr>
        <w:tblPrEx>
          <w:tblCellMar>
            <w:top w:w="0" w:type="dxa"/>
            <w:left w:w="0" w:type="dxa"/>
            <w:bottom w:w="0" w:type="dxa"/>
            <w:right w:w="0" w:type="dxa"/>
          </w:tblCellMar>
        </w:tblPrEx>
        <w:trPr>
          <w:trHeight w:val="567" w:hRule="atLeast"/>
          <w:jc w:val="center"/>
        </w:trPr>
        <w:tc>
          <w:tcPr>
            <w:tcW w:w="1247" w:type="dxa"/>
            <w:tcBorders>
              <w:top w:val="single" w:color="000000" w:sz="4" w:space="0"/>
              <w:left w:val="single" w:color="000000" w:sz="4" w:space="0"/>
              <w:bottom w:val="single" w:color="000000" w:sz="4" w:space="0"/>
              <w:right w:val="single" w:color="000000" w:sz="4" w:space="0"/>
            </w:tcBorders>
            <w:vAlign w:val="center"/>
          </w:tcPr>
          <w:p>
            <w:pPr>
              <w:pStyle w:val="50"/>
              <w:spacing w:line="277" w:lineRule="exact"/>
              <w:ind w:left="1" w:right="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序号</w:t>
            </w:r>
          </w:p>
        </w:tc>
        <w:tc>
          <w:tcPr>
            <w:tcW w:w="3544" w:type="dxa"/>
            <w:gridSpan w:val="2"/>
            <w:tcBorders>
              <w:top w:val="single" w:color="000000" w:sz="4" w:space="0"/>
              <w:left w:val="single" w:color="000000" w:sz="4" w:space="0"/>
              <w:bottom w:val="single" w:color="000000" w:sz="4" w:space="0"/>
              <w:right w:val="single" w:color="000000" w:sz="4" w:space="0"/>
            </w:tcBorders>
            <w:vAlign w:val="center"/>
          </w:tcPr>
          <w:p>
            <w:pPr>
              <w:pStyle w:val="50"/>
              <w:spacing w:line="277" w:lineRule="exact"/>
              <w:ind w:right="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规格</w:t>
            </w:r>
          </w:p>
        </w:tc>
        <w:tc>
          <w:tcPr>
            <w:tcW w:w="4136" w:type="dxa"/>
            <w:tcBorders>
              <w:top w:val="single" w:color="000000" w:sz="4" w:space="0"/>
              <w:left w:val="single" w:color="000000" w:sz="4" w:space="0"/>
              <w:bottom w:val="single" w:color="000000" w:sz="4" w:space="0"/>
              <w:right w:val="single" w:color="000000" w:sz="4" w:space="0"/>
            </w:tcBorders>
            <w:vAlign w:val="center"/>
          </w:tcPr>
          <w:p>
            <w:pPr>
              <w:pStyle w:val="50"/>
              <w:spacing w:line="277" w:lineRule="exact"/>
              <w:ind w:right="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参数</w:t>
            </w:r>
          </w:p>
        </w:tc>
      </w:tr>
      <w:tr>
        <w:tblPrEx>
          <w:tblCellMar>
            <w:top w:w="0" w:type="dxa"/>
            <w:left w:w="0" w:type="dxa"/>
            <w:bottom w:w="0" w:type="dxa"/>
            <w:right w:w="0" w:type="dxa"/>
          </w:tblCellMar>
        </w:tblPrEx>
        <w:trPr>
          <w:trHeight w:val="567" w:hRule="atLeast"/>
          <w:jc w:val="center"/>
        </w:trPr>
        <w:tc>
          <w:tcPr>
            <w:tcW w:w="1247" w:type="dxa"/>
            <w:tcBorders>
              <w:top w:val="single" w:color="000000" w:sz="4" w:space="0"/>
              <w:left w:val="single" w:color="000000" w:sz="4" w:space="0"/>
              <w:bottom w:val="single" w:color="000000" w:sz="4" w:space="0"/>
              <w:right w:val="single" w:color="000000" w:sz="4" w:space="0"/>
            </w:tcBorders>
            <w:vAlign w:val="center"/>
          </w:tcPr>
          <w:p>
            <w:pPr>
              <w:pStyle w:val="50"/>
              <w:spacing w:line="275" w:lineRule="exact"/>
              <w:ind w:left="1"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3544" w:type="dxa"/>
            <w:gridSpan w:val="2"/>
            <w:tcBorders>
              <w:top w:val="single" w:color="000000" w:sz="4" w:space="0"/>
              <w:left w:val="single" w:color="000000" w:sz="4" w:space="0"/>
              <w:bottom w:val="single" w:color="000000" w:sz="4" w:space="0"/>
              <w:right w:val="single" w:color="000000" w:sz="4" w:space="0"/>
            </w:tcBorders>
            <w:vAlign w:val="center"/>
          </w:tcPr>
          <w:p>
            <w:pPr>
              <w:pStyle w:val="50"/>
              <w:spacing w:line="275" w:lineRule="exact"/>
              <w:ind w:left="104"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本体型号</w:t>
            </w:r>
          </w:p>
        </w:tc>
        <w:tc>
          <w:tcPr>
            <w:tcW w:w="4136" w:type="dxa"/>
            <w:tcBorders>
              <w:top w:val="single" w:color="000000" w:sz="4" w:space="0"/>
              <w:left w:val="single" w:color="000000" w:sz="4" w:space="0"/>
              <w:bottom w:val="single" w:color="000000" w:sz="4" w:space="0"/>
              <w:right w:val="single" w:color="000000" w:sz="4" w:space="0"/>
            </w:tcBorders>
            <w:vAlign w:val="center"/>
          </w:tcPr>
          <w:p>
            <w:pPr>
              <w:pStyle w:val="50"/>
              <w:spacing w:line="275" w:lineRule="exact"/>
              <w:ind w:right="96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企业常用型号</w:t>
            </w:r>
          </w:p>
        </w:tc>
      </w:tr>
      <w:tr>
        <w:tblPrEx>
          <w:tblCellMar>
            <w:top w:w="0" w:type="dxa"/>
            <w:left w:w="0" w:type="dxa"/>
            <w:bottom w:w="0" w:type="dxa"/>
            <w:right w:w="0" w:type="dxa"/>
          </w:tblCellMar>
        </w:tblPrEx>
        <w:trPr>
          <w:trHeight w:val="567" w:hRule="atLeast"/>
          <w:jc w:val="center"/>
        </w:trPr>
        <w:tc>
          <w:tcPr>
            <w:tcW w:w="1247" w:type="dxa"/>
            <w:tcBorders>
              <w:top w:val="single" w:color="000000" w:sz="4" w:space="0"/>
              <w:left w:val="single" w:color="000000" w:sz="4" w:space="0"/>
              <w:bottom w:val="single" w:color="000000" w:sz="4" w:space="0"/>
              <w:right w:val="single" w:color="000000" w:sz="4" w:space="0"/>
            </w:tcBorders>
            <w:vAlign w:val="center"/>
          </w:tcPr>
          <w:p>
            <w:pPr>
              <w:pStyle w:val="50"/>
              <w:spacing w:before="3" w:line="240" w:lineRule="auto"/>
              <w:ind w:left="1"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3544" w:type="dxa"/>
            <w:gridSpan w:val="2"/>
            <w:tcBorders>
              <w:top w:val="single" w:color="000000" w:sz="4" w:space="0"/>
              <w:left w:val="single" w:color="000000" w:sz="4" w:space="0"/>
              <w:bottom w:val="single" w:color="000000" w:sz="4" w:space="0"/>
              <w:right w:val="single" w:color="000000" w:sz="4" w:space="0"/>
            </w:tcBorders>
            <w:vAlign w:val="center"/>
          </w:tcPr>
          <w:p>
            <w:pPr>
              <w:pStyle w:val="50"/>
              <w:spacing w:before="3" w:line="240" w:lineRule="auto"/>
              <w:ind w:left="104"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自由度</w:t>
            </w:r>
          </w:p>
        </w:tc>
        <w:tc>
          <w:tcPr>
            <w:tcW w:w="4136" w:type="dxa"/>
            <w:tcBorders>
              <w:top w:val="single" w:color="000000" w:sz="4" w:space="0"/>
              <w:left w:val="single" w:color="000000" w:sz="4" w:space="0"/>
              <w:bottom w:val="single" w:color="000000" w:sz="4" w:space="0"/>
              <w:right w:val="single" w:color="000000" w:sz="4" w:space="0"/>
            </w:tcBorders>
            <w:vAlign w:val="center"/>
          </w:tcPr>
          <w:p>
            <w:pPr>
              <w:pStyle w:val="50"/>
              <w:spacing w:before="3" w:line="240" w:lineRule="auto"/>
              <w:ind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r>
      <w:tr>
        <w:tblPrEx>
          <w:tblCellMar>
            <w:top w:w="0" w:type="dxa"/>
            <w:left w:w="0" w:type="dxa"/>
            <w:bottom w:w="0" w:type="dxa"/>
            <w:right w:w="0" w:type="dxa"/>
          </w:tblCellMar>
        </w:tblPrEx>
        <w:trPr>
          <w:trHeight w:val="567" w:hRule="atLeast"/>
          <w:jc w:val="center"/>
        </w:trPr>
        <w:tc>
          <w:tcPr>
            <w:tcW w:w="1247" w:type="dxa"/>
            <w:tcBorders>
              <w:top w:val="single" w:color="000000" w:sz="4" w:space="0"/>
              <w:left w:val="single" w:color="000000" w:sz="4" w:space="0"/>
              <w:bottom w:val="single" w:color="000000" w:sz="4" w:space="0"/>
              <w:right w:val="single" w:color="000000" w:sz="4" w:space="0"/>
            </w:tcBorders>
            <w:vAlign w:val="center"/>
          </w:tcPr>
          <w:p>
            <w:pPr>
              <w:pStyle w:val="50"/>
              <w:spacing w:before="2" w:line="240" w:lineRule="auto"/>
              <w:ind w:left="1"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3544" w:type="dxa"/>
            <w:gridSpan w:val="2"/>
            <w:tcBorders>
              <w:top w:val="single" w:color="000000" w:sz="4" w:space="0"/>
              <w:left w:val="single" w:color="000000" w:sz="4" w:space="0"/>
              <w:bottom w:val="single" w:color="000000" w:sz="4" w:space="0"/>
              <w:right w:val="single" w:color="000000" w:sz="4" w:space="0"/>
            </w:tcBorders>
            <w:vAlign w:val="center"/>
          </w:tcPr>
          <w:p>
            <w:pPr>
              <w:pStyle w:val="50"/>
              <w:spacing w:before="2" w:line="240" w:lineRule="auto"/>
              <w:ind w:left="104"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额定负载</w:t>
            </w:r>
          </w:p>
        </w:tc>
        <w:tc>
          <w:tcPr>
            <w:tcW w:w="4136" w:type="dxa"/>
            <w:tcBorders>
              <w:top w:val="single" w:color="000000" w:sz="4" w:space="0"/>
              <w:left w:val="single" w:color="000000" w:sz="4" w:space="0"/>
              <w:bottom w:val="single" w:color="000000" w:sz="4" w:space="0"/>
              <w:right w:val="single" w:color="000000" w:sz="4" w:space="0"/>
            </w:tcBorders>
            <w:vAlign w:val="center"/>
          </w:tcPr>
          <w:p>
            <w:pPr>
              <w:pStyle w:val="50"/>
              <w:spacing w:before="2" w:line="240" w:lineRule="auto"/>
              <w:ind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10KG</w:t>
            </w:r>
          </w:p>
        </w:tc>
      </w:tr>
      <w:tr>
        <w:tblPrEx>
          <w:tblCellMar>
            <w:top w:w="0" w:type="dxa"/>
            <w:left w:w="0" w:type="dxa"/>
            <w:bottom w:w="0" w:type="dxa"/>
            <w:right w:w="0" w:type="dxa"/>
          </w:tblCellMar>
        </w:tblPrEx>
        <w:trPr>
          <w:trHeight w:val="567" w:hRule="atLeast"/>
          <w:jc w:val="center"/>
        </w:trPr>
        <w:tc>
          <w:tcPr>
            <w:tcW w:w="1247" w:type="dxa"/>
            <w:tcBorders>
              <w:top w:val="single" w:color="000000" w:sz="4" w:space="0"/>
              <w:left w:val="single" w:color="000000" w:sz="4" w:space="0"/>
              <w:bottom w:val="single" w:color="000000" w:sz="4" w:space="0"/>
              <w:right w:val="single" w:color="000000" w:sz="4" w:space="0"/>
            </w:tcBorders>
            <w:vAlign w:val="center"/>
          </w:tcPr>
          <w:p>
            <w:pPr>
              <w:pStyle w:val="50"/>
              <w:spacing w:before="3" w:line="240" w:lineRule="auto"/>
              <w:ind w:left="1"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3544" w:type="dxa"/>
            <w:gridSpan w:val="2"/>
            <w:tcBorders>
              <w:top w:val="single" w:color="000000" w:sz="4" w:space="0"/>
              <w:left w:val="single" w:color="000000" w:sz="4" w:space="0"/>
              <w:bottom w:val="single" w:color="000000" w:sz="4" w:space="0"/>
              <w:right w:val="single" w:color="000000" w:sz="4" w:space="0"/>
            </w:tcBorders>
            <w:vAlign w:val="center"/>
          </w:tcPr>
          <w:p>
            <w:pPr>
              <w:pStyle w:val="50"/>
              <w:spacing w:before="3" w:line="240" w:lineRule="auto"/>
              <w:ind w:left="104"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最大工作半径</w:t>
            </w:r>
          </w:p>
        </w:tc>
        <w:tc>
          <w:tcPr>
            <w:tcW w:w="4136" w:type="dxa"/>
            <w:tcBorders>
              <w:top w:val="single" w:color="000000" w:sz="4" w:space="0"/>
              <w:left w:val="single" w:color="000000" w:sz="4" w:space="0"/>
              <w:bottom w:val="single" w:color="000000" w:sz="4" w:space="0"/>
              <w:right w:val="single" w:color="000000" w:sz="4" w:space="0"/>
            </w:tcBorders>
            <w:vAlign w:val="center"/>
          </w:tcPr>
          <w:p>
            <w:pPr>
              <w:pStyle w:val="50"/>
              <w:spacing w:before="3" w:line="240" w:lineRule="auto"/>
              <w:ind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1650mm</w:t>
            </w:r>
          </w:p>
        </w:tc>
      </w:tr>
      <w:tr>
        <w:tblPrEx>
          <w:tblCellMar>
            <w:top w:w="0" w:type="dxa"/>
            <w:left w:w="0" w:type="dxa"/>
            <w:bottom w:w="0" w:type="dxa"/>
            <w:right w:w="0" w:type="dxa"/>
          </w:tblCellMar>
        </w:tblPrEx>
        <w:trPr>
          <w:trHeight w:val="567" w:hRule="atLeast"/>
          <w:jc w:val="center"/>
        </w:trPr>
        <w:tc>
          <w:tcPr>
            <w:tcW w:w="1247" w:type="dxa"/>
            <w:tcBorders>
              <w:top w:val="single" w:color="000000" w:sz="4" w:space="0"/>
              <w:left w:val="single" w:color="000000" w:sz="4" w:space="0"/>
              <w:bottom w:val="single" w:color="000000" w:sz="4" w:space="0"/>
              <w:right w:val="single" w:color="000000" w:sz="4" w:space="0"/>
            </w:tcBorders>
            <w:vAlign w:val="center"/>
          </w:tcPr>
          <w:p>
            <w:pPr>
              <w:pStyle w:val="50"/>
              <w:spacing w:before="2" w:line="240" w:lineRule="auto"/>
              <w:ind w:left="1"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3544" w:type="dxa"/>
            <w:gridSpan w:val="2"/>
            <w:tcBorders>
              <w:top w:val="single" w:color="000000" w:sz="4" w:space="0"/>
              <w:left w:val="single" w:color="000000" w:sz="4" w:space="0"/>
              <w:bottom w:val="single" w:color="000000" w:sz="4" w:space="0"/>
              <w:right w:val="single" w:color="000000" w:sz="4" w:space="0"/>
            </w:tcBorders>
            <w:vAlign w:val="center"/>
          </w:tcPr>
          <w:p>
            <w:pPr>
              <w:pStyle w:val="50"/>
              <w:spacing w:before="2" w:line="240" w:lineRule="auto"/>
              <w:ind w:left="104"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重复定位精度</w:t>
            </w:r>
          </w:p>
        </w:tc>
        <w:tc>
          <w:tcPr>
            <w:tcW w:w="4136" w:type="dxa"/>
            <w:tcBorders>
              <w:top w:val="single" w:color="000000" w:sz="4" w:space="0"/>
              <w:left w:val="single" w:color="000000" w:sz="4" w:space="0"/>
              <w:bottom w:val="single" w:color="000000" w:sz="4" w:space="0"/>
              <w:right w:val="single" w:color="000000" w:sz="4" w:space="0"/>
            </w:tcBorders>
            <w:vAlign w:val="center"/>
          </w:tcPr>
          <w:p>
            <w:pPr>
              <w:pStyle w:val="50"/>
              <w:spacing w:before="2" w:line="240" w:lineRule="auto"/>
              <w:ind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±0.05mm</w:t>
            </w:r>
          </w:p>
        </w:tc>
      </w:tr>
      <w:tr>
        <w:tblPrEx>
          <w:tblCellMar>
            <w:top w:w="0" w:type="dxa"/>
            <w:left w:w="0" w:type="dxa"/>
            <w:bottom w:w="0" w:type="dxa"/>
            <w:right w:w="0" w:type="dxa"/>
          </w:tblCellMar>
        </w:tblPrEx>
        <w:trPr>
          <w:trHeight w:val="567" w:hRule="atLeast"/>
          <w:jc w:val="center"/>
        </w:trPr>
        <w:tc>
          <w:tcPr>
            <w:tcW w:w="1247" w:type="dxa"/>
            <w:vMerge w:val="restart"/>
            <w:tcBorders>
              <w:top w:val="single" w:color="000000" w:sz="4" w:space="0"/>
              <w:left w:val="single" w:color="000000" w:sz="4" w:space="0"/>
              <w:right w:val="single" w:color="000000" w:sz="4" w:space="0"/>
            </w:tcBorders>
            <w:vAlign w:val="center"/>
          </w:tcPr>
          <w:p>
            <w:pPr>
              <w:pStyle w:val="50"/>
              <w:spacing w:line="240" w:lineRule="auto"/>
              <w:ind w:right="0"/>
              <w:jc w:val="center"/>
              <w:rPr>
                <w:rFonts w:hint="eastAsia" w:ascii="方正仿宋_GBK" w:hAnsi="方正仿宋_GBK" w:eastAsia="方正仿宋_GBK" w:cs="方正仿宋_GBK"/>
                <w:b/>
                <w:bCs/>
                <w:sz w:val="21"/>
                <w:szCs w:val="21"/>
              </w:rPr>
            </w:pPr>
          </w:p>
          <w:p>
            <w:pPr>
              <w:pStyle w:val="50"/>
              <w:spacing w:before="5" w:line="240" w:lineRule="auto"/>
              <w:ind w:right="0"/>
              <w:jc w:val="center"/>
              <w:rPr>
                <w:rFonts w:hint="eastAsia" w:ascii="方正仿宋_GBK" w:hAnsi="方正仿宋_GBK" w:eastAsia="方正仿宋_GBK" w:cs="方正仿宋_GBK"/>
                <w:b/>
                <w:bCs/>
                <w:sz w:val="21"/>
                <w:szCs w:val="21"/>
              </w:rPr>
            </w:pPr>
          </w:p>
          <w:p>
            <w:pPr>
              <w:pStyle w:val="50"/>
              <w:spacing w:line="240" w:lineRule="auto"/>
              <w:ind w:left="1"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2208" w:type="dxa"/>
            <w:vMerge w:val="restart"/>
            <w:tcBorders>
              <w:top w:val="single" w:color="000000" w:sz="4" w:space="0"/>
              <w:left w:val="single" w:color="000000" w:sz="4" w:space="0"/>
              <w:right w:val="single" w:color="000000" w:sz="4" w:space="0"/>
            </w:tcBorders>
            <w:vAlign w:val="center"/>
          </w:tcPr>
          <w:p>
            <w:pPr>
              <w:pStyle w:val="50"/>
              <w:spacing w:line="240" w:lineRule="auto"/>
              <w:ind w:right="0"/>
              <w:jc w:val="center"/>
              <w:rPr>
                <w:rFonts w:hint="eastAsia" w:ascii="方正仿宋_GBK" w:hAnsi="方正仿宋_GBK" w:eastAsia="方正仿宋_GBK" w:cs="方正仿宋_GBK"/>
                <w:b/>
                <w:bCs/>
                <w:sz w:val="21"/>
                <w:szCs w:val="21"/>
              </w:rPr>
            </w:pPr>
          </w:p>
          <w:p>
            <w:pPr>
              <w:pStyle w:val="50"/>
              <w:spacing w:before="5" w:line="240" w:lineRule="auto"/>
              <w:ind w:right="0"/>
              <w:jc w:val="center"/>
              <w:rPr>
                <w:rFonts w:hint="eastAsia" w:ascii="方正仿宋_GBK" w:hAnsi="方正仿宋_GBK" w:eastAsia="方正仿宋_GBK" w:cs="方正仿宋_GBK"/>
                <w:b/>
                <w:bCs/>
                <w:sz w:val="21"/>
                <w:szCs w:val="21"/>
              </w:rPr>
            </w:pPr>
          </w:p>
          <w:p>
            <w:pPr>
              <w:pStyle w:val="50"/>
              <w:spacing w:line="240" w:lineRule="auto"/>
              <w:ind w:left="104"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运动范围</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exact"/>
              <w:ind w:left="104"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J1</w:t>
            </w:r>
          </w:p>
        </w:tc>
        <w:tc>
          <w:tcPr>
            <w:tcW w:w="4136"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exact"/>
              <w:ind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±165°</w:t>
            </w:r>
          </w:p>
        </w:tc>
      </w:tr>
      <w:tr>
        <w:tblPrEx>
          <w:tblCellMar>
            <w:top w:w="0" w:type="dxa"/>
            <w:left w:w="0" w:type="dxa"/>
            <w:bottom w:w="0" w:type="dxa"/>
            <w:right w:w="0" w:type="dxa"/>
          </w:tblCellMar>
        </w:tblPrEx>
        <w:trPr>
          <w:trHeight w:val="567" w:hRule="atLeast"/>
          <w:jc w:val="center"/>
        </w:trPr>
        <w:tc>
          <w:tcPr>
            <w:tcW w:w="1247" w:type="dxa"/>
            <w:vMerge w:val="continue"/>
            <w:tcBorders>
              <w:left w:val="single" w:color="000000" w:sz="4" w:space="0"/>
              <w:right w:val="single" w:color="000000" w:sz="4" w:space="0"/>
            </w:tcBorders>
            <w:vAlign w:val="center"/>
          </w:tcPr>
          <w:p>
            <w:pPr>
              <w:jc w:val="center"/>
              <w:rPr>
                <w:rFonts w:hint="eastAsia" w:ascii="方正仿宋_GBK" w:hAnsi="方正仿宋_GBK" w:eastAsia="方正仿宋_GBK" w:cs="方正仿宋_GBK"/>
                <w:sz w:val="21"/>
                <w:szCs w:val="21"/>
              </w:rPr>
            </w:pPr>
          </w:p>
        </w:tc>
        <w:tc>
          <w:tcPr>
            <w:tcW w:w="2208" w:type="dxa"/>
            <w:vMerge w:val="continue"/>
            <w:tcBorders>
              <w:left w:val="single" w:color="000000" w:sz="4" w:space="0"/>
              <w:right w:val="single" w:color="000000" w:sz="4" w:space="0"/>
            </w:tcBorders>
            <w:vAlign w:val="center"/>
          </w:tcPr>
          <w:p>
            <w:pPr>
              <w:jc w:val="center"/>
              <w:rPr>
                <w:rFonts w:hint="eastAsia" w:ascii="方正仿宋_GBK" w:hAnsi="方正仿宋_GBK" w:eastAsia="方正仿宋_GBK" w:cs="方正仿宋_GBK"/>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50"/>
              <w:spacing w:line="274" w:lineRule="exact"/>
              <w:ind w:left="104"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J2</w:t>
            </w:r>
          </w:p>
        </w:tc>
        <w:tc>
          <w:tcPr>
            <w:tcW w:w="4136" w:type="dxa"/>
            <w:tcBorders>
              <w:top w:val="single" w:color="000000" w:sz="4" w:space="0"/>
              <w:left w:val="single" w:color="000000" w:sz="4" w:space="0"/>
              <w:bottom w:val="single" w:color="000000" w:sz="4" w:space="0"/>
              <w:right w:val="single" w:color="000000" w:sz="4" w:space="0"/>
            </w:tcBorders>
            <w:vAlign w:val="center"/>
          </w:tcPr>
          <w:p>
            <w:pPr>
              <w:pStyle w:val="50"/>
              <w:spacing w:line="274" w:lineRule="exact"/>
              <w:ind w:right="96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+80°/-135°</w:t>
            </w:r>
          </w:p>
        </w:tc>
      </w:tr>
      <w:tr>
        <w:tblPrEx>
          <w:tblCellMar>
            <w:top w:w="0" w:type="dxa"/>
            <w:left w:w="0" w:type="dxa"/>
            <w:bottom w:w="0" w:type="dxa"/>
            <w:right w:w="0" w:type="dxa"/>
          </w:tblCellMar>
        </w:tblPrEx>
        <w:trPr>
          <w:trHeight w:val="567" w:hRule="atLeast"/>
          <w:jc w:val="center"/>
        </w:trPr>
        <w:tc>
          <w:tcPr>
            <w:tcW w:w="1247" w:type="dxa"/>
            <w:vMerge w:val="continue"/>
            <w:tcBorders>
              <w:left w:val="single" w:color="000000" w:sz="4" w:space="0"/>
              <w:right w:val="single" w:color="000000" w:sz="4" w:space="0"/>
            </w:tcBorders>
            <w:vAlign w:val="center"/>
          </w:tcPr>
          <w:p>
            <w:pPr>
              <w:jc w:val="center"/>
              <w:rPr>
                <w:rFonts w:hint="eastAsia" w:ascii="方正仿宋_GBK" w:hAnsi="方正仿宋_GBK" w:eastAsia="方正仿宋_GBK" w:cs="方正仿宋_GBK"/>
                <w:sz w:val="21"/>
                <w:szCs w:val="21"/>
              </w:rPr>
            </w:pPr>
          </w:p>
        </w:tc>
        <w:tc>
          <w:tcPr>
            <w:tcW w:w="2208" w:type="dxa"/>
            <w:vMerge w:val="continue"/>
            <w:tcBorders>
              <w:left w:val="single" w:color="000000" w:sz="4" w:space="0"/>
              <w:right w:val="single" w:color="000000" w:sz="4" w:space="0"/>
            </w:tcBorders>
            <w:vAlign w:val="center"/>
          </w:tcPr>
          <w:p>
            <w:pPr>
              <w:jc w:val="center"/>
              <w:rPr>
                <w:rFonts w:hint="eastAsia" w:ascii="方正仿宋_GBK" w:hAnsi="方正仿宋_GBK" w:eastAsia="方正仿宋_GBK" w:cs="方正仿宋_GBK"/>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50"/>
              <w:spacing w:line="275" w:lineRule="exact"/>
              <w:ind w:left="104"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J3</w:t>
            </w:r>
          </w:p>
        </w:tc>
        <w:tc>
          <w:tcPr>
            <w:tcW w:w="4136" w:type="dxa"/>
            <w:tcBorders>
              <w:top w:val="single" w:color="000000" w:sz="4" w:space="0"/>
              <w:left w:val="single" w:color="000000" w:sz="4" w:space="0"/>
              <w:bottom w:val="single" w:color="000000" w:sz="4" w:space="0"/>
              <w:right w:val="single" w:color="000000" w:sz="4" w:space="0"/>
            </w:tcBorders>
            <w:vAlign w:val="center"/>
          </w:tcPr>
          <w:p>
            <w:pPr>
              <w:pStyle w:val="50"/>
              <w:spacing w:line="275" w:lineRule="exact"/>
              <w:ind w:right="96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+163°/-75°</w:t>
            </w:r>
          </w:p>
        </w:tc>
      </w:tr>
      <w:tr>
        <w:tblPrEx>
          <w:tblCellMar>
            <w:top w:w="0" w:type="dxa"/>
            <w:left w:w="0" w:type="dxa"/>
            <w:bottom w:w="0" w:type="dxa"/>
            <w:right w:w="0" w:type="dxa"/>
          </w:tblCellMar>
        </w:tblPrEx>
        <w:trPr>
          <w:trHeight w:val="567" w:hRule="atLeast"/>
          <w:jc w:val="center"/>
        </w:trPr>
        <w:tc>
          <w:tcPr>
            <w:tcW w:w="1247" w:type="dxa"/>
            <w:vMerge w:val="continue"/>
            <w:tcBorders>
              <w:left w:val="single" w:color="000000" w:sz="4" w:space="0"/>
              <w:right w:val="single" w:color="000000" w:sz="4" w:space="0"/>
            </w:tcBorders>
            <w:vAlign w:val="center"/>
          </w:tcPr>
          <w:p>
            <w:pPr>
              <w:jc w:val="center"/>
              <w:rPr>
                <w:rFonts w:hint="eastAsia" w:ascii="方正仿宋_GBK" w:hAnsi="方正仿宋_GBK" w:eastAsia="方正仿宋_GBK" w:cs="方正仿宋_GBK"/>
                <w:sz w:val="21"/>
                <w:szCs w:val="21"/>
              </w:rPr>
            </w:pPr>
          </w:p>
        </w:tc>
        <w:tc>
          <w:tcPr>
            <w:tcW w:w="2208" w:type="dxa"/>
            <w:vMerge w:val="continue"/>
            <w:tcBorders>
              <w:left w:val="single" w:color="000000" w:sz="4" w:space="0"/>
              <w:right w:val="single" w:color="000000" w:sz="4" w:space="0"/>
            </w:tcBorders>
            <w:vAlign w:val="center"/>
          </w:tcPr>
          <w:p>
            <w:pPr>
              <w:jc w:val="center"/>
              <w:rPr>
                <w:rFonts w:hint="eastAsia" w:ascii="方正仿宋_GBK" w:hAnsi="方正仿宋_GBK" w:eastAsia="方正仿宋_GBK" w:cs="方正仿宋_GBK"/>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exact"/>
              <w:ind w:left="104"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J4</w:t>
            </w:r>
          </w:p>
        </w:tc>
        <w:tc>
          <w:tcPr>
            <w:tcW w:w="4136"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exact"/>
              <w:ind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±180°</w:t>
            </w:r>
          </w:p>
        </w:tc>
      </w:tr>
      <w:tr>
        <w:tblPrEx>
          <w:tblCellMar>
            <w:top w:w="0" w:type="dxa"/>
            <w:left w:w="0" w:type="dxa"/>
            <w:bottom w:w="0" w:type="dxa"/>
            <w:right w:w="0" w:type="dxa"/>
          </w:tblCellMar>
        </w:tblPrEx>
        <w:trPr>
          <w:trHeight w:val="567" w:hRule="atLeast"/>
          <w:jc w:val="center"/>
        </w:trPr>
        <w:tc>
          <w:tcPr>
            <w:tcW w:w="1247" w:type="dxa"/>
            <w:vMerge w:val="continue"/>
            <w:tcBorders>
              <w:left w:val="single" w:color="000000" w:sz="4" w:space="0"/>
              <w:right w:val="single" w:color="000000" w:sz="4" w:space="0"/>
            </w:tcBorders>
            <w:vAlign w:val="center"/>
          </w:tcPr>
          <w:p>
            <w:pPr>
              <w:jc w:val="center"/>
              <w:rPr>
                <w:rFonts w:hint="eastAsia" w:ascii="方正仿宋_GBK" w:hAnsi="方正仿宋_GBK" w:eastAsia="方正仿宋_GBK" w:cs="方正仿宋_GBK"/>
                <w:sz w:val="21"/>
                <w:szCs w:val="21"/>
              </w:rPr>
            </w:pPr>
          </w:p>
        </w:tc>
        <w:tc>
          <w:tcPr>
            <w:tcW w:w="2208" w:type="dxa"/>
            <w:vMerge w:val="continue"/>
            <w:tcBorders>
              <w:left w:val="single" w:color="000000" w:sz="4" w:space="0"/>
              <w:right w:val="single" w:color="000000" w:sz="4" w:space="0"/>
            </w:tcBorders>
            <w:vAlign w:val="center"/>
          </w:tcPr>
          <w:p>
            <w:pPr>
              <w:jc w:val="center"/>
              <w:rPr>
                <w:rFonts w:hint="eastAsia" w:ascii="方正仿宋_GBK" w:hAnsi="方正仿宋_GBK" w:eastAsia="方正仿宋_GBK" w:cs="方正仿宋_GBK"/>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50"/>
              <w:spacing w:line="275" w:lineRule="exact"/>
              <w:ind w:left="104"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J5</w:t>
            </w:r>
          </w:p>
        </w:tc>
        <w:tc>
          <w:tcPr>
            <w:tcW w:w="4136" w:type="dxa"/>
            <w:tcBorders>
              <w:top w:val="single" w:color="000000" w:sz="4" w:space="0"/>
              <w:left w:val="single" w:color="000000" w:sz="4" w:space="0"/>
              <w:bottom w:val="single" w:color="000000" w:sz="4" w:space="0"/>
              <w:right w:val="single" w:color="000000" w:sz="4" w:space="0"/>
            </w:tcBorders>
            <w:vAlign w:val="center"/>
          </w:tcPr>
          <w:p>
            <w:pPr>
              <w:pStyle w:val="50"/>
              <w:spacing w:line="275" w:lineRule="exact"/>
              <w:ind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±130°</w:t>
            </w:r>
          </w:p>
        </w:tc>
      </w:tr>
      <w:tr>
        <w:tblPrEx>
          <w:tblCellMar>
            <w:top w:w="0" w:type="dxa"/>
            <w:left w:w="0" w:type="dxa"/>
            <w:bottom w:w="0" w:type="dxa"/>
            <w:right w:w="0" w:type="dxa"/>
          </w:tblCellMar>
        </w:tblPrEx>
        <w:trPr>
          <w:trHeight w:val="567" w:hRule="atLeast"/>
          <w:jc w:val="center"/>
        </w:trPr>
        <w:tc>
          <w:tcPr>
            <w:tcW w:w="1247" w:type="dxa"/>
            <w:vMerge w:val="continue"/>
            <w:tcBorders>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1"/>
                <w:szCs w:val="21"/>
              </w:rPr>
            </w:pPr>
          </w:p>
        </w:tc>
        <w:tc>
          <w:tcPr>
            <w:tcW w:w="2208" w:type="dxa"/>
            <w:vMerge w:val="continue"/>
            <w:tcBorders>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exact"/>
              <w:ind w:left="104"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J6</w:t>
            </w:r>
          </w:p>
        </w:tc>
        <w:tc>
          <w:tcPr>
            <w:tcW w:w="4136"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exact"/>
              <w:ind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±360°</w:t>
            </w:r>
          </w:p>
        </w:tc>
      </w:tr>
      <w:tr>
        <w:tblPrEx>
          <w:tblCellMar>
            <w:top w:w="0" w:type="dxa"/>
            <w:left w:w="0" w:type="dxa"/>
            <w:bottom w:w="0" w:type="dxa"/>
            <w:right w:w="0" w:type="dxa"/>
          </w:tblCellMar>
        </w:tblPrEx>
        <w:trPr>
          <w:trHeight w:val="567" w:hRule="atLeast"/>
          <w:jc w:val="center"/>
        </w:trPr>
        <w:tc>
          <w:tcPr>
            <w:tcW w:w="1247" w:type="dxa"/>
            <w:vMerge w:val="restart"/>
            <w:tcBorders>
              <w:top w:val="single" w:color="000000" w:sz="4" w:space="0"/>
              <w:left w:val="single" w:color="000000" w:sz="4" w:space="0"/>
              <w:right w:val="single" w:color="000000" w:sz="4" w:space="0"/>
            </w:tcBorders>
            <w:vAlign w:val="center"/>
          </w:tcPr>
          <w:p>
            <w:pPr>
              <w:pStyle w:val="50"/>
              <w:spacing w:line="240" w:lineRule="auto"/>
              <w:ind w:right="0"/>
              <w:jc w:val="center"/>
              <w:rPr>
                <w:rFonts w:hint="eastAsia" w:ascii="方正仿宋_GBK" w:hAnsi="方正仿宋_GBK" w:eastAsia="方正仿宋_GBK" w:cs="方正仿宋_GBK"/>
                <w:b/>
                <w:bCs/>
                <w:sz w:val="21"/>
                <w:szCs w:val="21"/>
              </w:rPr>
            </w:pPr>
          </w:p>
          <w:p>
            <w:pPr>
              <w:pStyle w:val="50"/>
              <w:spacing w:before="5" w:line="240" w:lineRule="auto"/>
              <w:ind w:right="0"/>
              <w:jc w:val="center"/>
              <w:rPr>
                <w:rFonts w:hint="eastAsia" w:ascii="方正仿宋_GBK" w:hAnsi="方正仿宋_GBK" w:eastAsia="方正仿宋_GBK" w:cs="方正仿宋_GBK"/>
                <w:b/>
                <w:bCs/>
                <w:sz w:val="21"/>
                <w:szCs w:val="21"/>
              </w:rPr>
            </w:pPr>
          </w:p>
          <w:p>
            <w:pPr>
              <w:pStyle w:val="50"/>
              <w:spacing w:line="240" w:lineRule="auto"/>
              <w:ind w:left="1"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2208" w:type="dxa"/>
            <w:vMerge w:val="restart"/>
            <w:tcBorders>
              <w:top w:val="single" w:color="000000" w:sz="4" w:space="0"/>
              <w:left w:val="single" w:color="000000" w:sz="4" w:space="0"/>
              <w:right w:val="single" w:color="000000" w:sz="4" w:space="0"/>
            </w:tcBorders>
            <w:vAlign w:val="center"/>
          </w:tcPr>
          <w:p>
            <w:pPr>
              <w:pStyle w:val="50"/>
              <w:spacing w:line="240" w:lineRule="auto"/>
              <w:ind w:right="0"/>
              <w:jc w:val="center"/>
              <w:rPr>
                <w:rFonts w:hint="eastAsia" w:ascii="方正仿宋_GBK" w:hAnsi="方正仿宋_GBK" w:eastAsia="方正仿宋_GBK" w:cs="方正仿宋_GBK"/>
                <w:b/>
                <w:bCs/>
                <w:sz w:val="21"/>
                <w:szCs w:val="21"/>
              </w:rPr>
            </w:pPr>
          </w:p>
          <w:p>
            <w:pPr>
              <w:pStyle w:val="50"/>
              <w:spacing w:before="5" w:line="240" w:lineRule="auto"/>
              <w:ind w:right="0"/>
              <w:jc w:val="center"/>
              <w:rPr>
                <w:rFonts w:hint="eastAsia" w:ascii="方正仿宋_GBK" w:hAnsi="方正仿宋_GBK" w:eastAsia="方正仿宋_GBK" w:cs="方正仿宋_GBK"/>
                <w:b/>
                <w:bCs/>
                <w:sz w:val="21"/>
                <w:szCs w:val="21"/>
              </w:rPr>
            </w:pPr>
          </w:p>
          <w:p>
            <w:pPr>
              <w:pStyle w:val="50"/>
              <w:spacing w:line="240" w:lineRule="auto"/>
              <w:ind w:left="104"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适用环境</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exact"/>
              <w:ind w:left="104"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温度</w:t>
            </w:r>
          </w:p>
        </w:tc>
        <w:tc>
          <w:tcPr>
            <w:tcW w:w="4136"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exact"/>
              <w:ind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0～45°</w:t>
            </w:r>
          </w:p>
        </w:tc>
      </w:tr>
      <w:tr>
        <w:tblPrEx>
          <w:tblCellMar>
            <w:top w:w="0" w:type="dxa"/>
            <w:left w:w="0" w:type="dxa"/>
            <w:bottom w:w="0" w:type="dxa"/>
            <w:right w:w="0" w:type="dxa"/>
          </w:tblCellMar>
        </w:tblPrEx>
        <w:trPr>
          <w:trHeight w:val="567" w:hRule="atLeast"/>
          <w:jc w:val="center"/>
        </w:trPr>
        <w:tc>
          <w:tcPr>
            <w:tcW w:w="1247" w:type="dxa"/>
            <w:vMerge w:val="continue"/>
            <w:tcBorders>
              <w:left w:val="single" w:color="000000" w:sz="4" w:space="0"/>
              <w:right w:val="single" w:color="000000" w:sz="4" w:space="0"/>
            </w:tcBorders>
            <w:vAlign w:val="top"/>
          </w:tcPr>
          <w:p>
            <w:pPr>
              <w:rPr>
                <w:rFonts w:hint="eastAsia" w:ascii="方正仿宋_GBK" w:hAnsi="方正仿宋_GBK" w:eastAsia="方正仿宋_GBK" w:cs="方正仿宋_GBK"/>
                <w:sz w:val="21"/>
                <w:szCs w:val="21"/>
              </w:rPr>
            </w:pPr>
          </w:p>
        </w:tc>
        <w:tc>
          <w:tcPr>
            <w:tcW w:w="2208" w:type="dxa"/>
            <w:vMerge w:val="continue"/>
            <w:tcBorders>
              <w:left w:val="single" w:color="000000" w:sz="4" w:space="0"/>
              <w:right w:val="single" w:color="000000" w:sz="4" w:space="0"/>
            </w:tcBorders>
            <w:vAlign w:val="top"/>
          </w:tcPr>
          <w:p>
            <w:pPr>
              <w:rPr>
                <w:rFonts w:hint="eastAsia" w:ascii="方正仿宋_GBK" w:hAnsi="方正仿宋_GBK" w:eastAsia="方正仿宋_GBK" w:cs="方正仿宋_GBK"/>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50"/>
              <w:spacing w:line="277" w:lineRule="exact"/>
              <w:ind w:left="104"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湿度</w:t>
            </w:r>
          </w:p>
        </w:tc>
        <w:tc>
          <w:tcPr>
            <w:tcW w:w="4136" w:type="dxa"/>
            <w:tcBorders>
              <w:top w:val="single" w:color="000000" w:sz="4" w:space="0"/>
              <w:left w:val="single" w:color="000000" w:sz="4" w:space="0"/>
              <w:bottom w:val="single" w:color="000000" w:sz="4" w:space="0"/>
              <w:right w:val="single" w:color="000000" w:sz="4" w:space="0"/>
            </w:tcBorders>
            <w:vAlign w:val="center"/>
          </w:tcPr>
          <w:p>
            <w:pPr>
              <w:pStyle w:val="50"/>
              <w:spacing w:line="277" w:lineRule="exact"/>
              <w:ind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20%～80%</w:t>
            </w:r>
          </w:p>
        </w:tc>
      </w:tr>
      <w:tr>
        <w:tblPrEx>
          <w:tblCellMar>
            <w:top w:w="0" w:type="dxa"/>
            <w:left w:w="0" w:type="dxa"/>
            <w:bottom w:w="0" w:type="dxa"/>
            <w:right w:w="0" w:type="dxa"/>
          </w:tblCellMar>
        </w:tblPrEx>
        <w:trPr>
          <w:trHeight w:val="567" w:hRule="atLeast"/>
          <w:jc w:val="center"/>
        </w:trPr>
        <w:tc>
          <w:tcPr>
            <w:tcW w:w="1247" w:type="dxa"/>
            <w:vMerge w:val="continue"/>
            <w:tcBorders>
              <w:left w:val="single" w:color="000000" w:sz="4" w:space="0"/>
              <w:bottom w:val="single" w:color="000000" w:sz="4" w:space="0"/>
              <w:right w:val="single" w:color="000000" w:sz="4" w:space="0"/>
            </w:tcBorders>
            <w:vAlign w:val="top"/>
          </w:tcPr>
          <w:p>
            <w:pPr>
              <w:rPr>
                <w:rFonts w:hint="eastAsia" w:ascii="方正仿宋_GBK" w:hAnsi="方正仿宋_GBK" w:eastAsia="方正仿宋_GBK" w:cs="方正仿宋_GBK"/>
                <w:sz w:val="21"/>
                <w:szCs w:val="21"/>
              </w:rPr>
            </w:pPr>
          </w:p>
        </w:tc>
        <w:tc>
          <w:tcPr>
            <w:tcW w:w="2208" w:type="dxa"/>
            <w:vMerge w:val="continue"/>
            <w:tcBorders>
              <w:left w:val="single" w:color="000000" w:sz="4" w:space="0"/>
              <w:bottom w:val="single" w:color="000000" w:sz="4" w:space="0"/>
              <w:right w:val="single" w:color="000000" w:sz="4" w:space="0"/>
            </w:tcBorders>
            <w:vAlign w:val="top"/>
          </w:tcPr>
          <w:p>
            <w:pPr>
              <w:rPr>
                <w:rFonts w:hint="eastAsia" w:ascii="方正仿宋_GBK" w:hAnsi="方正仿宋_GBK" w:eastAsia="方正仿宋_GBK" w:cs="方正仿宋_GBK"/>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50"/>
              <w:spacing w:before="10" w:line="240" w:lineRule="auto"/>
              <w:ind w:right="0"/>
              <w:jc w:val="center"/>
              <w:rPr>
                <w:rFonts w:hint="eastAsia" w:ascii="方正仿宋_GBK" w:hAnsi="方正仿宋_GBK" w:eastAsia="方正仿宋_GBK" w:cs="方正仿宋_GBK"/>
                <w:b/>
                <w:bCs/>
                <w:sz w:val="21"/>
                <w:szCs w:val="21"/>
              </w:rPr>
            </w:pPr>
          </w:p>
          <w:p>
            <w:pPr>
              <w:pStyle w:val="50"/>
              <w:spacing w:line="240" w:lineRule="auto"/>
              <w:ind w:left="104"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其他</w:t>
            </w:r>
          </w:p>
        </w:tc>
        <w:tc>
          <w:tcPr>
            <w:tcW w:w="4136" w:type="dxa"/>
            <w:tcBorders>
              <w:top w:val="single" w:color="000000" w:sz="4" w:space="0"/>
              <w:left w:val="single" w:color="000000" w:sz="4" w:space="0"/>
              <w:bottom w:val="single" w:color="000000" w:sz="4" w:space="0"/>
              <w:right w:val="single" w:color="000000" w:sz="4" w:space="0"/>
            </w:tcBorders>
            <w:vAlign w:val="center"/>
          </w:tcPr>
          <w:p>
            <w:pPr>
              <w:pStyle w:val="50"/>
              <w:spacing w:line="273" w:lineRule="exact"/>
              <w:ind w:left="102"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2"/>
                <w:sz w:val="21"/>
                <w:szCs w:val="21"/>
              </w:rPr>
              <w:t>避免与易燃易爆或腐蚀性气</w:t>
            </w:r>
            <w:r>
              <w:rPr>
                <w:rFonts w:hint="eastAsia" w:ascii="方正仿宋_GBK" w:hAnsi="方正仿宋_GBK" w:eastAsia="方正仿宋_GBK" w:cs="方正仿宋_GBK"/>
                <w:spacing w:val="2"/>
                <w:sz w:val="21"/>
                <w:szCs w:val="21"/>
              </w:rPr>
              <w:t>体、液体接触，远离电子噪声</w:t>
            </w:r>
            <w:r>
              <w:rPr>
                <w:rFonts w:hint="eastAsia" w:ascii="方正仿宋_GBK" w:hAnsi="方正仿宋_GBK" w:eastAsia="方正仿宋_GBK" w:cs="方正仿宋_GBK"/>
                <w:spacing w:val="-117"/>
                <w:sz w:val="21"/>
                <w:szCs w:val="21"/>
              </w:rPr>
              <w:t xml:space="preserve"> </w:t>
            </w:r>
            <w:r>
              <w:rPr>
                <w:rFonts w:hint="eastAsia" w:ascii="方正仿宋_GBK" w:hAnsi="方正仿宋_GBK" w:eastAsia="方正仿宋_GBK" w:cs="方正仿宋_GBK"/>
                <w:sz w:val="21"/>
                <w:szCs w:val="21"/>
              </w:rPr>
              <w:t>源（等离子）</w:t>
            </w:r>
          </w:p>
        </w:tc>
      </w:tr>
      <w:tr>
        <w:tblPrEx>
          <w:tblCellMar>
            <w:top w:w="0" w:type="dxa"/>
            <w:left w:w="0" w:type="dxa"/>
            <w:bottom w:w="0" w:type="dxa"/>
            <w:right w:w="0" w:type="dxa"/>
          </w:tblCellMar>
        </w:tblPrEx>
        <w:trPr>
          <w:trHeight w:val="567" w:hRule="exact"/>
          <w:jc w:val="center"/>
        </w:trPr>
        <w:tc>
          <w:tcPr>
            <w:tcW w:w="1247" w:type="dxa"/>
            <w:tcBorders>
              <w:top w:val="single" w:color="000000" w:sz="4" w:space="0"/>
              <w:left w:val="single" w:color="000000" w:sz="4" w:space="0"/>
              <w:bottom w:val="single" w:color="000000" w:sz="4" w:space="0"/>
              <w:right w:val="single" w:color="000000" w:sz="4" w:space="0"/>
            </w:tcBorders>
            <w:vAlign w:val="center"/>
          </w:tcPr>
          <w:p>
            <w:pPr>
              <w:pStyle w:val="50"/>
              <w:spacing w:line="277" w:lineRule="exact"/>
              <w:ind w:left="1"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3544" w:type="dxa"/>
            <w:gridSpan w:val="2"/>
            <w:tcBorders>
              <w:top w:val="single" w:color="000000" w:sz="4" w:space="0"/>
              <w:left w:val="single" w:color="000000" w:sz="4" w:space="0"/>
              <w:bottom w:val="single" w:color="000000" w:sz="4" w:space="0"/>
              <w:right w:val="single" w:color="000000" w:sz="4" w:space="0"/>
            </w:tcBorders>
            <w:vAlign w:val="center"/>
          </w:tcPr>
          <w:p>
            <w:pPr>
              <w:pStyle w:val="50"/>
              <w:spacing w:line="277" w:lineRule="exact"/>
              <w:ind w:left="104"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控制系统</w:t>
            </w:r>
          </w:p>
        </w:tc>
        <w:tc>
          <w:tcPr>
            <w:tcW w:w="4136" w:type="dxa"/>
            <w:tcBorders>
              <w:top w:val="single" w:color="000000" w:sz="4" w:space="0"/>
              <w:left w:val="single" w:color="000000" w:sz="4" w:space="0"/>
              <w:bottom w:val="single" w:color="000000" w:sz="4" w:space="0"/>
              <w:right w:val="single" w:color="000000" w:sz="4" w:space="0"/>
            </w:tcBorders>
            <w:vAlign w:val="center"/>
          </w:tcPr>
          <w:p>
            <w:pPr>
              <w:pStyle w:val="50"/>
              <w:spacing w:line="277" w:lineRule="exact"/>
              <w:ind w:left="102"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企业通用型号</w:t>
            </w:r>
          </w:p>
        </w:tc>
      </w:tr>
    </w:tbl>
    <w:p>
      <w:pPr>
        <w:spacing w:before="0" w:line="240" w:lineRule="auto"/>
        <w:rPr>
          <w:rFonts w:hint="default" w:ascii="仿宋" w:hAnsi="仿宋" w:eastAsia="仿宋" w:cs="仿宋"/>
          <w:b/>
          <w:bCs/>
          <w:sz w:val="20"/>
          <w:szCs w:val="20"/>
        </w:rPr>
      </w:pPr>
    </w:p>
    <w:p>
      <w:pPr>
        <w:spacing w:before="0" w:line="240" w:lineRule="auto"/>
        <w:rPr>
          <w:rFonts w:hint="default" w:ascii="仿宋" w:hAnsi="仿宋" w:eastAsia="仿宋" w:cs="仿宋"/>
          <w:b/>
          <w:bCs/>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zh-TW" w:eastAsia="zh-TW"/>
        </w:rPr>
      </w:pPr>
      <w:r>
        <w:rPr>
          <w:rFonts w:hint="eastAsia" w:ascii="楷体_GB2312" w:hAnsi="楷体_GB2312" w:eastAsia="楷体_GB2312" w:cs="楷体_GB2312"/>
          <w:sz w:val="30"/>
          <w:szCs w:val="30"/>
          <w:lang w:val="zh-TW" w:eastAsia="zh-CN"/>
        </w:rPr>
        <w:t>（</w:t>
      </w:r>
      <w:r>
        <w:rPr>
          <w:rFonts w:hint="eastAsia" w:ascii="楷体_GB2312" w:hAnsi="楷体_GB2312" w:eastAsia="楷体_GB2312" w:cs="楷体_GB2312"/>
          <w:sz w:val="30"/>
          <w:szCs w:val="30"/>
          <w:lang w:val="en-US" w:eastAsia="zh-CN"/>
        </w:rPr>
        <w:t>四</w:t>
      </w:r>
      <w:r>
        <w:rPr>
          <w:rFonts w:hint="eastAsia" w:ascii="楷体_GB2312" w:hAnsi="楷体_GB2312" w:eastAsia="楷体_GB2312" w:cs="楷体_GB2312"/>
          <w:sz w:val="30"/>
          <w:szCs w:val="30"/>
          <w:lang w:val="zh-TW" w:eastAsia="zh-CN"/>
        </w:rPr>
        <w:t>）</w:t>
      </w:r>
      <w:r>
        <w:rPr>
          <w:rFonts w:hint="eastAsia" w:ascii="楷体_GB2312" w:hAnsi="楷体_GB2312" w:eastAsia="楷体_GB2312" w:cs="楷体_GB2312"/>
          <w:sz w:val="30"/>
          <w:szCs w:val="30"/>
          <w:lang w:val="zh-TW" w:eastAsia="zh-TW"/>
        </w:rPr>
        <w:t>虚拟制造仿真——软件和仿真通信板</w:t>
      </w:r>
      <w:r>
        <w:rPr>
          <w:rFonts w:hint="eastAsia" w:ascii="仿宋_GB2312" w:hAnsi="仿宋_GB2312" w:eastAsia="仿宋_GB2312" w:cs="仿宋_GB2312"/>
          <w:sz w:val="30"/>
          <w:szCs w:val="30"/>
          <w:lang w:val="zh-TW" w:eastAsia="zh-TW"/>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虚拟制造仿真软件应能仿真工业机器人+数控机床的制造过程，根据给定的流程图进行程序编制和仿真。仿真软件中的机器人进行上下料，将物料夹取放置在虚拟的卡盘上时，真实的气动卡盘也会进行加紧与松开动作。如果发生报警导致实际的卡盘或者虚拟的卡盘未到位，软件和实物不会进行下一步动作。</w:t>
      </w:r>
      <w:bookmarkStart w:id="34" w:name="_Toc47727090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en-US" w:eastAsia="zh-CN"/>
        </w:rPr>
        <w:t>五</w:t>
      </w:r>
      <w:r>
        <w:rPr>
          <w:rFonts w:hint="eastAsia" w:ascii="楷体_GB2312" w:hAnsi="楷体_GB2312" w:eastAsia="楷体_GB2312" w:cs="楷体_GB2312"/>
          <w:sz w:val="30"/>
          <w:szCs w:val="30"/>
          <w:lang w:val="zh-TW" w:eastAsia="zh-TW"/>
        </w:rPr>
        <w:t>）机械装调部件——主轴单元</w:t>
      </w:r>
      <w:bookmarkEnd w:id="3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bCs/>
          <w:sz w:val="30"/>
          <w:szCs w:val="30"/>
        </w:rPr>
      </w:pPr>
      <w:r>
        <w:rPr>
          <w:rFonts w:hint="eastAsia" w:ascii="仿宋_GB2312" w:hAnsi="仿宋_GB2312" w:eastAsia="仿宋_GB2312" w:cs="仿宋_GB2312"/>
          <w:sz w:val="30"/>
          <w:szCs w:val="30"/>
          <w:lang w:val="en-US" w:eastAsia="zh-CN"/>
        </w:rPr>
        <w:t>1.主轴机械部装</w:t>
      </w:r>
      <w:r>
        <w:rPr>
          <w:rFonts w:hint="eastAsia" w:ascii="仿宋" w:hAnsi="仿宋" w:eastAsia="仿宋" w:cs="仿宋_GB2312"/>
          <w:bCs/>
          <w:sz w:val="30"/>
          <w:szCs w:val="30"/>
        </w:rPr>
        <w:t xml:space="preserve"> </w:t>
      </w:r>
    </w:p>
    <w:p>
      <w:pPr>
        <w:pStyle w:val="42"/>
        <w:pageBreakBefore w:val="0"/>
        <w:widowControl w:val="0"/>
        <w:kinsoku/>
        <w:overflowPunct/>
        <w:topLinePunct w:val="0"/>
        <w:bidi w:val="0"/>
        <w:spacing w:after="120" w:afterLines="50" w:line="600" w:lineRule="exact"/>
        <w:ind w:firstLine="0" w:firstLineChars="0"/>
        <w:jc w:val="center"/>
        <w:textAlignment w:val="auto"/>
        <w:rPr>
          <w:rFonts w:ascii="仿宋" w:hAnsi="仿宋" w:eastAsia="仿宋" w:cs="仿宋_GB2312"/>
          <w:bCs/>
          <w:sz w:val="24"/>
          <w:szCs w:val="24"/>
        </w:rPr>
      </w:pPr>
      <w:r>
        <w:rPr>
          <w:rFonts w:hint="eastAsia" w:ascii="黑体" w:hAnsi="黑体" w:eastAsia="黑体" w:cs="黑体"/>
          <w:kern w:val="2"/>
          <w:sz w:val="24"/>
          <w:szCs w:val="24"/>
          <w:lang w:val="en-US" w:eastAsia="zh-CN" w:bidi="ar-SA"/>
        </w:rPr>
        <w:t>表11-3 主轴单元主要构成</w:t>
      </w:r>
    </w:p>
    <w:tbl>
      <w:tblPr>
        <w:tblStyle w:val="23"/>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8"/>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主轴锥孔</w:t>
            </w:r>
          </w:p>
        </w:tc>
        <w:tc>
          <w:tcPr>
            <w:tcW w:w="589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ISO 40#或 BT40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主轴单元主要构成</w:t>
            </w:r>
          </w:p>
        </w:tc>
        <w:tc>
          <w:tcPr>
            <w:tcW w:w="589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适配前后轴承</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联轴节</w:t>
            </w: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bookmarkStart w:id="35" w:name="_Toc477270903"/>
      <w:r>
        <w:rPr>
          <w:rFonts w:hint="eastAsia" w:ascii="仿宋_GB2312" w:hAnsi="仿宋_GB2312" w:eastAsia="仿宋_GB2312" w:cs="仿宋_GB2312"/>
          <w:sz w:val="30"/>
          <w:szCs w:val="30"/>
          <w:lang w:val="en-US" w:eastAsia="zh-CN"/>
        </w:rPr>
        <w:t>2.主轴测试平台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bCs/>
          <w:sz w:val="30"/>
          <w:szCs w:val="30"/>
        </w:rPr>
      </w:pPr>
      <w:r>
        <w:rPr>
          <w:rFonts w:hint="eastAsia" w:ascii="仿宋_GB2312" w:hAnsi="仿宋_GB2312" w:eastAsia="仿宋_GB2312" w:cs="仿宋_GB2312"/>
          <w:sz w:val="30"/>
          <w:szCs w:val="30"/>
          <w:lang w:val="en-US" w:eastAsia="zh-CN"/>
        </w:rPr>
        <w:t>主轴测试平台主要由变频器电气控制箱、三相异步电动机、主轴机械部件和主轴安装架组成。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3.变频器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bCs/>
          <w:sz w:val="30"/>
          <w:szCs w:val="30"/>
        </w:rPr>
      </w:pPr>
      <w:r>
        <w:rPr>
          <w:rFonts w:hint="eastAsia" w:ascii="仿宋_GB2312" w:hAnsi="仿宋_GB2312" w:eastAsia="仿宋_GB2312" w:cs="仿宋_GB2312"/>
          <w:sz w:val="30"/>
          <w:szCs w:val="30"/>
          <w:lang w:val="en-US" w:eastAsia="zh-CN"/>
        </w:rPr>
        <w:t>变频器主要规格参数见表11-4。</w:t>
      </w:r>
    </w:p>
    <w:p>
      <w:pPr>
        <w:pageBreakBefore w:val="0"/>
        <w:widowControl w:val="0"/>
        <w:kinsoku/>
        <w:overflowPunct/>
        <w:topLinePunct w:val="0"/>
        <w:bidi w:val="0"/>
        <w:spacing w:line="600" w:lineRule="exact"/>
        <w:jc w:val="center"/>
        <w:textAlignment w:val="auto"/>
        <w:rPr>
          <w:rFonts w:hint="eastAsia" w:ascii="黑体" w:hAnsi="黑体" w:eastAsia="黑体" w:cs="黑体"/>
          <w:sz w:val="24"/>
        </w:rPr>
      </w:pPr>
      <w:r>
        <w:rPr>
          <w:rFonts w:hint="eastAsia" w:ascii="黑体" w:hAnsi="黑体" w:eastAsia="黑体" w:cs="黑体"/>
          <w:sz w:val="24"/>
        </w:rPr>
        <w:t>表1</w:t>
      </w:r>
      <w:r>
        <w:rPr>
          <w:rFonts w:hint="eastAsia" w:ascii="黑体" w:hAnsi="黑体" w:eastAsia="黑体" w:cs="黑体"/>
          <w:sz w:val="24"/>
          <w:lang w:val="en-US" w:eastAsia="zh-CN"/>
        </w:rPr>
        <w:t>1</w:t>
      </w:r>
      <w:r>
        <w:rPr>
          <w:rFonts w:hint="eastAsia" w:ascii="黑体" w:hAnsi="黑体" w:eastAsia="黑体" w:cs="黑体"/>
          <w:sz w:val="24"/>
        </w:rPr>
        <w:t>-</w:t>
      </w:r>
      <w:r>
        <w:rPr>
          <w:rFonts w:hint="eastAsia" w:ascii="黑体" w:hAnsi="黑体" w:eastAsia="黑体" w:cs="黑体"/>
          <w:sz w:val="24"/>
          <w:lang w:val="en-US" w:eastAsia="zh-CN"/>
        </w:rPr>
        <w:t>4</w:t>
      </w:r>
      <w:r>
        <w:rPr>
          <w:rFonts w:hint="eastAsia" w:ascii="黑体" w:hAnsi="黑体" w:eastAsia="黑体" w:cs="黑体"/>
          <w:sz w:val="24"/>
        </w:rPr>
        <w:t>变频器</w:t>
      </w:r>
    </w:p>
    <w:tbl>
      <w:tblPr>
        <w:tblStyle w:val="23"/>
        <w:tblpPr w:leftFromText="180" w:rightFromText="180" w:vertAnchor="text" w:horzAnchor="margin" w:tblpXSpec="center" w:tblpY="51"/>
        <w:tblW w:w="9231" w:type="dxa"/>
        <w:tblInd w:w="-3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53"/>
        <w:gridCol w:w="5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5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功率</w:t>
            </w:r>
          </w:p>
        </w:tc>
        <w:tc>
          <w:tcPr>
            <w:tcW w:w="58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5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输入电压</w:t>
            </w:r>
          </w:p>
        </w:tc>
        <w:tc>
          <w:tcPr>
            <w:tcW w:w="58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AC380V+/-15%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5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输出电压</w:t>
            </w:r>
          </w:p>
        </w:tc>
        <w:tc>
          <w:tcPr>
            <w:tcW w:w="58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AC380V三相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5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输入信号</w:t>
            </w:r>
          </w:p>
        </w:tc>
        <w:tc>
          <w:tcPr>
            <w:tcW w:w="58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0～10V模拟接口输入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5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输出频率</w:t>
            </w:r>
          </w:p>
        </w:tc>
        <w:tc>
          <w:tcPr>
            <w:tcW w:w="58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0～500Hz</w:t>
            </w:r>
          </w:p>
        </w:tc>
      </w:tr>
      <w:bookmarkEnd w:id="35"/>
    </w:tbl>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color w:val="auto"/>
          <w:sz w:val="30"/>
          <w:szCs w:val="30"/>
          <w:lang w:val="en-US" w:eastAsia="zh-CN"/>
        </w:rPr>
      </w:pPr>
      <w:bookmarkStart w:id="36" w:name="_Toc477270904"/>
      <w:r>
        <w:rPr>
          <w:rFonts w:hint="eastAsia" w:ascii="楷体_GB2312" w:hAnsi="楷体_GB2312" w:eastAsia="楷体_GB2312" w:cs="楷体_GB2312"/>
          <w:color w:val="auto"/>
          <w:sz w:val="30"/>
          <w:szCs w:val="30"/>
          <w:lang w:val="en-US" w:eastAsia="zh-CN"/>
        </w:rPr>
        <w:t>（六）赛场主要提供的工具、量具、检具</w:t>
      </w:r>
      <w:bookmarkEnd w:id="36"/>
      <w:r>
        <w:rPr>
          <w:rFonts w:hint="eastAsia" w:ascii="楷体_GB2312" w:hAnsi="楷体_GB2312" w:eastAsia="楷体_GB2312" w:cs="楷体_GB2312"/>
          <w:color w:val="auto"/>
          <w:sz w:val="30"/>
          <w:szCs w:val="30"/>
          <w:lang w:val="en-US" w:eastAsia="zh-CN"/>
        </w:rPr>
        <w:t>（每工位）</w:t>
      </w:r>
    </w:p>
    <w:p>
      <w:pPr>
        <w:pageBreakBefore w:val="0"/>
        <w:widowControl w:val="0"/>
        <w:kinsoku/>
        <w:overflowPunct/>
        <w:topLinePunct w:val="0"/>
        <w:bidi w:val="0"/>
        <w:spacing w:line="600" w:lineRule="exact"/>
        <w:jc w:val="center"/>
        <w:textAlignment w:val="auto"/>
        <w:rPr>
          <w:rFonts w:hint="eastAsia" w:ascii="黑体" w:hAnsi="黑体" w:eastAsia="黑体" w:cs="黑体"/>
          <w:sz w:val="24"/>
        </w:rPr>
      </w:pPr>
      <w:r>
        <w:rPr>
          <w:rFonts w:hint="eastAsia" w:ascii="黑体" w:hAnsi="黑体" w:eastAsia="黑体" w:cs="黑体"/>
          <w:sz w:val="24"/>
        </w:rPr>
        <w:t>表1</w:t>
      </w:r>
      <w:r>
        <w:rPr>
          <w:rFonts w:hint="eastAsia" w:ascii="黑体" w:hAnsi="黑体" w:eastAsia="黑体" w:cs="黑体"/>
          <w:sz w:val="24"/>
          <w:lang w:val="en-US" w:eastAsia="zh-CN"/>
        </w:rPr>
        <w:t>1</w:t>
      </w:r>
      <w:r>
        <w:rPr>
          <w:rFonts w:hint="eastAsia" w:ascii="黑体" w:hAnsi="黑体" w:eastAsia="黑体" w:cs="黑体"/>
          <w:sz w:val="24"/>
        </w:rPr>
        <w:t>-</w:t>
      </w:r>
      <w:r>
        <w:rPr>
          <w:rFonts w:hint="eastAsia" w:ascii="黑体" w:hAnsi="黑体" w:eastAsia="黑体" w:cs="黑体"/>
          <w:sz w:val="24"/>
          <w:lang w:val="en-US" w:eastAsia="zh-CN"/>
        </w:rPr>
        <w:t>5</w:t>
      </w:r>
      <w:r>
        <w:rPr>
          <w:rFonts w:hint="eastAsia" w:ascii="黑体" w:hAnsi="黑体" w:eastAsia="黑体" w:cs="黑体"/>
          <w:sz w:val="24"/>
        </w:rPr>
        <w:t xml:space="preserve"> 赛场提供的工、量、检具</w:t>
      </w:r>
    </w:p>
    <w:tbl>
      <w:tblPr>
        <w:tblStyle w:val="23"/>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3261"/>
        <w:gridCol w:w="377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Cs/>
                <w:sz w:val="21"/>
                <w:szCs w:val="21"/>
              </w:rPr>
            </w:pPr>
            <w:r>
              <w:rPr>
                <w:rFonts w:hint="eastAsia" w:ascii="黑体" w:hAnsi="黑体" w:eastAsia="黑体" w:cs="黑体"/>
                <w:bCs/>
                <w:sz w:val="21"/>
                <w:szCs w:val="21"/>
              </w:rPr>
              <w:t>序号</w:t>
            </w:r>
          </w:p>
        </w:tc>
        <w:tc>
          <w:tcPr>
            <w:tcW w:w="326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Cs/>
                <w:sz w:val="21"/>
                <w:szCs w:val="21"/>
              </w:rPr>
            </w:pPr>
            <w:r>
              <w:rPr>
                <w:rFonts w:hint="eastAsia" w:ascii="黑体" w:hAnsi="黑体" w:eastAsia="黑体" w:cs="黑体"/>
                <w:bCs/>
                <w:sz w:val="21"/>
                <w:szCs w:val="21"/>
              </w:rPr>
              <w:t>名称</w:t>
            </w:r>
          </w:p>
        </w:tc>
        <w:tc>
          <w:tcPr>
            <w:tcW w:w="377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Cs/>
                <w:sz w:val="21"/>
                <w:szCs w:val="21"/>
              </w:rPr>
            </w:pPr>
            <w:r>
              <w:rPr>
                <w:rFonts w:hint="eastAsia" w:ascii="黑体" w:hAnsi="黑体" w:eastAsia="黑体" w:cs="黑体"/>
                <w:bCs/>
                <w:sz w:val="21"/>
                <w:szCs w:val="21"/>
              </w:rPr>
              <w:t>型号</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Cs/>
                <w:sz w:val="21"/>
                <w:szCs w:val="21"/>
              </w:rPr>
            </w:pPr>
            <w:r>
              <w:rPr>
                <w:rFonts w:hint="eastAsia" w:ascii="黑体" w:hAnsi="黑体" w:eastAsia="黑体" w:cs="黑体"/>
                <w:bCs/>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261"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橡皮锤</w:t>
            </w:r>
          </w:p>
        </w:tc>
        <w:tc>
          <w:tcPr>
            <w:tcW w:w="3777" w:type="dxa"/>
            <w:shd w:val="clear" w:color="auto" w:fill="auto"/>
            <w:vAlign w:val="center"/>
          </w:tcPr>
          <w:p>
            <w:pPr>
              <w:pStyle w:val="50"/>
              <w:spacing w:line="240" w:lineRule="auto"/>
              <w:ind w:right="603" w:right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 xml:space="preserve">      </w:t>
            </w:r>
            <w:r>
              <w:rPr>
                <w:rFonts w:hint="default" w:ascii="仿宋" w:hAnsi="仿宋" w:eastAsia="仿宋" w:cs="仿宋"/>
                <w:sz w:val="21"/>
                <w:szCs w:val="21"/>
              </w:rPr>
              <w:t>圆头</w:t>
            </w:r>
          </w:p>
        </w:tc>
        <w:tc>
          <w:tcPr>
            <w:tcW w:w="1276" w:type="dxa"/>
            <w:shd w:val="clear" w:color="auto" w:fill="auto"/>
            <w:vAlign w:val="center"/>
          </w:tcPr>
          <w:p>
            <w:pPr>
              <w:pStyle w:val="50"/>
              <w:spacing w:line="240" w:lineRule="auto"/>
              <w:ind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3261" w:type="dxa"/>
            <w:shd w:val="clear" w:color="auto" w:fill="auto"/>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default" w:ascii="仿宋" w:hAnsi="仿宋" w:eastAsia="仿宋" w:cs="仿宋"/>
                <w:sz w:val="21"/>
                <w:szCs w:val="21"/>
              </w:rPr>
              <w:t>扳手</w:t>
            </w:r>
          </w:p>
        </w:tc>
        <w:tc>
          <w:tcPr>
            <w:tcW w:w="3777" w:type="dxa"/>
            <w:shd w:val="clear" w:color="auto" w:fill="auto"/>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ascii="仿宋"/>
                <w:sz w:val="21"/>
                <w:szCs w:val="21"/>
              </w:rPr>
              <w:t>APU13-16</w:t>
            </w:r>
          </w:p>
        </w:tc>
        <w:tc>
          <w:tcPr>
            <w:tcW w:w="1276" w:type="dxa"/>
            <w:shd w:val="clear" w:color="auto" w:fill="auto"/>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default" w:ascii="仿宋" w:hAnsi="仿宋" w:eastAsia="仿宋" w:cs="仿宋"/>
                <w:sz w:val="21"/>
                <w:szCs w:val="21"/>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261" w:type="dxa"/>
            <w:shd w:val="clear" w:color="auto" w:fill="auto"/>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 w:hAnsi="仿宋" w:eastAsia="仿宋" w:cs="仿宋"/>
                <w:kern w:val="2"/>
                <w:sz w:val="21"/>
                <w:szCs w:val="21"/>
                <w:lang w:val="en-US" w:eastAsia="zh-CN" w:bidi="ar-SA"/>
              </w:rPr>
            </w:pPr>
            <w:r>
              <w:rPr>
                <w:rFonts w:hint="default" w:ascii="仿宋" w:hAnsi="仿宋" w:eastAsia="仿宋" w:cs="仿宋"/>
                <w:sz w:val="21"/>
                <w:szCs w:val="21"/>
              </w:rPr>
              <w:t>数字万用表</w:t>
            </w:r>
          </w:p>
        </w:tc>
        <w:tc>
          <w:tcPr>
            <w:tcW w:w="3777" w:type="dxa"/>
            <w:shd w:val="clear" w:color="auto" w:fill="auto"/>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 w:hAnsi="仿宋" w:eastAsia="仿宋" w:cs="仿宋"/>
                <w:kern w:val="2"/>
                <w:sz w:val="21"/>
                <w:szCs w:val="21"/>
                <w:lang w:val="en-US" w:eastAsia="zh-CN" w:bidi="ar-SA"/>
              </w:rPr>
            </w:pPr>
            <w:r>
              <w:rPr>
                <w:rFonts w:hint="default" w:ascii="仿宋" w:hAnsi="仿宋" w:eastAsia="仿宋" w:cs="仿宋"/>
                <w:sz w:val="21"/>
                <w:szCs w:val="21"/>
              </w:rPr>
              <w:t>MY60</w:t>
            </w:r>
          </w:p>
        </w:tc>
        <w:tc>
          <w:tcPr>
            <w:tcW w:w="1276" w:type="dxa"/>
            <w:shd w:val="clear" w:color="auto" w:fill="auto"/>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default" w:ascii="仿宋" w:hAnsi="仿宋" w:eastAsia="仿宋" w:cs="仿宋"/>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3261" w:type="dxa"/>
            <w:shd w:val="clear" w:color="auto" w:fill="auto"/>
            <w:vAlign w:val="center"/>
          </w:tcPr>
          <w:p>
            <w:pPr>
              <w:pStyle w:val="50"/>
              <w:spacing w:before="165"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一字螺丝刀</w:t>
            </w:r>
          </w:p>
        </w:tc>
        <w:tc>
          <w:tcPr>
            <w:tcW w:w="3777" w:type="dxa"/>
            <w:shd w:val="clear" w:color="auto" w:fill="auto"/>
            <w:vAlign w:val="center"/>
          </w:tcPr>
          <w:p>
            <w:pPr>
              <w:pStyle w:val="50"/>
              <w:spacing w:before="165" w:line="240" w:lineRule="auto"/>
              <w:ind w:left="364"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5×150mm</w:t>
            </w:r>
          </w:p>
        </w:tc>
        <w:tc>
          <w:tcPr>
            <w:tcW w:w="1276" w:type="dxa"/>
            <w:shd w:val="clear" w:color="auto" w:fill="auto"/>
            <w:vAlign w:val="center"/>
          </w:tcPr>
          <w:p>
            <w:pPr>
              <w:pStyle w:val="50"/>
              <w:spacing w:before="165" w:line="240" w:lineRule="auto"/>
              <w:ind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3261" w:type="dxa"/>
            <w:shd w:val="clear" w:color="auto" w:fill="auto"/>
            <w:vAlign w:val="center"/>
          </w:tcPr>
          <w:p>
            <w:pPr>
              <w:pStyle w:val="50"/>
              <w:spacing w:before="134"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十字螺丝刀</w:t>
            </w:r>
          </w:p>
        </w:tc>
        <w:tc>
          <w:tcPr>
            <w:tcW w:w="3777" w:type="dxa"/>
            <w:shd w:val="clear" w:color="auto" w:fill="auto"/>
            <w:vAlign w:val="center"/>
          </w:tcPr>
          <w:p>
            <w:pPr>
              <w:pStyle w:val="50"/>
              <w:spacing w:before="134" w:line="240" w:lineRule="auto"/>
              <w:ind w:left="364"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5×150mm</w:t>
            </w:r>
          </w:p>
        </w:tc>
        <w:tc>
          <w:tcPr>
            <w:tcW w:w="1276" w:type="dxa"/>
            <w:shd w:val="clear" w:color="auto" w:fill="auto"/>
            <w:vAlign w:val="center"/>
          </w:tcPr>
          <w:p>
            <w:pPr>
              <w:pStyle w:val="50"/>
              <w:spacing w:before="134" w:line="240" w:lineRule="auto"/>
              <w:ind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3261" w:type="dxa"/>
            <w:shd w:val="clear" w:color="auto" w:fill="auto"/>
            <w:vAlign w:val="center"/>
          </w:tcPr>
          <w:p>
            <w:pPr>
              <w:pStyle w:val="50"/>
              <w:spacing w:line="299" w:lineRule="exact"/>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十字螺丝刀</w:t>
            </w:r>
          </w:p>
        </w:tc>
        <w:tc>
          <w:tcPr>
            <w:tcW w:w="3777" w:type="dxa"/>
            <w:shd w:val="clear" w:color="auto" w:fill="auto"/>
            <w:vAlign w:val="center"/>
          </w:tcPr>
          <w:p>
            <w:pPr>
              <w:pStyle w:val="50"/>
              <w:spacing w:line="299" w:lineRule="exact"/>
              <w:ind w:left="424"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3×75mm</w:t>
            </w:r>
          </w:p>
        </w:tc>
        <w:tc>
          <w:tcPr>
            <w:tcW w:w="1276" w:type="dxa"/>
            <w:shd w:val="clear" w:color="auto" w:fill="auto"/>
            <w:vAlign w:val="center"/>
          </w:tcPr>
          <w:p>
            <w:pPr>
              <w:pStyle w:val="50"/>
              <w:spacing w:line="299" w:lineRule="exact"/>
              <w:ind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3261" w:type="dxa"/>
            <w:shd w:val="clear" w:color="auto" w:fill="auto"/>
            <w:vAlign w:val="center"/>
          </w:tcPr>
          <w:p>
            <w:pPr>
              <w:pStyle w:val="50"/>
              <w:spacing w:before="75"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一字螺丝刀</w:t>
            </w:r>
          </w:p>
        </w:tc>
        <w:tc>
          <w:tcPr>
            <w:tcW w:w="3777" w:type="dxa"/>
            <w:shd w:val="clear" w:color="auto" w:fill="auto"/>
            <w:vAlign w:val="center"/>
          </w:tcPr>
          <w:p>
            <w:pPr>
              <w:pStyle w:val="50"/>
              <w:spacing w:before="75" w:line="240" w:lineRule="auto"/>
              <w:ind w:left="424"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3×75mm</w:t>
            </w:r>
          </w:p>
        </w:tc>
        <w:tc>
          <w:tcPr>
            <w:tcW w:w="1276" w:type="dxa"/>
            <w:shd w:val="clear" w:color="auto" w:fill="auto"/>
            <w:vAlign w:val="center"/>
          </w:tcPr>
          <w:p>
            <w:pPr>
              <w:pStyle w:val="50"/>
              <w:spacing w:before="75" w:line="240" w:lineRule="auto"/>
              <w:ind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3261"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压线钳</w:t>
            </w:r>
          </w:p>
        </w:tc>
        <w:tc>
          <w:tcPr>
            <w:tcW w:w="3777" w:type="dxa"/>
            <w:shd w:val="clear" w:color="auto" w:fill="auto"/>
            <w:vAlign w:val="center"/>
          </w:tcPr>
          <w:p>
            <w:pPr>
              <w:pStyle w:val="50"/>
              <w:spacing w:line="240" w:lineRule="auto"/>
              <w:ind w:left="484" w:leftChars="0" w:right="0" w:rightChars="0"/>
              <w:jc w:val="center"/>
              <w:rPr>
                <w:rFonts w:hint="eastAsia" w:ascii="仿宋" w:hAnsi="仿宋" w:eastAsia="仿宋" w:cs="仿宋"/>
                <w:kern w:val="2"/>
                <w:sz w:val="21"/>
                <w:szCs w:val="21"/>
                <w:lang w:val="en-US" w:eastAsia="zh-CN" w:bidi="ar-SA"/>
              </w:rPr>
            </w:pPr>
            <w:r>
              <w:rPr>
                <w:rFonts w:ascii="仿宋"/>
                <w:sz w:val="21"/>
                <w:szCs w:val="21"/>
              </w:rPr>
              <w:t>HS-30J</w:t>
            </w:r>
          </w:p>
        </w:tc>
        <w:tc>
          <w:tcPr>
            <w:tcW w:w="1276" w:type="dxa"/>
            <w:shd w:val="clear" w:color="auto" w:fill="auto"/>
            <w:vAlign w:val="center"/>
          </w:tcPr>
          <w:p>
            <w:pPr>
              <w:pStyle w:val="50"/>
              <w:spacing w:line="240" w:lineRule="auto"/>
              <w:ind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3261"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压线钳</w:t>
            </w:r>
          </w:p>
        </w:tc>
        <w:tc>
          <w:tcPr>
            <w:tcW w:w="3777" w:type="dxa"/>
            <w:shd w:val="clear" w:color="auto" w:fill="auto"/>
            <w:vAlign w:val="center"/>
          </w:tcPr>
          <w:p>
            <w:pPr>
              <w:pStyle w:val="50"/>
              <w:spacing w:line="240" w:lineRule="auto"/>
              <w:ind w:left="424" w:leftChars="0" w:right="0" w:rightChars="0"/>
              <w:jc w:val="center"/>
              <w:rPr>
                <w:rFonts w:hint="eastAsia" w:ascii="仿宋" w:hAnsi="仿宋" w:eastAsia="仿宋" w:cs="仿宋"/>
                <w:kern w:val="2"/>
                <w:sz w:val="21"/>
                <w:szCs w:val="21"/>
                <w:lang w:val="en-US" w:eastAsia="zh-CN" w:bidi="ar-SA"/>
              </w:rPr>
            </w:pPr>
            <w:r>
              <w:rPr>
                <w:rFonts w:ascii="仿宋"/>
                <w:sz w:val="21"/>
                <w:szCs w:val="21"/>
              </w:rPr>
              <w:t>HS-06WF</w:t>
            </w:r>
          </w:p>
        </w:tc>
        <w:tc>
          <w:tcPr>
            <w:tcW w:w="1276" w:type="dxa"/>
            <w:shd w:val="clear" w:color="auto" w:fill="auto"/>
            <w:vAlign w:val="center"/>
          </w:tcPr>
          <w:p>
            <w:pPr>
              <w:pStyle w:val="50"/>
              <w:spacing w:line="240" w:lineRule="auto"/>
              <w:ind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3261"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剥线钳</w:t>
            </w:r>
          </w:p>
        </w:tc>
        <w:tc>
          <w:tcPr>
            <w:tcW w:w="3777" w:type="dxa"/>
            <w:shd w:val="clear" w:color="auto" w:fill="auto"/>
            <w:vAlign w:val="center"/>
          </w:tcPr>
          <w:p>
            <w:pPr>
              <w:pStyle w:val="50"/>
              <w:spacing w:line="240" w:lineRule="auto"/>
              <w:ind w:left="424" w:leftChars="0" w:right="0" w:rightChars="0"/>
              <w:jc w:val="center"/>
              <w:rPr>
                <w:rFonts w:hint="eastAsia" w:ascii="仿宋" w:hAnsi="仿宋" w:eastAsia="仿宋" w:cs="仿宋"/>
                <w:kern w:val="2"/>
                <w:sz w:val="21"/>
                <w:szCs w:val="21"/>
                <w:lang w:val="en-US" w:eastAsia="zh-CN" w:bidi="ar-SA"/>
              </w:rPr>
            </w:pPr>
            <w:r>
              <w:rPr>
                <w:rFonts w:ascii="仿宋"/>
                <w:sz w:val="21"/>
                <w:szCs w:val="21"/>
              </w:rPr>
              <w:t>HS-700D</w:t>
            </w:r>
          </w:p>
        </w:tc>
        <w:tc>
          <w:tcPr>
            <w:tcW w:w="1276" w:type="dxa"/>
            <w:shd w:val="clear" w:color="auto" w:fill="auto"/>
            <w:vAlign w:val="center"/>
          </w:tcPr>
          <w:p>
            <w:pPr>
              <w:pStyle w:val="50"/>
              <w:spacing w:line="240" w:lineRule="auto"/>
              <w:ind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3261" w:type="dxa"/>
            <w:shd w:val="clear" w:color="auto" w:fill="auto"/>
            <w:vAlign w:val="center"/>
          </w:tcPr>
          <w:p>
            <w:pPr>
              <w:pStyle w:val="50"/>
              <w:spacing w:before="173"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剪刀</w:t>
            </w:r>
          </w:p>
        </w:tc>
        <w:tc>
          <w:tcPr>
            <w:tcW w:w="3777" w:type="dxa"/>
            <w:shd w:val="clear" w:color="auto" w:fill="auto"/>
            <w:vAlign w:val="center"/>
          </w:tcPr>
          <w:p>
            <w:pPr>
              <w:pStyle w:val="50"/>
              <w:spacing w:before="173" w:line="240" w:lineRule="auto"/>
              <w:ind w:right="1" w:right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常规</w:t>
            </w:r>
          </w:p>
        </w:tc>
        <w:tc>
          <w:tcPr>
            <w:tcW w:w="1276" w:type="dxa"/>
            <w:shd w:val="clear" w:color="auto" w:fill="auto"/>
            <w:vAlign w:val="center"/>
          </w:tcPr>
          <w:p>
            <w:pPr>
              <w:pStyle w:val="50"/>
              <w:spacing w:before="173" w:line="240" w:lineRule="auto"/>
              <w:ind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3261"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小双头记号笔</w:t>
            </w:r>
          </w:p>
        </w:tc>
        <w:tc>
          <w:tcPr>
            <w:tcW w:w="3777"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油性</w:t>
            </w:r>
          </w:p>
        </w:tc>
        <w:tc>
          <w:tcPr>
            <w:tcW w:w="1276"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3261"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U 型垫片</w:t>
            </w:r>
          </w:p>
        </w:tc>
        <w:tc>
          <w:tcPr>
            <w:tcW w:w="3777"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0.20×50×50mm 304不锈钢</w:t>
            </w:r>
          </w:p>
        </w:tc>
        <w:tc>
          <w:tcPr>
            <w:tcW w:w="1276"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4片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3261"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U 型垫片</w:t>
            </w:r>
          </w:p>
        </w:tc>
        <w:tc>
          <w:tcPr>
            <w:tcW w:w="3777"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0.40×50×50mm 304不锈钢</w:t>
            </w:r>
          </w:p>
        </w:tc>
        <w:tc>
          <w:tcPr>
            <w:tcW w:w="1276"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4片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3261"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U 型垫片</w:t>
            </w:r>
          </w:p>
        </w:tc>
        <w:tc>
          <w:tcPr>
            <w:tcW w:w="3777"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0.50×50×50mm 304不锈钢</w:t>
            </w:r>
          </w:p>
        </w:tc>
        <w:tc>
          <w:tcPr>
            <w:tcW w:w="1276"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4片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3261" w:type="dxa"/>
            <w:shd w:val="clear" w:color="auto" w:fill="auto"/>
            <w:vAlign w:val="center"/>
          </w:tcPr>
          <w:p>
            <w:pPr>
              <w:pStyle w:val="50"/>
              <w:spacing w:line="280" w:lineRule="exact"/>
              <w:ind w:left="440" w:leftChars="0" w:right="197" w:rightChars="0" w:hanging="240" w:firstLine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可调式圆螺母扳手</w:t>
            </w:r>
          </w:p>
        </w:tc>
        <w:tc>
          <w:tcPr>
            <w:tcW w:w="3777" w:type="dxa"/>
            <w:shd w:val="clear" w:color="auto" w:fill="auto"/>
            <w:vAlign w:val="center"/>
          </w:tcPr>
          <w:p>
            <w:pPr>
              <w:pStyle w:val="50"/>
              <w:spacing w:before="191" w:line="213" w:lineRule="auto"/>
              <w:ind w:left="124" w:leftChars="0" w:right="123"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总长161mm 小圆柱直径5mm 小圆柱高度8mm 最小间距7mm</w:t>
            </w:r>
          </w:p>
        </w:tc>
        <w:tc>
          <w:tcPr>
            <w:tcW w:w="1276" w:type="dxa"/>
            <w:shd w:val="clear" w:color="auto" w:fill="auto"/>
            <w:vAlign w:val="center"/>
          </w:tcPr>
          <w:p>
            <w:pPr>
              <w:pStyle w:val="50"/>
              <w:spacing w:before="167" w:line="240" w:lineRule="auto"/>
              <w:ind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3261"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勾扳手</w:t>
            </w:r>
          </w:p>
        </w:tc>
        <w:tc>
          <w:tcPr>
            <w:tcW w:w="3777" w:type="dxa"/>
            <w:shd w:val="clear" w:color="auto" w:fill="auto"/>
            <w:vAlign w:val="center"/>
          </w:tcPr>
          <w:p>
            <w:pPr>
              <w:pStyle w:val="50"/>
              <w:spacing w:line="240" w:lineRule="auto"/>
              <w:ind w:right="0" w:rightChars="0"/>
              <w:jc w:val="center"/>
              <w:rPr>
                <w:rFonts w:hint="eastAsia" w:ascii="仿宋" w:hAnsi="仿宋" w:eastAsia="仿宋" w:cs="仿宋"/>
                <w:kern w:val="2"/>
                <w:sz w:val="21"/>
                <w:szCs w:val="21"/>
                <w:lang w:val="en-US" w:eastAsia="zh-CN" w:bidi="ar-SA"/>
              </w:rPr>
            </w:pPr>
            <w:r>
              <w:rPr>
                <w:rFonts w:ascii="仿宋"/>
                <w:sz w:val="21"/>
                <w:szCs w:val="21"/>
              </w:rPr>
              <w:t>78-85</w:t>
            </w:r>
          </w:p>
        </w:tc>
        <w:tc>
          <w:tcPr>
            <w:tcW w:w="1276" w:type="dxa"/>
            <w:shd w:val="clear" w:color="auto" w:fill="auto"/>
            <w:vAlign w:val="center"/>
          </w:tcPr>
          <w:p>
            <w:pPr>
              <w:pStyle w:val="50"/>
              <w:spacing w:line="240" w:lineRule="auto"/>
              <w:ind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3261"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磁性表座</w:t>
            </w:r>
          </w:p>
        </w:tc>
        <w:tc>
          <w:tcPr>
            <w:tcW w:w="3777" w:type="dxa"/>
            <w:shd w:val="clear" w:color="auto" w:fill="auto"/>
            <w:vAlign w:val="center"/>
          </w:tcPr>
          <w:p>
            <w:pPr>
              <w:jc w:val="center"/>
              <w:rPr>
                <w:rFonts w:hint="eastAsia" w:ascii="Times New Roman" w:hAnsi="Times New Roman" w:eastAsia="等线" w:cs="Times New Roman"/>
                <w:kern w:val="2"/>
                <w:sz w:val="21"/>
                <w:szCs w:val="21"/>
                <w:lang w:val="en-US" w:eastAsia="zh-CN" w:bidi="ar-SA"/>
              </w:rPr>
            </w:pPr>
            <w:r>
              <w:rPr>
                <w:rFonts w:hint="eastAsia" w:cs="Times New Roman"/>
                <w:kern w:val="2"/>
                <w:sz w:val="21"/>
                <w:szCs w:val="21"/>
                <w:lang w:val="en-US" w:eastAsia="zh-CN" w:bidi="ar-SA"/>
              </w:rPr>
              <w:t>/</w:t>
            </w:r>
          </w:p>
        </w:tc>
        <w:tc>
          <w:tcPr>
            <w:tcW w:w="1276" w:type="dxa"/>
            <w:shd w:val="clear" w:color="auto" w:fill="auto"/>
            <w:vAlign w:val="center"/>
          </w:tcPr>
          <w:p>
            <w:pPr>
              <w:pStyle w:val="50"/>
              <w:spacing w:line="240" w:lineRule="auto"/>
              <w:ind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3261"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杠杆百分表</w:t>
            </w:r>
          </w:p>
        </w:tc>
        <w:tc>
          <w:tcPr>
            <w:tcW w:w="3777" w:type="dxa"/>
            <w:shd w:val="clear" w:color="auto" w:fill="auto"/>
            <w:vAlign w:val="center"/>
          </w:tcPr>
          <w:p>
            <w:pPr>
              <w:pStyle w:val="50"/>
              <w:spacing w:line="240" w:lineRule="auto"/>
              <w:ind w:right="423" w:rightChars="0"/>
              <w:jc w:val="center"/>
              <w:rPr>
                <w:rFonts w:hint="eastAsia" w:ascii="仿宋" w:hAnsi="仿宋" w:eastAsia="仿宋" w:cs="仿宋"/>
                <w:kern w:val="2"/>
                <w:sz w:val="21"/>
                <w:szCs w:val="21"/>
                <w:lang w:val="en-US" w:eastAsia="zh-CN" w:bidi="ar-SA"/>
              </w:rPr>
            </w:pPr>
            <w:r>
              <w:rPr>
                <w:rFonts w:ascii="仿宋"/>
                <w:sz w:val="21"/>
                <w:szCs w:val="21"/>
              </w:rPr>
              <w:t>0-0.8mm</w:t>
            </w:r>
          </w:p>
        </w:tc>
        <w:tc>
          <w:tcPr>
            <w:tcW w:w="1276" w:type="dxa"/>
            <w:shd w:val="clear" w:color="auto" w:fill="auto"/>
            <w:vAlign w:val="center"/>
          </w:tcPr>
          <w:p>
            <w:pPr>
              <w:pStyle w:val="50"/>
              <w:spacing w:line="240" w:lineRule="auto"/>
              <w:ind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3261" w:type="dxa"/>
            <w:shd w:val="clear" w:color="auto" w:fill="auto"/>
            <w:vAlign w:val="center"/>
          </w:tcPr>
          <w:p>
            <w:pPr>
              <w:pStyle w:val="50"/>
              <w:spacing w:line="280" w:lineRule="exact"/>
              <w:ind w:left="560" w:leftChars="0" w:right="197" w:rightChars="0" w:hanging="360" w:firstLine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百分表（平 头）</w:t>
            </w:r>
          </w:p>
        </w:tc>
        <w:tc>
          <w:tcPr>
            <w:tcW w:w="3777" w:type="dxa"/>
            <w:shd w:val="clear" w:color="auto" w:fill="auto"/>
            <w:vAlign w:val="center"/>
          </w:tcPr>
          <w:p>
            <w:pPr>
              <w:pStyle w:val="50"/>
              <w:spacing w:line="240" w:lineRule="auto"/>
              <w:ind w:right="483" w:rightChars="0"/>
              <w:jc w:val="center"/>
              <w:rPr>
                <w:rFonts w:hint="eastAsia" w:ascii="仿宋" w:hAnsi="仿宋" w:eastAsia="仿宋" w:cs="仿宋"/>
                <w:kern w:val="2"/>
                <w:sz w:val="21"/>
                <w:szCs w:val="21"/>
                <w:lang w:val="en-US" w:eastAsia="zh-CN" w:bidi="ar-SA"/>
              </w:rPr>
            </w:pPr>
            <w:r>
              <w:rPr>
                <w:rFonts w:ascii="仿宋"/>
                <w:sz w:val="21"/>
                <w:szCs w:val="21"/>
              </w:rPr>
              <w:t>0-10mm</w:t>
            </w:r>
          </w:p>
        </w:tc>
        <w:tc>
          <w:tcPr>
            <w:tcW w:w="1276" w:type="dxa"/>
            <w:shd w:val="clear" w:color="auto" w:fill="auto"/>
            <w:vAlign w:val="center"/>
          </w:tcPr>
          <w:p>
            <w:pPr>
              <w:pStyle w:val="50"/>
              <w:spacing w:line="240" w:lineRule="auto"/>
              <w:ind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3261"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杠杆千分表</w:t>
            </w:r>
          </w:p>
        </w:tc>
        <w:tc>
          <w:tcPr>
            <w:tcW w:w="3777" w:type="dxa"/>
            <w:shd w:val="clear" w:color="auto" w:fill="auto"/>
            <w:vAlign w:val="center"/>
          </w:tcPr>
          <w:p>
            <w:pPr>
              <w:pStyle w:val="50"/>
              <w:spacing w:line="240" w:lineRule="auto"/>
              <w:ind w:right="423" w:rightChars="0"/>
              <w:jc w:val="center"/>
              <w:rPr>
                <w:rFonts w:hint="eastAsia" w:ascii="仿宋" w:hAnsi="仿宋" w:eastAsia="仿宋" w:cs="仿宋"/>
                <w:kern w:val="2"/>
                <w:sz w:val="21"/>
                <w:szCs w:val="21"/>
                <w:lang w:val="en-US" w:eastAsia="zh-CN" w:bidi="ar-SA"/>
              </w:rPr>
            </w:pPr>
            <w:r>
              <w:rPr>
                <w:rFonts w:ascii="仿宋"/>
                <w:sz w:val="21"/>
                <w:szCs w:val="21"/>
              </w:rPr>
              <w:t>0-0.2mm</w:t>
            </w:r>
          </w:p>
        </w:tc>
        <w:tc>
          <w:tcPr>
            <w:tcW w:w="1276" w:type="dxa"/>
            <w:shd w:val="clear" w:color="auto" w:fill="auto"/>
            <w:vAlign w:val="center"/>
          </w:tcPr>
          <w:p>
            <w:pPr>
              <w:pStyle w:val="50"/>
              <w:spacing w:line="240" w:lineRule="auto"/>
              <w:ind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3261"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深度尺</w:t>
            </w:r>
          </w:p>
        </w:tc>
        <w:tc>
          <w:tcPr>
            <w:tcW w:w="3777" w:type="dxa"/>
            <w:shd w:val="clear" w:color="auto" w:fill="auto"/>
            <w:vAlign w:val="center"/>
          </w:tcPr>
          <w:p>
            <w:pPr>
              <w:pStyle w:val="50"/>
              <w:spacing w:line="240" w:lineRule="auto"/>
              <w:ind w:right="423" w:rightChars="0"/>
              <w:jc w:val="center"/>
              <w:rPr>
                <w:rFonts w:hint="default" w:ascii="仿宋" w:hAnsi="仿宋" w:eastAsia="仿宋" w:cs="仿宋"/>
                <w:kern w:val="2"/>
                <w:sz w:val="21"/>
                <w:szCs w:val="21"/>
                <w:lang w:val="en-US" w:eastAsia="zh-CN" w:bidi="ar-SA"/>
              </w:rPr>
            </w:pPr>
            <w:r>
              <w:rPr>
                <w:rFonts w:ascii="仿宋"/>
                <w:sz w:val="21"/>
                <w:szCs w:val="21"/>
              </w:rPr>
              <w:t>0-150mm</w:t>
            </w:r>
          </w:p>
        </w:tc>
        <w:tc>
          <w:tcPr>
            <w:tcW w:w="1276" w:type="dxa"/>
            <w:shd w:val="clear" w:color="auto" w:fill="auto"/>
            <w:vAlign w:val="center"/>
          </w:tcPr>
          <w:p>
            <w:pPr>
              <w:pStyle w:val="50"/>
              <w:spacing w:line="240" w:lineRule="auto"/>
              <w:ind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c>
          <w:tcPr>
            <w:tcW w:w="3261"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内六角扳手（组套）</w:t>
            </w:r>
          </w:p>
        </w:tc>
        <w:tc>
          <w:tcPr>
            <w:tcW w:w="3777"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BM-C9(9PC 球头加长镀铬)</w:t>
            </w:r>
          </w:p>
        </w:tc>
        <w:tc>
          <w:tcPr>
            <w:tcW w:w="1276"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w:t>
            </w:r>
          </w:p>
        </w:tc>
        <w:tc>
          <w:tcPr>
            <w:tcW w:w="3261"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一字微型钟表螺丝刀</w:t>
            </w:r>
          </w:p>
        </w:tc>
        <w:tc>
          <w:tcPr>
            <w:tcW w:w="3777"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微型</w:t>
            </w:r>
          </w:p>
        </w:tc>
        <w:tc>
          <w:tcPr>
            <w:tcW w:w="1276"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c>
          <w:tcPr>
            <w:tcW w:w="3261"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安全帽</w:t>
            </w:r>
          </w:p>
        </w:tc>
        <w:tc>
          <w:tcPr>
            <w:tcW w:w="3777"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黄色</w:t>
            </w:r>
          </w:p>
        </w:tc>
        <w:tc>
          <w:tcPr>
            <w:tcW w:w="1276"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w:t>
            </w:r>
          </w:p>
        </w:tc>
        <w:tc>
          <w:tcPr>
            <w:tcW w:w="3261"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工具车</w:t>
            </w:r>
          </w:p>
        </w:tc>
        <w:tc>
          <w:tcPr>
            <w:tcW w:w="3777" w:type="dxa"/>
            <w:shd w:val="clear" w:color="auto" w:fill="auto"/>
            <w:vAlign w:val="center"/>
          </w:tcPr>
          <w:p>
            <w:pPr>
              <w:pStyle w:val="50"/>
              <w:spacing w:line="240" w:lineRule="auto"/>
              <w:ind w:left="1" w:leftChars="0" w:right="0" w:rightChars="0"/>
              <w:jc w:val="center"/>
              <w:rPr>
                <w:rFonts w:hint="default" w:ascii="仿宋" w:hAnsi="仿宋" w:eastAsia="仿宋" w:cs="仿宋"/>
                <w:sz w:val="21"/>
                <w:szCs w:val="21"/>
              </w:rPr>
            </w:pPr>
          </w:p>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p>
        </w:tc>
        <w:tc>
          <w:tcPr>
            <w:tcW w:w="1276" w:type="dxa"/>
            <w:shd w:val="clear" w:color="auto" w:fill="auto"/>
            <w:vAlign w:val="center"/>
          </w:tcPr>
          <w:p>
            <w:pPr>
              <w:pStyle w:val="50"/>
              <w:spacing w:line="240" w:lineRule="auto"/>
              <w:ind w:left="1" w:leftChars="0" w:right="0" w:rightChars="0"/>
              <w:jc w:val="center"/>
              <w:rPr>
                <w:rFonts w:hint="eastAsia" w:ascii="仿宋" w:hAnsi="仿宋" w:eastAsia="仿宋" w:cs="仿宋"/>
                <w:kern w:val="2"/>
                <w:sz w:val="21"/>
                <w:szCs w:val="21"/>
                <w:lang w:val="en-US" w:eastAsia="zh-CN" w:bidi="ar-SA"/>
              </w:rPr>
            </w:pPr>
            <w:r>
              <w:rPr>
                <w:rFonts w:hint="default" w:ascii="仿宋" w:hAnsi="仿宋" w:eastAsia="仿宋" w:cs="仿宋"/>
                <w:sz w:val="21"/>
                <w:szCs w:val="21"/>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27</w:t>
            </w:r>
          </w:p>
        </w:tc>
        <w:tc>
          <w:tcPr>
            <w:tcW w:w="326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default" w:ascii="仿宋" w:hAnsi="仿宋" w:eastAsia="仿宋" w:cs="仿宋"/>
                <w:sz w:val="21"/>
                <w:szCs w:val="21"/>
              </w:rPr>
              <w:t>预置式扭力扳手</w:t>
            </w:r>
          </w:p>
        </w:tc>
        <w:tc>
          <w:tcPr>
            <w:tcW w:w="5053"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default" w:ascii="仿宋" w:hAnsi="仿宋" w:eastAsia="仿宋" w:cs="仿宋"/>
                <w:sz w:val="21"/>
                <w:szCs w:val="21"/>
              </w:rPr>
              <w:t>全赛场</w:t>
            </w:r>
            <w:r>
              <w:rPr>
                <w:rFonts w:hint="eastAsia" w:ascii="仿宋" w:hAnsi="仿宋" w:eastAsia="仿宋" w:cs="仿宋"/>
                <w:sz w:val="21"/>
                <w:szCs w:val="21"/>
                <w:lang w:val="en-US" w:eastAsia="zh-CN"/>
              </w:rPr>
              <w:t>2</w:t>
            </w:r>
            <w:r>
              <w:rPr>
                <w:rFonts w:hint="default" w:ascii="仿宋" w:hAnsi="仿宋" w:eastAsia="仿宋" w:cs="仿宋"/>
                <w:sz w:val="21"/>
                <w:szCs w:val="21"/>
              </w:rPr>
              <w:t>把公用</w:t>
            </w:r>
          </w:p>
        </w:tc>
      </w:tr>
    </w:tbl>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37" w:name="_Toc477270905"/>
      <w:r>
        <w:rPr>
          <w:rFonts w:hint="eastAsia" w:ascii="楷体_GB2312" w:hAnsi="楷体_GB2312" w:eastAsia="楷体_GB2312" w:cs="楷体_GB2312"/>
          <w:sz w:val="30"/>
          <w:szCs w:val="30"/>
          <w:lang w:val="en-US" w:eastAsia="zh-CN"/>
        </w:rPr>
        <w:t>（七）主要耗材</w:t>
      </w:r>
      <w:bookmarkEnd w:id="37"/>
      <w:r>
        <w:rPr>
          <w:rFonts w:hint="eastAsia" w:ascii="楷体_GB2312" w:hAnsi="楷体_GB2312" w:eastAsia="楷体_GB2312" w:cs="楷体_GB2312"/>
          <w:sz w:val="30"/>
          <w:szCs w:val="30"/>
          <w:lang w:val="en-US" w:eastAsia="zh-CN"/>
        </w:rPr>
        <w:t>（赛场提供）</w:t>
      </w:r>
    </w:p>
    <w:p>
      <w:pPr>
        <w:pageBreakBefore w:val="0"/>
        <w:widowControl w:val="0"/>
        <w:kinsoku/>
        <w:overflowPunct/>
        <w:topLinePunct w:val="0"/>
        <w:bidi w:val="0"/>
        <w:spacing w:line="600" w:lineRule="exact"/>
        <w:jc w:val="center"/>
        <w:textAlignment w:val="auto"/>
        <w:rPr>
          <w:rFonts w:ascii="仿宋" w:hAnsi="仿宋" w:eastAsia="仿宋" w:cs="仿宋_GB2312"/>
          <w:bCs/>
          <w:sz w:val="28"/>
          <w:szCs w:val="28"/>
        </w:rPr>
      </w:pPr>
      <w:r>
        <w:rPr>
          <w:rFonts w:hint="eastAsia" w:ascii="黑体" w:hAnsi="黑体" w:eastAsia="黑体" w:cs="黑体"/>
          <w:sz w:val="24"/>
        </w:rPr>
        <w:t>表1</w:t>
      </w:r>
      <w:r>
        <w:rPr>
          <w:rFonts w:hint="eastAsia" w:ascii="黑体" w:hAnsi="黑体" w:eastAsia="黑体" w:cs="黑体"/>
          <w:sz w:val="24"/>
          <w:lang w:val="en-US" w:eastAsia="zh-CN"/>
        </w:rPr>
        <w:t>1</w:t>
      </w:r>
      <w:r>
        <w:rPr>
          <w:rFonts w:hint="eastAsia" w:ascii="黑体" w:hAnsi="黑体" w:eastAsia="黑体" w:cs="黑体"/>
          <w:sz w:val="24"/>
        </w:rPr>
        <w:t>-</w:t>
      </w:r>
      <w:r>
        <w:rPr>
          <w:rFonts w:hint="eastAsia" w:ascii="黑体" w:hAnsi="黑体" w:eastAsia="黑体" w:cs="黑体"/>
          <w:sz w:val="24"/>
          <w:lang w:val="en-US" w:eastAsia="zh-CN"/>
        </w:rPr>
        <w:t>6</w:t>
      </w:r>
      <w:r>
        <w:rPr>
          <w:rFonts w:hint="eastAsia" w:ascii="黑体" w:hAnsi="黑体" w:eastAsia="黑体" w:cs="黑体"/>
          <w:sz w:val="24"/>
        </w:rPr>
        <w:t xml:space="preserve"> 赛场提供的主要耗材表</w:t>
      </w:r>
    </w:p>
    <w:tbl>
      <w:tblPr>
        <w:tblStyle w:val="23"/>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5"/>
        <w:gridCol w:w="3119"/>
        <w:gridCol w:w="38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 w:val="0"/>
                <w:bCs/>
                <w:sz w:val="21"/>
                <w:szCs w:val="21"/>
              </w:rPr>
            </w:pPr>
            <w:r>
              <w:rPr>
                <w:rFonts w:hint="eastAsia" w:ascii="黑体" w:hAnsi="黑体" w:eastAsia="黑体" w:cs="黑体"/>
                <w:b w:val="0"/>
                <w:bCs/>
                <w:sz w:val="21"/>
                <w:szCs w:val="21"/>
              </w:rPr>
              <w:t>名称</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 w:val="0"/>
                <w:bCs/>
                <w:sz w:val="21"/>
                <w:szCs w:val="21"/>
              </w:rPr>
            </w:pPr>
            <w:r>
              <w:rPr>
                <w:rFonts w:hint="eastAsia" w:ascii="黑体" w:hAnsi="黑体" w:eastAsia="黑体" w:cs="黑体"/>
                <w:b w:val="0"/>
                <w:bCs/>
                <w:sz w:val="21"/>
                <w:szCs w:val="21"/>
              </w:rPr>
              <w:t>型号</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 w:val="0"/>
                <w:bCs/>
                <w:sz w:val="21"/>
                <w:szCs w:val="21"/>
              </w:rPr>
            </w:pPr>
            <w:r>
              <w:rPr>
                <w:rFonts w:hint="eastAsia" w:ascii="黑体" w:hAnsi="黑体" w:eastAsia="黑体" w:cs="黑体"/>
                <w:b w:val="0"/>
                <w:bCs/>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过载保护器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DZ108-20/111</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漏电保护</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DZ47LE-32 D型 3P+N 16A</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熔断器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正泰 RT28N-32</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塑壳断路器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德力西 DZ108-32/10</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5</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断路器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DZ47-60 D型2P10A</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6</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断路器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DZ47-60 C型1P5A</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7</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开关电源</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 xml:space="preserve">YL-005 24V </w:t>
            </w:r>
            <w:r>
              <w:rPr>
                <w:rFonts w:hint="default" w:ascii="仿宋_GB2312" w:hAnsi="仿宋_GB2312" w:eastAsia="仿宋_GB2312" w:cs="仿宋_GB2312"/>
                <w:sz w:val="21"/>
                <w:szCs w:val="21"/>
                <w:lang w:val="en-US" w:eastAsia="zh-CN"/>
              </w:rPr>
              <w:t>1.5A，±12V 1A</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8</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热继电器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正泰</w:t>
            </w:r>
            <w:r>
              <w:rPr>
                <w:rFonts w:hint="eastAsia" w:ascii="仿宋_GB2312" w:hAnsi="仿宋_GB2312" w:eastAsia="仿宋_GB2312" w:cs="仿宋_GB2312"/>
                <w:sz w:val="21"/>
                <w:szCs w:val="21"/>
                <w:lang w:val="en-US" w:eastAsia="zh-CN"/>
              </w:rPr>
              <w:t>NR2-25 0.25-0.4A</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9</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交流接触器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LD1D06105N 220V</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10</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辅助触头</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LA1DN22N</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11</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单相灭弧器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630V 0.1</w:t>
            </w:r>
            <w:r>
              <w:rPr>
                <w:rFonts w:ascii="仿宋"/>
                <w:sz w:val="21"/>
                <w:szCs w:val="21"/>
              </w:rPr>
              <w:t>uF</w:t>
            </w:r>
            <w:r>
              <w:rPr>
                <w:rFonts w:hint="eastAsia" w:ascii="仿宋"/>
                <w:sz w:val="21"/>
                <w:szCs w:val="21"/>
                <w:lang w:val="en-US" w:eastAsia="zh-CN"/>
              </w:rPr>
              <w:t xml:space="preserve"> </w:t>
            </w:r>
            <w:r>
              <w:rPr>
                <w:rFonts w:hint="eastAsia" w:ascii="仿宋_GB2312" w:hAnsi="仿宋_GB2312" w:eastAsia="仿宋_GB2312" w:cs="仿宋_GB2312"/>
                <w:sz w:val="21"/>
                <w:szCs w:val="21"/>
                <w:lang w:val="en-US" w:eastAsia="zh-CN"/>
              </w:rPr>
              <w:t>200</w:t>
            </w:r>
            <w:r>
              <w:rPr>
                <w:rFonts w:ascii="仿宋" w:hAnsi="仿宋"/>
                <w:sz w:val="21"/>
                <w:szCs w:val="21"/>
              </w:rPr>
              <w:t>Ω</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12</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三相灭弧器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630V 0.56</w:t>
            </w:r>
            <w:r>
              <w:rPr>
                <w:rFonts w:ascii="仿宋"/>
                <w:sz w:val="21"/>
                <w:szCs w:val="21"/>
              </w:rPr>
              <w:t>uF</w:t>
            </w:r>
            <w:r>
              <w:rPr>
                <w:rFonts w:hint="eastAsia" w:ascii="仿宋"/>
                <w:sz w:val="21"/>
                <w:szCs w:val="21"/>
                <w:lang w:val="en-US" w:eastAsia="zh-CN"/>
              </w:rPr>
              <w:t xml:space="preserve"> </w:t>
            </w:r>
            <w:r>
              <w:rPr>
                <w:rFonts w:hint="eastAsia" w:ascii="仿宋_GB2312" w:hAnsi="仿宋_GB2312" w:eastAsia="仿宋_GB2312" w:cs="仿宋_GB2312"/>
                <w:sz w:val="21"/>
                <w:szCs w:val="21"/>
                <w:lang w:val="en-US" w:eastAsia="zh-CN"/>
              </w:rPr>
              <w:t>150</w:t>
            </w:r>
            <w:r>
              <w:rPr>
                <w:rFonts w:ascii="仿宋" w:hAnsi="仿宋"/>
                <w:sz w:val="21"/>
                <w:szCs w:val="21"/>
              </w:rPr>
              <w:t>Ω</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13</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电路板2009 194</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PCB2009 194</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1块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14</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控制单元</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YL-Z-17</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default" w:ascii="仿宋_GB2312" w:hAnsi="仿宋_GB2312" w:eastAsia="仿宋_GB2312" w:cs="仿宋_GB2312"/>
                <w:sz w:val="21"/>
                <w:szCs w:val="21"/>
                <w:lang w:val="en-US" w:eastAsia="zh-CN"/>
              </w:rPr>
              <w:t>1块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15</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三相异步电动机</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YS5014</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16</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多芯软铜线</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RV0.75mm黑</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17</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多芯软铜线</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RV0.75mm红</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多芯软铜线</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RV0.75mm蓝</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19</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多芯软铜线</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RV0.75mm白</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接地线</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RV1.5mm黄绿线</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21</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绝缘端子</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QE1008压0.75线</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22</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冷压端子</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SV2-4压2.5线</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冷压端子</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SV1.25-4压0.75线</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扎带</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150黑色</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100条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号码管</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φ3.5（空白）</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号码管</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φ5.5（空白）</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27</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端子排</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TBR-10A</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若干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28</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线槽</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5035</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若干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29</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导轨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FL-3514A</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若干</w:t>
            </w:r>
          </w:p>
        </w:tc>
      </w:tr>
    </w:tbl>
    <w:p>
      <w:pPr>
        <w:pStyle w:val="53"/>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38" w:name="_Toc477270907"/>
      <w:bookmarkStart w:id="39" w:name="_Toc4287722"/>
      <w:r>
        <w:rPr>
          <w:rFonts w:hint="eastAsia" w:ascii="黑体" w:hAnsi="黑体" w:eastAsia="黑体" w:cs="黑体"/>
          <w:b w:val="0"/>
          <w:bCs/>
          <w:color w:val="000000"/>
          <w:kern w:val="2"/>
          <w:sz w:val="30"/>
          <w:szCs w:val="30"/>
          <w:lang w:val="en-US" w:eastAsia="zh-CN"/>
        </w:rPr>
        <w:t>十二、成绩评定</w:t>
      </w:r>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40" w:name="_Toc477270908"/>
      <w:r>
        <w:rPr>
          <w:rFonts w:hint="eastAsia" w:ascii="楷体_GB2312" w:hAnsi="楷体_GB2312" w:eastAsia="楷体_GB2312" w:cs="楷体_GB2312"/>
          <w:sz w:val="30"/>
          <w:szCs w:val="30"/>
          <w:lang w:val="en-US" w:eastAsia="zh-CN"/>
        </w:rPr>
        <w:t>（一）评分标准</w:t>
      </w:r>
      <w:bookmarkEnd w:id="4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项目评分依据参赛队完成工作任务的情况</w:t>
      </w:r>
    </w:p>
    <w:p>
      <w:pPr>
        <w:pStyle w:val="3"/>
        <w:keepNext w:val="0"/>
        <w:keepLines w:val="0"/>
        <w:pageBreakBefore w:val="0"/>
        <w:widowControl w:val="0"/>
        <w:kinsoku/>
        <w:wordWrap/>
        <w:overflowPunct/>
        <w:topLinePunct w:val="0"/>
        <w:bidi w:val="0"/>
        <w:snapToGrid/>
        <w:spacing w:line="560" w:lineRule="exact"/>
        <w:ind w:right="108" w:firstLine="561"/>
        <w:jc w:val="both"/>
        <w:textAlignment w:val="auto"/>
        <w:rPr>
          <w:rFonts w:hint="eastAsia" w:ascii="仿宋" w:hAnsi="仿宋" w:eastAsia="仿宋" w:cs="仿宋_GB2312"/>
          <w:bCs/>
          <w:sz w:val="28"/>
          <w:szCs w:val="28"/>
        </w:rPr>
      </w:pPr>
      <w:r>
        <w:rPr>
          <w:rFonts w:hint="eastAsia" w:ascii="仿宋_GB2312" w:hAnsi="仿宋_GB2312" w:eastAsia="仿宋_GB2312" w:cs="仿宋_GB2312"/>
          <w:kern w:val="2"/>
          <w:sz w:val="30"/>
          <w:szCs w:val="30"/>
          <w:lang w:val="en-US" w:eastAsia="zh-CN" w:bidi="ar-SA"/>
        </w:rPr>
        <w:t>在大赛组委会的领导下，专家组制定评分体系，裁判组确定评分细则，本赛项分数配比参照大赛组委会技术文件要求，按照技能大赛技术裁判组制定的考核标准进行评分。评价方式以结果评价为主、过程评价为辅，专设职业素养和安全意识评价，赛项总成绩满分为100分。赛项评分标准见表12-1。</w:t>
      </w:r>
    </w:p>
    <w:p>
      <w:pPr>
        <w:pageBreakBefore w:val="0"/>
        <w:widowControl w:val="0"/>
        <w:kinsoku/>
        <w:overflowPunct/>
        <w:topLinePunct w:val="0"/>
        <w:bidi w:val="0"/>
        <w:adjustRightInd w:val="0"/>
        <w:snapToGrid w:val="0"/>
        <w:spacing w:line="600" w:lineRule="exact"/>
        <w:ind w:firstLine="480" w:firstLineChars="200"/>
        <w:jc w:val="center"/>
        <w:textAlignment w:val="auto"/>
        <w:rPr>
          <w:rFonts w:hint="eastAsia" w:ascii="黑体" w:hAnsi="黑体" w:eastAsia="黑体" w:cs="黑体"/>
          <w:bCs/>
          <w:sz w:val="24"/>
        </w:rPr>
      </w:pPr>
      <w:r>
        <w:rPr>
          <w:rFonts w:hint="eastAsia" w:ascii="黑体" w:hAnsi="黑体" w:eastAsia="黑体" w:cs="黑体"/>
          <w:sz w:val="24"/>
        </w:rPr>
        <w:t>表1</w:t>
      </w:r>
      <w:r>
        <w:rPr>
          <w:rFonts w:hint="eastAsia" w:ascii="黑体" w:hAnsi="黑体" w:eastAsia="黑体" w:cs="黑体"/>
          <w:sz w:val="24"/>
          <w:lang w:val="en-US" w:eastAsia="zh-CN"/>
        </w:rPr>
        <w:t>2</w:t>
      </w:r>
      <w:r>
        <w:rPr>
          <w:rFonts w:hint="eastAsia" w:ascii="黑体" w:hAnsi="黑体" w:eastAsia="黑体" w:cs="黑体"/>
          <w:sz w:val="24"/>
        </w:rPr>
        <w:t>-</w:t>
      </w:r>
      <w:r>
        <w:rPr>
          <w:rFonts w:hint="eastAsia" w:ascii="黑体" w:hAnsi="黑体" w:eastAsia="黑体" w:cs="黑体"/>
          <w:sz w:val="24"/>
          <w:lang w:val="en-US" w:eastAsia="zh-CN"/>
        </w:rPr>
        <w:t>1</w:t>
      </w:r>
      <w:r>
        <w:rPr>
          <w:rFonts w:hint="eastAsia" w:ascii="黑体" w:hAnsi="黑体" w:eastAsia="黑体" w:cs="黑体"/>
          <w:sz w:val="24"/>
        </w:rPr>
        <w:t xml:space="preserve"> </w:t>
      </w:r>
      <w:r>
        <w:rPr>
          <w:rFonts w:hint="eastAsia" w:ascii="黑体" w:hAnsi="黑体" w:eastAsia="黑体" w:cs="黑体"/>
          <w:bCs/>
          <w:sz w:val="24"/>
        </w:rPr>
        <w:t>赛项评分标准</w:t>
      </w:r>
    </w:p>
    <w:tbl>
      <w:tblPr>
        <w:tblStyle w:val="23"/>
        <w:tblW w:w="90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693"/>
        <w:gridCol w:w="3232"/>
        <w:gridCol w:w="2480"/>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color w:val="auto"/>
                <w:sz w:val="21"/>
                <w:szCs w:val="21"/>
              </w:rPr>
            </w:pPr>
            <w:r>
              <w:rPr>
                <w:rFonts w:hint="eastAsia" w:ascii="黑体" w:hAnsi="黑体" w:eastAsia="黑体" w:cs="黑体"/>
                <w:color w:val="auto"/>
                <w:sz w:val="21"/>
                <w:szCs w:val="21"/>
              </w:rPr>
              <w:t>序号</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color w:val="auto"/>
                <w:sz w:val="21"/>
                <w:szCs w:val="21"/>
              </w:rPr>
            </w:pPr>
            <w:r>
              <w:rPr>
                <w:rFonts w:hint="eastAsia" w:ascii="黑体" w:hAnsi="黑体" w:eastAsia="黑体" w:cs="黑体"/>
                <w:color w:val="auto"/>
                <w:sz w:val="21"/>
                <w:szCs w:val="21"/>
              </w:rPr>
              <w:t>评分项目</w:t>
            </w:r>
          </w:p>
        </w:tc>
        <w:tc>
          <w:tcPr>
            <w:tcW w:w="32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color w:val="auto"/>
                <w:sz w:val="21"/>
                <w:szCs w:val="21"/>
              </w:rPr>
            </w:pPr>
            <w:r>
              <w:rPr>
                <w:rFonts w:hint="eastAsia" w:ascii="黑体" w:hAnsi="黑体" w:eastAsia="黑体" w:cs="黑体"/>
                <w:color w:val="auto"/>
                <w:sz w:val="21"/>
                <w:szCs w:val="21"/>
              </w:rPr>
              <w:t>知识、技能点</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color w:val="auto"/>
                <w:sz w:val="21"/>
                <w:szCs w:val="21"/>
              </w:rPr>
            </w:pPr>
            <w:r>
              <w:rPr>
                <w:rFonts w:hint="eastAsia" w:ascii="黑体" w:hAnsi="黑体" w:eastAsia="黑体" w:cs="黑体"/>
                <w:color w:val="auto"/>
                <w:sz w:val="21"/>
                <w:szCs w:val="21"/>
              </w:rPr>
              <w:t>评定方法</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color w:val="auto"/>
                <w:sz w:val="21"/>
                <w:szCs w:val="21"/>
              </w:rPr>
            </w:pPr>
            <w:r>
              <w:rPr>
                <w:rFonts w:hint="eastAsia" w:ascii="黑体" w:hAnsi="黑体" w:eastAsia="黑体" w:cs="黑体"/>
                <w:color w:val="auto"/>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olor w:val="auto"/>
                <w:sz w:val="21"/>
                <w:szCs w:val="21"/>
                <w:lang w:val="en-US" w:eastAsia="zh-CN"/>
              </w:rPr>
            </w:pPr>
            <w:r>
              <w:rPr>
                <w:rFonts w:hint="eastAsia" w:ascii="仿宋" w:hAnsi="仿宋" w:eastAsia="仿宋"/>
                <w:color w:val="auto"/>
                <w:sz w:val="21"/>
                <w:szCs w:val="21"/>
              </w:rPr>
              <w:t>1</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仿宋" w:hAnsi="仿宋" w:eastAsia="仿宋"/>
                <w:color w:val="auto"/>
                <w:sz w:val="21"/>
                <w:szCs w:val="21"/>
              </w:rPr>
            </w:pPr>
            <w:r>
              <w:rPr>
                <w:rFonts w:hint="default" w:ascii="仿宋" w:hAnsi="仿宋" w:eastAsia="仿宋"/>
                <w:color w:val="auto"/>
                <w:sz w:val="21"/>
                <w:szCs w:val="21"/>
              </w:rPr>
              <w:t>数控机床电气</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控制装置与调试</w:t>
            </w:r>
          </w:p>
        </w:tc>
        <w:tc>
          <w:tcPr>
            <w:tcW w:w="32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olor w:val="auto"/>
                <w:sz w:val="21"/>
                <w:szCs w:val="21"/>
                <w:lang w:val="en-US" w:eastAsia="zh-CN"/>
              </w:rPr>
            </w:pPr>
            <w:r>
              <w:rPr>
                <w:rFonts w:hint="eastAsia" w:ascii="仿宋_GB2312" w:hAnsi="仿宋_GB2312" w:eastAsia="仿宋_GB2312" w:cs="仿宋_GB2312"/>
                <w:kern w:val="2"/>
                <w:sz w:val="21"/>
                <w:szCs w:val="21"/>
                <w:lang w:val="en-US" w:eastAsia="zh-CN" w:bidi="ar-SA"/>
              </w:rPr>
              <w:t>数控机床电气系统、电器与电路安装、数控机床PLC调试。</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根据选手完成情况</w:t>
            </w:r>
            <w:r>
              <w:rPr>
                <w:rFonts w:hint="default" w:ascii="仿宋" w:hAnsi="仿宋" w:eastAsia="仿宋"/>
                <w:color w:val="auto"/>
                <w:sz w:val="21"/>
                <w:szCs w:val="21"/>
              </w:rPr>
              <w:t>按照评分细则现场给分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1</w:t>
            </w:r>
            <w:r>
              <w:rPr>
                <w:rFonts w:hint="eastAsia" w:ascii="仿宋_GB2312" w:hAnsi="仿宋_GB2312" w:eastAsia="仿宋_GB2312" w:cs="仿宋_GB2312"/>
                <w:kern w:val="2"/>
                <w:sz w:val="21"/>
                <w:szCs w:val="21"/>
                <w:lang w:val="en-US" w:eastAsia="zh-CN" w:bidi="ar-SA"/>
              </w:rPr>
              <w:t>5</w:t>
            </w:r>
            <w:r>
              <w:rPr>
                <w:rFonts w:hint="default" w:ascii="仿宋_GB2312" w:hAnsi="仿宋_GB2312" w:eastAsia="仿宋_GB2312" w:cs="仿宋_GB2312"/>
                <w:kern w:val="2"/>
                <w:sz w:val="21"/>
                <w:szCs w:val="21"/>
                <w:lang w:val="en-US"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olor w:val="auto"/>
                <w:sz w:val="21"/>
                <w:szCs w:val="21"/>
              </w:rPr>
            </w:pPr>
            <w:r>
              <w:rPr>
                <w:rFonts w:hint="eastAsia" w:ascii="仿宋" w:hAnsi="仿宋" w:eastAsia="仿宋"/>
                <w:color w:val="auto"/>
                <w:sz w:val="21"/>
                <w:szCs w:val="21"/>
              </w:rPr>
              <w:t>2</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数控机床故障诊断与排除</w:t>
            </w:r>
          </w:p>
        </w:tc>
        <w:tc>
          <w:tcPr>
            <w:tcW w:w="32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数控机床故障诊断和排除、数控机床功能调试、数控系统报警解除、数控系统电气线路连接。</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 w:hAnsi="仿宋" w:eastAsia="仿宋"/>
                <w:color w:val="auto"/>
                <w:sz w:val="21"/>
                <w:szCs w:val="21"/>
                <w:lang w:val="en-US" w:eastAsia="zh-CN"/>
              </w:rPr>
              <w:t>根据选手完成情况</w:t>
            </w:r>
            <w:r>
              <w:rPr>
                <w:rFonts w:hint="default" w:ascii="仿宋" w:hAnsi="仿宋" w:eastAsia="仿宋"/>
                <w:color w:val="auto"/>
                <w:sz w:val="21"/>
                <w:szCs w:val="21"/>
              </w:rPr>
              <w:t>按照评分细则现场给分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3</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数控机床部件的装配与调试</w:t>
            </w:r>
          </w:p>
        </w:tc>
        <w:tc>
          <w:tcPr>
            <w:tcW w:w="32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仿宋" w:hAnsi="仿宋" w:eastAsia="仿宋" w:cs="仿宋"/>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数控机床机电装配与调试、数控机床主轴装配与检测、机械主轴与电机轴同轴度调整与检测、手夹和机床平口钳安装与调试。</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 w:hAnsi="仿宋" w:eastAsia="仿宋"/>
                <w:color w:val="auto"/>
                <w:sz w:val="21"/>
                <w:szCs w:val="21"/>
                <w:lang w:val="en-US" w:eastAsia="zh-CN"/>
              </w:rPr>
              <w:t>根据选手完成情况</w:t>
            </w:r>
            <w:r>
              <w:rPr>
                <w:rFonts w:hint="default" w:ascii="仿宋" w:hAnsi="仿宋" w:eastAsia="仿宋"/>
                <w:color w:val="auto"/>
                <w:sz w:val="21"/>
                <w:szCs w:val="21"/>
              </w:rPr>
              <w:t>按照评分细则现场给分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4</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数控机床功能开发与调试</w:t>
            </w:r>
          </w:p>
        </w:tc>
        <w:tc>
          <w:tcPr>
            <w:tcW w:w="32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仿宋" w:hAnsi="仿宋" w:eastAsia="仿宋" w:cs="仿宋"/>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数控机床技术改造方案设计、数控系统与服务器的互联互通、</w:t>
            </w:r>
            <w:r>
              <w:rPr>
                <w:rFonts w:hint="eastAsia" w:ascii="仿宋" w:hAnsi="仿宋" w:eastAsia="仿宋" w:cs="Times New Roman"/>
                <w:color w:val="auto"/>
                <w:sz w:val="21"/>
                <w:szCs w:val="21"/>
                <w:lang w:val="en-US" w:eastAsia="zh-CN" w:bidi="ar-SA"/>
              </w:rPr>
              <w:t>完成指定功能的开发</w:t>
            </w:r>
            <w:r>
              <w:rPr>
                <w:rFonts w:hint="eastAsia" w:ascii="仿宋_GB2312" w:hAnsi="仿宋_GB2312" w:eastAsia="仿宋_GB2312" w:cs="仿宋_GB2312"/>
                <w:kern w:val="2"/>
                <w:sz w:val="21"/>
                <w:szCs w:val="21"/>
                <w:lang w:val="en-US" w:eastAsia="zh-CN" w:bidi="ar-SA"/>
              </w:rPr>
              <w:t>。</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 w:hAnsi="仿宋" w:eastAsia="仿宋"/>
                <w:color w:val="auto"/>
                <w:sz w:val="21"/>
                <w:szCs w:val="21"/>
                <w:lang w:val="en-US" w:eastAsia="zh-CN"/>
              </w:rPr>
              <w:t>根据选手完成情况</w:t>
            </w:r>
            <w:r>
              <w:rPr>
                <w:rFonts w:hint="default" w:ascii="仿宋" w:hAnsi="仿宋" w:eastAsia="仿宋"/>
                <w:color w:val="auto"/>
                <w:sz w:val="21"/>
                <w:szCs w:val="21"/>
              </w:rPr>
              <w:t>按照评分细则现场给分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Times New Roman"/>
                <w:color w:val="auto"/>
                <w:kern w:val="2"/>
                <w:sz w:val="21"/>
                <w:szCs w:val="21"/>
                <w:lang w:val="en-US" w:eastAsia="zh-CN" w:bidi="ar-SA"/>
              </w:rPr>
            </w:pPr>
            <w:r>
              <w:rPr>
                <w:rFonts w:hint="eastAsia" w:ascii="仿宋" w:hAnsi="仿宋" w:eastAsia="仿宋"/>
                <w:color w:val="auto"/>
                <w:sz w:val="21"/>
                <w:szCs w:val="21"/>
                <w:lang w:val="en-US" w:eastAsia="zh-CN"/>
              </w:rPr>
              <w:t>5</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零件试加工</w:t>
            </w:r>
          </w:p>
        </w:tc>
        <w:tc>
          <w:tcPr>
            <w:tcW w:w="3232"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数控加工编程与操作、机器人配置和调试、虚拟制造仿真，</w:t>
            </w:r>
            <w:r>
              <w:rPr>
                <w:rFonts w:hint="eastAsia" w:ascii="仿宋" w:hAnsi="仿宋" w:eastAsia="仿宋" w:cs="仿宋"/>
                <w:sz w:val="21"/>
                <w:szCs w:val="21"/>
                <w:lang w:val="en-US" w:eastAsia="zh-CN"/>
              </w:rPr>
              <w:t>实现零件模拟试加工。</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 w:hAnsi="仿宋" w:eastAsia="仿宋"/>
                <w:color w:val="auto"/>
                <w:sz w:val="21"/>
                <w:szCs w:val="21"/>
                <w:lang w:val="en-US" w:eastAsia="zh-CN"/>
              </w:rPr>
              <w:t>根据选手完成情况</w:t>
            </w:r>
            <w:r>
              <w:rPr>
                <w:rFonts w:hint="default" w:ascii="仿宋" w:hAnsi="仿宋" w:eastAsia="仿宋"/>
                <w:color w:val="auto"/>
                <w:sz w:val="21"/>
                <w:szCs w:val="21"/>
              </w:rPr>
              <w:t>按照评分细则现场给分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Times New Roman"/>
                <w:color w:val="auto"/>
                <w:kern w:val="2"/>
                <w:sz w:val="21"/>
                <w:szCs w:val="21"/>
                <w:lang w:val="en-US" w:eastAsia="zh-CN" w:bidi="ar-SA"/>
              </w:rPr>
            </w:pPr>
            <w:r>
              <w:rPr>
                <w:rFonts w:hint="eastAsia" w:ascii="仿宋" w:hAnsi="仿宋" w:eastAsia="仿宋"/>
                <w:color w:val="auto"/>
                <w:sz w:val="21"/>
                <w:szCs w:val="21"/>
                <w:lang w:val="en-US" w:eastAsia="zh-CN"/>
              </w:rPr>
              <w:t>6</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职业素养与安全意识</w:t>
            </w:r>
          </w:p>
        </w:tc>
        <w:tc>
          <w:tcPr>
            <w:tcW w:w="32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包括工作态度、安全意识、职业规范、环境保护等方面。</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 w:hAnsi="仿宋" w:eastAsia="仿宋"/>
                <w:color w:val="auto"/>
                <w:sz w:val="21"/>
                <w:szCs w:val="21"/>
                <w:lang w:val="en-US" w:eastAsia="zh-CN"/>
              </w:rPr>
              <w:t>根据选手完成情况</w:t>
            </w:r>
            <w:r>
              <w:rPr>
                <w:rFonts w:hint="default" w:ascii="仿宋" w:hAnsi="仿宋" w:eastAsia="仿宋"/>
                <w:color w:val="auto"/>
                <w:sz w:val="21"/>
                <w:szCs w:val="21"/>
              </w:rPr>
              <w:t>按照评分细则现场给分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10分</w:t>
            </w: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（二）评分说明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本赛项的成绩评定是以结果评分为主、过程评分为辅。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1.结果评分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结果评分内容——数据结果（参数修改位等）和功能结果（PLC程序完成功能，机床和机器人、夹具实现动作），依据现场操作结果，参照评分标准，裁判核算各个比赛模块的分数。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2.过程评分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过程评分——以主观过程判断为辅（操作规范、安全及环境意识等）依据现场操作结果，参照评分标准评定，最终由裁判核算各个比赛模块的分数。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（三）扣违规分情况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选手有下列情形，需从参赛成绩中扣分：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1.在完成工作任务的过程中，因操作不当导致事故，扣10～20分，情况严重者取消比赛资格。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2.因违规操作损坏赛场提供的设备，污染赛场环境等不符合职业规范的行为，视情节扣5～10分。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3.扰乱赛场秩序，干扰裁判员工作，视情节扣5～10分，情况严重者取消比赛资格。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（四）名次排定及评分细则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按比赛成绩从高分到低分排列参赛选手的名次，最终成绩出现两队（或多队）分数相同的情况，则以竞赛时间短为优先排序。如分数和比赛时间均相同情况下，以任务二“数控机床故障诊断与排除”的得分数排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1.赛项裁判组负责赛项成绩评定工作。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2.本次比赛评分分为现场裁判打分及比赛选手填写</w:t>
      </w:r>
      <w:bookmarkStart w:id="41" w:name="_Hlk509437960"/>
      <w:r>
        <w:rPr>
          <w:rFonts w:hint="eastAsia" w:ascii="仿宋_GB2312" w:hAnsi="仿宋_GB2312" w:eastAsia="仿宋_GB2312" w:cs="仿宋_GB2312"/>
          <w:sz w:val="30"/>
          <w:szCs w:val="30"/>
          <w:lang w:val="en-US" w:eastAsia="zh-CN"/>
        </w:rPr>
        <w:t>赛卷</w:t>
      </w:r>
      <w:bookmarkEnd w:id="41"/>
      <w:r>
        <w:rPr>
          <w:rFonts w:hint="eastAsia" w:ascii="仿宋_GB2312" w:hAnsi="仿宋_GB2312" w:eastAsia="仿宋_GB2312" w:cs="仿宋_GB2312"/>
          <w:sz w:val="30"/>
          <w:szCs w:val="30"/>
          <w:lang w:val="en-US" w:eastAsia="zh-CN"/>
        </w:rPr>
        <w:t>得分，在各环节的比赛中，裁判详细记录比赛现场的选手答题情况。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3.参赛选手根据赛项任务书的要求进行操作，注意操作要求，需要记录的位置要记录在赛卷中，需要裁判确认的位置必须经过裁判的确认，否则不得分。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4.参赛队分阶段提交的比赛结果，即所填写的有关表格；现场裁判员在比赛过程中对参赛队的文明生产、装配工艺情况进行观察和评价，在参赛队结束比赛时完成评分。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5.文明生产评价为扣分项包括工作态度、安全意识、职业规范、环境保护等方面。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6.赛项裁判组本着“公平、公正、公开、科学、规范”的原则，根据裁判的现场记录及选手的赛卷，通过多方面进行综合评价，最终按总评分得分高低，确定参赛队成绩。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7.所有比赛只计团体比赛成绩，不计参赛选手个人成绩。比赛时间为连续3小时，所有工作完成后，经裁判确定，记录结束时间。</w:t>
      </w:r>
    </w:p>
    <w:p>
      <w:pPr>
        <w:pStyle w:val="5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42" w:name="_Toc4287724"/>
      <w:bookmarkStart w:id="43" w:name="_Toc477270911"/>
      <w:r>
        <w:rPr>
          <w:rFonts w:hint="eastAsia" w:ascii="黑体" w:hAnsi="黑体" w:eastAsia="黑体" w:cs="黑体"/>
          <w:b w:val="0"/>
          <w:bCs/>
          <w:color w:val="000000"/>
          <w:kern w:val="2"/>
          <w:sz w:val="30"/>
          <w:szCs w:val="30"/>
          <w:lang w:val="en-US" w:eastAsia="zh-CN"/>
        </w:rPr>
        <w:t>十三、奖项设定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sz w:val="30"/>
          <w:szCs w:val="30"/>
          <w:lang w:val="en-US" w:eastAsia="zh-CN"/>
        </w:rPr>
        <w:t>按照《河南省教育厅办公室关于举办2024年河南省高等职业教育技能大赛的通知》（教办职成〔2024〕331号）文件规定执行。</w:t>
      </w:r>
    </w:p>
    <w:p>
      <w:pPr>
        <w:pStyle w:val="5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r>
        <w:rPr>
          <w:rFonts w:hint="eastAsia" w:ascii="黑体" w:hAnsi="黑体" w:eastAsia="黑体" w:cs="黑体"/>
          <w:b w:val="0"/>
          <w:bCs/>
          <w:color w:val="000000"/>
          <w:kern w:val="2"/>
          <w:sz w:val="30"/>
          <w:szCs w:val="30"/>
          <w:lang w:val="en-US" w:eastAsia="zh-CN"/>
        </w:rPr>
        <w:t>十四、赛项预案</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编制车辆安全措施应急预案、食品安全措施应急预案、火灾安全事故紧急处理预案、伤害事故紧急处理预案、设备事故紧急处理预案，电力供应事故紧急处理预案等。对处理各种可能出现的突发状况进行事先演练，确保赛项顺利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特别是对学生成绩产生影响的计算机卡顿等情况的应急处理措施如下：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1.各赛位配置的计算机安装“冰点还原”或“极速还原”软件。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2.赛场有能力的情况下提供不间断电源。</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3.数控系统备份数据至U盘，以备随时恢复数据。</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4.安全预案参照十五“赛项安全”之（四）“应急处理”。</w:t>
      </w:r>
    </w:p>
    <w:bookmarkEnd w:id="42"/>
    <w:p>
      <w:pPr>
        <w:pStyle w:val="5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44" w:name="_Toc4287725"/>
      <w:r>
        <w:rPr>
          <w:rFonts w:hint="eastAsia" w:ascii="黑体" w:hAnsi="黑体" w:eastAsia="黑体" w:cs="黑体"/>
          <w:b w:val="0"/>
          <w:bCs/>
          <w:color w:val="000000"/>
          <w:kern w:val="2"/>
          <w:sz w:val="30"/>
          <w:szCs w:val="30"/>
          <w:lang w:val="en-US" w:eastAsia="zh-CN"/>
        </w:rPr>
        <w:t>十五、赛项安全</w:t>
      </w:r>
      <w:bookmarkEnd w:id="43"/>
      <w:bookmarkEnd w:id="44"/>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赛事安全是技能竞赛一切工作顺利开展的先决条件，同时落实新冠肺炎疫情防控措施是赛事筹备和运行工作必须考虑的核心问题。采取切实有效措施保证大赛期间参赛选手、指导教师、裁判员、工作人员及观众的人身安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（一）竞赛安全管理要求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1.承办校为赛项第一安全责任人。</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要求排除安全隐患。</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赛场周围要设立警戒线，要求所有参赛人员必须凭印发的有效证件进入场地，防止无关人员进入发生意外事件。比赛现场内应参照相关职业岗位的要求为选手提供必要的劳动保护。在具有危险性的操作环节，裁判员要严防选手出现错误操作。</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4.承办单位应提供保证应急预案实施的条件。对于比赛内容涉及可能有坠物、大用电量、易发生火灾等情况必须明确制度和预案，并配备急救人员与设施。</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5.严格控制与参赛无关的易燃易爆以及各类危险品进入比赛场地，不许随便携带书包进入赛场。</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6.承办单位制定开放赛场和体验区的人员疏导方案。赛场环境中存在人员密集、车流人流交错的区域，除了设置齐全的指示标志外，须增加引导人员，并开辟备用通道。</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7.大赛期间，承办单位须在赛场管理的关键岗位，增加力量，建立安全管理日志。</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8.参赛选手、赛项裁判、工作人员严禁携带通讯、摄录设备和未经许可的记录用具进入比赛区域；如确有需要，由赛项承办单位统一配置，统一管理。赛项可根据需要配置安检设备，对进入赛场重要区域的人员进行安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（二）生活条件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1.比赛期间安排的住宿地应具有宾馆/住宿经营许可资质。以学校宿舍作为住宿地的，大赛期间的住宿、卫生、饮食安全等由提供宿舍的学校负责。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2.大赛期间有组织的参观和观摩活动的交通安全由承办校负责。承办单位须保证比赛期间选手、指导教师和裁判员、工作人员的交通安全。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3.各赛项的安全管理，除了可以采取必要的安全隔离措施外，应严格遵守国家相关法律法规，保护个人隐私和人身自由。</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（三）参赛队责任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w:t>
      </w:r>
      <w:bookmarkStart w:id="45" w:name="_Hlk509431880"/>
      <w:r>
        <w:rPr>
          <w:rFonts w:hint="eastAsia" w:ascii="仿宋_GB2312" w:hAnsi="仿宋_GB2312" w:eastAsia="仿宋_GB2312" w:cs="仿宋_GB2312"/>
          <w:b w:val="0"/>
          <w:bCs w:val="0"/>
          <w:kern w:val="2"/>
          <w:sz w:val="30"/>
          <w:szCs w:val="30"/>
          <w:lang w:val="en-US" w:eastAsia="zh-CN" w:bidi="ar-SA"/>
        </w:rPr>
        <w:t>各学校组织代表队</w:t>
      </w:r>
      <w:bookmarkEnd w:id="45"/>
      <w:r>
        <w:rPr>
          <w:rFonts w:hint="eastAsia" w:ascii="仿宋_GB2312" w:hAnsi="仿宋_GB2312" w:eastAsia="仿宋_GB2312" w:cs="仿宋_GB2312"/>
          <w:b w:val="0"/>
          <w:bCs w:val="0"/>
          <w:kern w:val="2"/>
          <w:sz w:val="30"/>
          <w:szCs w:val="30"/>
          <w:lang w:val="en-US" w:eastAsia="zh-CN" w:bidi="ar-SA"/>
        </w:rPr>
        <w:t>时，须安排为参赛选手购买大赛期间的人身意外伤害保险。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2.各学校组织代表队后，须制定相关安全管理制度，落实安全责任制，确定安全责任人，签订安全承诺书，与赛项责任单位一起共同确保参赛期间参赛人员的人身财产安全、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3.各参赛单位须加强对参赛人员的安全管理及教育，并与赛场安全管理对接。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（四）应急处理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1.比赛期间发生意外事故，发现者应第一时间报告，同时采取措施避免事态扩大。应立即启动预案予以解决并报告。赛项出现重大安全问题可以停赛，是否停赛由大赛执委会决定。事后，承办校应报告详细情况。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2.出现安全事故，首先追究赛项相关责任人的责任。赛事工作人员违规的，按照相应的制度追究责任。情节严重并造成重大安全事故的，报相关部门按相关政策法规追究相应责任。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（五）处罚措施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1.因参赛队伍原因造成重大安全事故的，取消其参赛成绩。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2.参赛队伍有发生重大安全事故隐患，经赛场工作人员提示、警告无效的，可取消其继续比赛的资格。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3.赛事工作人员违规的，按照相应的制度追究责任。情节恶劣并造成重大安全事故的，由司法机关追究相应法律责任。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zh-TW" w:eastAsia="zh-TW"/>
        </w:rPr>
      </w:pPr>
      <w:bookmarkStart w:id="46" w:name="_Toc477270912"/>
      <w:r>
        <w:rPr>
          <w:rFonts w:hint="eastAsia" w:ascii="楷体_GB2312" w:hAnsi="楷体_GB2312" w:eastAsia="楷体_GB2312" w:cs="楷体_GB2312"/>
          <w:sz w:val="30"/>
          <w:szCs w:val="30"/>
          <w:lang w:val="zh-TW" w:eastAsia="zh-TW"/>
        </w:rPr>
        <w:t>（六）安全操作规程</w:t>
      </w:r>
      <w:bookmarkEnd w:id="46"/>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1.选手在排除电气故障时须遵守电工安全操作相关规定，注意操作安全。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2.参赛选手必须按照规定穿戴防护装备，见表15-1。</w:t>
      </w:r>
    </w:p>
    <w:p>
      <w:pPr>
        <w:pageBreakBefore w:val="0"/>
        <w:widowControl w:val="0"/>
        <w:kinsoku/>
        <w:overflowPunct/>
        <w:topLinePunct w:val="0"/>
        <w:autoSpaceDN w:val="0"/>
        <w:bidi w:val="0"/>
        <w:adjustRightInd w:val="0"/>
        <w:snapToGrid w:val="0"/>
        <w:spacing w:line="600" w:lineRule="exact"/>
        <w:ind w:firstLine="3360" w:firstLineChars="1400"/>
        <w:jc w:val="left"/>
        <w:textAlignment w:val="auto"/>
        <w:rPr>
          <w:rFonts w:ascii="仿宋" w:hAnsi="仿宋" w:eastAsia="仿宋" w:cs="仿宋_GB2312"/>
          <w:sz w:val="24"/>
        </w:rPr>
      </w:pPr>
      <w:r>
        <w:rPr>
          <w:rFonts w:hint="eastAsia" w:ascii="黑体" w:hAnsi="黑体" w:eastAsia="黑体" w:cs="黑体"/>
          <w:sz w:val="24"/>
        </w:rPr>
        <w:t>表1</w:t>
      </w:r>
      <w:r>
        <w:rPr>
          <w:rFonts w:hint="eastAsia" w:ascii="黑体" w:hAnsi="黑体" w:eastAsia="黑体" w:cs="黑体"/>
          <w:sz w:val="24"/>
          <w:lang w:val="en-US" w:eastAsia="zh-CN"/>
        </w:rPr>
        <w:t>5</w:t>
      </w:r>
      <w:r>
        <w:rPr>
          <w:rFonts w:hint="eastAsia" w:ascii="黑体" w:hAnsi="黑体" w:eastAsia="黑体" w:cs="黑体"/>
          <w:sz w:val="24"/>
        </w:rPr>
        <w:t>-1选手必备的防护装备</w:t>
      </w:r>
      <w:r>
        <w:rPr>
          <w:rFonts w:hint="eastAsia" w:ascii="仿宋" w:hAnsi="仿宋" w:eastAsia="仿宋" w:cs="仿宋_GB2312"/>
          <w:sz w:val="24"/>
        </w:rPr>
        <w:t xml:space="preserve">      </w:t>
      </w:r>
    </w:p>
    <w:tbl>
      <w:tblPr>
        <w:tblStyle w:val="2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2835"/>
        <w:gridCol w:w="3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Align w:val="center"/>
          </w:tcPr>
          <w:p>
            <w:pPr>
              <w:pStyle w:val="4"/>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黑体" w:hAnsi="黑体" w:eastAsia="黑体" w:cs="黑体"/>
                <w:color w:val="auto"/>
                <w:kern w:val="2"/>
              </w:rPr>
            </w:pPr>
            <w:r>
              <w:rPr>
                <w:rFonts w:hint="eastAsia" w:ascii="黑体" w:hAnsi="黑体" w:eastAsia="黑体" w:cs="黑体"/>
                <w:color w:val="auto"/>
                <w:kern w:val="2"/>
              </w:rPr>
              <w:t>防护项目</w:t>
            </w:r>
          </w:p>
        </w:tc>
        <w:tc>
          <w:tcPr>
            <w:tcW w:w="2835" w:type="dxa"/>
            <w:vAlign w:val="center"/>
          </w:tcPr>
          <w:p>
            <w:pPr>
              <w:pStyle w:val="4"/>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黑体" w:hAnsi="黑体" w:eastAsia="黑体" w:cs="黑体"/>
                <w:color w:val="auto"/>
                <w:kern w:val="2"/>
              </w:rPr>
            </w:pPr>
            <w:r>
              <w:rPr>
                <w:rFonts w:hint="eastAsia" w:ascii="黑体" w:hAnsi="黑体" w:eastAsia="黑体" w:cs="黑体"/>
                <w:color w:val="auto"/>
                <w:kern w:val="2"/>
              </w:rPr>
              <w:t>图示</w:t>
            </w:r>
          </w:p>
        </w:tc>
        <w:tc>
          <w:tcPr>
            <w:tcW w:w="3594" w:type="dxa"/>
            <w:vAlign w:val="center"/>
          </w:tcPr>
          <w:p>
            <w:pPr>
              <w:pStyle w:val="4"/>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黑体" w:hAnsi="黑体" w:eastAsia="黑体" w:cs="黑体"/>
                <w:color w:val="auto"/>
                <w:kern w:val="2"/>
              </w:rPr>
            </w:pPr>
            <w:r>
              <w:rPr>
                <w:rFonts w:hint="eastAsia" w:ascii="黑体" w:hAnsi="黑体" w:eastAsia="黑体" w:cs="黑体"/>
                <w:color w:val="auto"/>
                <w:kern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Align w:val="center"/>
          </w:tcPr>
          <w:p>
            <w:pPr>
              <w:pStyle w:val="4"/>
              <w:pageBreakBefore w:val="0"/>
              <w:widowControl w:val="0"/>
              <w:kinsoku/>
              <w:overflowPunct/>
              <w:topLinePunct w:val="0"/>
              <w:bidi w:val="0"/>
              <w:spacing w:line="600" w:lineRule="exact"/>
              <w:jc w:val="center"/>
              <w:textAlignment w:val="auto"/>
              <w:rPr>
                <w:rFonts w:ascii="仿宋" w:hAnsi="仿宋" w:eastAsia="仿宋" w:cs="Times New Roman"/>
                <w:color w:val="auto"/>
                <w:kern w:val="2"/>
              </w:rPr>
            </w:pPr>
            <w:r>
              <w:rPr>
                <w:rFonts w:hint="eastAsia" w:ascii="仿宋" w:hAnsi="仿宋" w:eastAsia="仿宋" w:cs="仿宋_GB2312"/>
                <w:color w:val="auto"/>
                <w:kern w:val="2"/>
                <w:sz w:val="24"/>
                <w:szCs w:val="24"/>
                <w:lang w:val="en-US" w:eastAsia="zh-CN" w:bidi="ar-SA"/>
              </w:rPr>
              <w:t>眼睛的防护</w:t>
            </w:r>
          </w:p>
        </w:tc>
        <w:tc>
          <w:tcPr>
            <w:tcW w:w="2835" w:type="dxa"/>
          </w:tcPr>
          <w:p>
            <w:pPr>
              <w:pageBreakBefore w:val="0"/>
              <w:widowControl w:val="0"/>
              <w:kinsoku/>
              <w:overflowPunct/>
              <w:topLinePunct w:val="0"/>
              <w:autoSpaceDN w:val="0"/>
              <w:bidi w:val="0"/>
              <w:adjustRightInd w:val="0"/>
              <w:snapToGrid w:val="0"/>
              <w:spacing w:line="600" w:lineRule="exact"/>
              <w:jc w:val="left"/>
              <w:textAlignment w:val="auto"/>
              <w:rPr>
                <w:rFonts w:ascii="仿宋" w:hAnsi="仿宋" w:eastAsia="仿宋"/>
                <w:kern w:val="0"/>
                <w:sz w:val="24"/>
              </w:rPr>
            </w:pPr>
            <w:r>
              <w:rPr>
                <w:rFonts w:ascii="仿宋" w:hAnsi="仿宋" w:eastAsia="仿宋"/>
                <w:kern w:val="0"/>
                <w:sz w:val="24"/>
              </w:rPr>
              <w:drawing>
                <wp:anchor distT="0" distB="0" distL="0" distR="0" simplePos="0" relativeHeight="251660288" behindDoc="0" locked="0" layoutInCell="1" allowOverlap="1">
                  <wp:simplePos x="0" y="0"/>
                  <wp:positionH relativeFrom="column">
                    <wp:posOffset>0</wp:posOffset>
                  </wp:positionH>
                  <wp:positionV relativeFrom="paragraph">
                    <wp:posOffset>-457200</wp:posOffset>
                  </wp:positionV>
                  <wp:extent cx="1285875" cy="752475"/>
                  <wp:effectExtent l="0" t="0" r="9525" b="9525"/>
                  <wp:wrapSquare wrapText="bothSides"/>
                  <wp:docPr id="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true" noChangeArrowheads="true"/>
                          </pic:cNvPicPr>
                        </pic:nvPicPr>
                        <pic:blipFill>
                          <a:blip r:embed="rId7" cstate="print"/>
                          <a:srcRect/>
                          <a:stretch>
                            <a:fillRect/>
                          </a:stretch>
                        </pic:blipFill>
                        <pic:spPr>
                          <a:xfrm>
                            <a:off x="0" y="0"/>
                            <a:ext cx="1285875" cy="752475"/>
                          </a:xfrm>
                          <a:prstGeom prst="rect">
                            <a:avLst/>
                          </a:prstGeom>
                          <a:noFill/>
                          <a:ln w="9525">
                            <a:noFill/>
                            <a:miter lim="800000"/>
                            <a:headEnd/>
                            <a:tailEnd/>
                          </a:ln>
                        </pic:spPr>
                      </pic:pic>
                    </a:graphicData>
                  </a:graphic>
                </wp:anchor>
              </w:drawing>
            </w:r>
          </w:p>
        </w:tc>
        <w:tc>
          <w:tcPr>
            <w:tcW w:w="3594" w:type="dxa"/>
          </w:tcPr>
          <w:p>
            <w:pPr>
              <w:pStyle w:val="4"/>
              <w:pageBreakBefore w:val="0"/>
              <w:widowControl w:val="0"/>
              <w:kinsoku/>
              <w:overflowPunct/>
              <w:topLinePunct w:val="0"/>
              <w:bidi w:val="0"/>
              <w:spacing w:line="600" w:lineRule="exact"/>
              <w:textAlignment w:val="auto"/>
              <w:rPr>
                <w:rFonts w:ascii="仿宋" w:hAnsi="仿宋" w:eastAsia="仿宋" w:cs="Times New Roman"/>
                <w:color w:val="auto"/>
                <w:kern w:val="2"/>
              </w:rPr>
            </w:pPr>
            <w:r>
              <w:rPr>
                <w:rFonts w:ascii="仿宋" w:hAnsi="仿宋" w:eastAsia="仿宋" w:cs="Times New Roman"/>
                <w:color w:val="auto"/>
                <w:kern w:val="2"/>
              </w:rPr>
              <w:t>1.</w:t>
            </w:r>
            <w:r>
              <w:rPr>
                <w:rFonts w:hint="eastAsia" w:ascii="仿宋" w:hAnsi="仿宋" w:eastAsia="仿宋" w:cs="Times New Roman"/>
                <w:color w:val="auto"/>
                <w:kern w:val="2"/>
              </w:rPr>
              <w:t>防溅入</w:t>
            </w:r>
          </w:p>
          <w:p>
            <w:pPr>
              <w:pStyle w:val="4"/>
              <w:pageBreakBefore w:val="0"/>
              <w:widowControl w:val="0"/>
              <w:kinsoku/>
              <w:overflowPunct/>
              <w:topLinePunct w:val="0"/>
              <w:bidi w:val="0"/>
              <w:spacing w:line="600" w:lineRule="exact"/>
              <w:textAlignment w:val="auto"/>
              <w:rPr>
                <w:rFonts w:ascii="仿宋" w:hAnsi="仿宋" w:eastAsia="仿宋" w:cs="Times New Roman"/>
                <w:color w:val="auto"/>
                <w:kern w:val="2"/>
              </w:rPr>
            </w:pPr>
            <w:r>
              <w:rPr>
                <w:rFonts w:ascii="仿宋" w:hAnsi="仿宋" w:eastAsia="仿宋" w:cs="Times New Roman"/>
                <w:color w:val="auto"/>
                <w:kern w:val="2"/>
              </w:rPr>
              <w:t>2.</w:t>
            </w:r>
            <w:r>
              <w:rPr>
                <w:rFonts w:hint="eastAsia" w:ascii="仿宋" w:hAnsi="仿宋" w:eastAsia="仿宋" w:cs="Times New Roman"/>
                <w:color w:val="auto"/>
                <w:kern w:val="2"/>
              </w:rPr>
              <w:t>带近视镜也必须佩戴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Align w:val="center"/>
          </w:tcPr>
          <w:p>
            <w:pPr>
              <w:pStyle w:val="4"/>
              <w:pageBreakBefore w:val="0"/>
              <w:widowControl w:val="0"/>
              <w:kinsoku/>
              <w:overflowPunct/>
              <w:topLinePunct w:val="0"/>
              <w:bidi w:val="0"/>
              <w:spacing w:line="600" w:lineRule="exact"/>
              <w:jc w:val="center"/>
              <w:textAlignment w:val="auto"/>
              <w:rPr>
                <w:rFonts w:ascii="仿宋" w:hAnsi="仿宋" w:eastAsia="仿宋" w:cs="Times New Roman"/>
                <w:color w:val="auto"/>
                <w:kern w:val="2"/>
              </w:rPr>
            </w:pPr>
            <w:r>
              <w:rPr>
                <w:rFonts w:hint="eastAsia" w:ascii="仿宋" w:hAnsi="仿宋" w:eastAsia="仿宋" w:cs="Times New Roman"/>
                <w:color w:val="auto"/>
                <w:kern w:val="2"/>
              </w:rPr>
              <w:t>足部的防护</w:t>
            </w:r>
          </w:p>
        </w:tc>
        <w:tc>
          <w:tcPr>
            <w:tcW w:w="2835" w:type="dxa"/>
          </w:tcPr>
          <w:p>
            <w:pPr>
              <w:pageBreakBefore w:val="0"/>
              <w:widowControl w:val="0"/>
              <w:kinsoku/>
              <w:overflowPunct/>
              <w:topLinePunct w:val="0"/>
              <w:autoSpaceDN w:val="0"/>
              <w:bidi w:val="0"/>
              <w:adjustRightInd w:val="0"/>
              <w:snapToGrid w:val="0"/>
              <w:spacing w:line="600" w:lineRule="exact"/>
              <w:jc w:val="left"/>
              <w:textAlignment w:val="auto"/>
              <w:rPr>
                <w:rFonts w:ascii="仿宋" w:hAnsi="仿宋" w:eastAsia="仿宋"/>
                <w:kern w:val="0"/>
                <w:sz w:val="24"/>
              </w:rPr>
            </w:pPr>
            <w:r>
              <w:rPr>
                <w:rFonts w:ascii="仿宋" w:hAnsi="仿宋" w:eastAsia="仿宋"/>
                <w:kern w:val="0"/>
                <w:sz w:val="24"/>
              </w:rPr>
              <w:drawing>
                <wp:anchor distT="0" distB="0" distL="0" distR="0" simplePos="0" relativeHeight="251661312" behindDoc="0" locked="0" layoutInCell="1" allowOverlap="1">
                  <wp:simplePos x="0" y="0"/>
                  <wp:positionH relativeFrom="column">
                    <wp:posOffset>300990</wp:posOffset>
                  </wp:positionH>
                  <wp:positionV relativeFrom="paragraph">
                    <wp:posOffset>-182245</wp:posOffset>
                  </wp:positionV>
                  <wp:extent cx="942975" cy="704850"/>
                  <wp:effectExtent l="19050" t="0" r="9525" b="0"/>
                  <wp:wrapSquare wrapText="bothSides"/>
                  <wp:docPr id="8"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true" noChangeArrowheads="true"/>
                          </pic:cNvPicPr>
                        </pic:nvPicPr>
                        <pic:blipFill>
                          <a:blip r:embed="rId8" cstate="print"/>
                          <a:srcRect/>
                          <a:stretch>
                            <a:fillRect/>
                          </a:stretch>
                        </pic:blipFill>
                        <pic:spPr>
                          <a:xfrm>
                            <a:off x="0" y="0"/>
                            <a:ext cx="942975" cy="704850"/>
                          </a:xfrm>
                          <a:prstGeom prst="rect">
                            <a:avLst/>
                          </a:prstGeom>
                          <a:noFill/>
                          <a:ln w="9525">
                            <a:noFill/>
                            <a:miter lim="800000"/>
                            <a:headEnd/>
                            <a:tailEnd/>
                          </a:ln>
                        </pic:spPr>
                      </pic:pic>
                    </a:graphicData>
                  </a:graphic>
                </wp:anchor>
              </w:drawing>
            </w:r>
          </w:p>
        </w:tc>
        <w:tc>
          <w:tcPr>
            <w:tcW w:w="3594" w:type="dxa"/>
          </w:tcPr>
          <w:p>
            <w:pPr>
              <w:pStyle w:val="4"/>
              <w:pageBreakBefore w:val="0"/>
              <w:widowControl w:val="0"/>
              <w:kinsoku/>
              <w:overflowPunct/>
              <w:topLinePunct w:val="0"/>
              <w:bidi w:val="0"/>
              <w:spacing w:line="600" w:lineRule="exact"/>
              <w:textAlignment w:val="auto"/>
              <w:rPr>
                <w:rFonts w:ascii="仿宋" w:hAnsi="仿宋" w:eastAsia="仿宋" w:cs="Times New Roman"/>
                <w:color w:val="auto"/>
                <w:kern w:val="2"/>
              </w:rPr>
            </w:pPr>
            <w:r>
              <w:rPr>
                <w:rFonts w:hint="eastAsia" w:ascii="仿宋" w:hAnsi="仿宋" w:eastAsia="仿宋" w:cs="Times New Roman"/>
                <w:color w:val="auto"/>
                <w:kern w:val="2"/>
              </w:rPr>
              <w:t>防滑、防砸、防穿刺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93" w:type="dxa"/>
            <w:vAlign w:val="center"/>
          </w:tcPr>
          <w:p>
            <w:pPr>
              <w:pStyle w:val="4"/>
              <w:pageBreakBefore w:val="0"/>
              <w:widowControl w:val="0"/>
              <w:kinsoku/>
              <w:overflowPunct/>
              <w:topLinePunct w:val="0"/>
              <w:bidi w:val="0"/>
              <w:spacing w:line="600" w:lineRule="exact"/>
              <w:jc w:val="center"/>
              <w:textAlignment w:val="auto"/>
              <w:rPr>
                <w:rFonts w:ascii="仿宋" w:hAnsi="仿宋" w:eastAsia="仿宋" w:cs="Times New Roman"/>
                <w:color w:val="auto"/>
                <w:kern w:val="2"/>
              </w:rPr>
            </w:pPr>
            <w:r>
              <w:rPr>
                <w:rFonts w:hint="eastAsia" w:ascii="仿宋" w:hAnsi="仿宋" w:eastAsia="仿宋" w:cs="Times New Roman"/>
                <w:color w:val="auto"/>
                <w:kern w:val="2"/>
              </w:rPr>
              <w:t>工作服</w:t>
            </w:r>
          </w:p>
        </w:tc>
        <w:tc>
          <w:tcPr>
            <w:tcW w:w="2835" w:type="dxa"/>
          </w:tcPr>
          <w:p>
            <w:pPr>
              <w:pageBreakBefore w:val="0"/>
              <w:widowControl w:val="0"/>
              <w:kinsoku/>
              <w:overflowPunct/>
              <w:topLinePunct w:val="0"/>
              <w:autoSpaceDN w:val="0"/>
              <w:bidi w:val="0"/>
              <w:adjustRightInd w:val="0"/>
              <w:snapToGrid w:val="0"/>
              <w:spacing w:before="120" w:beforeLines="50" w:line="600" w:lineRule="exact"/>
              <w:jc w:val="left"/>
              <w:textAlignment w:val="auto"/>
              <w:rPr>
                <w:rFonts w:ascii="仿宋" w:hAnsi="仿宋" w:eastAsia="仿宋"/>
                <w:kern w:val="0"/>
                <w:sz w:val="24"/>
              </w:rPr>
            </w:pPr>
            <w:r>
              <w:rPr>
                <w:rFonts w:ascii="仿宋" w:hAnsi="仿宋" w:eastAsia="仿宋"/>
                <w:kern w:val="0"/>
                <w:sz w:val="24"/>
              </w:rPr>
              <w:drawing>
                <wp:anchor distT="0" distB="0" distL="0" distR="0" simplePos="0" relativeHeight="251662336" behindDoc="0" locked="0" layoutInCell="1" allowOverlap="1">
                  <wp:simplePos x="0" y="0"/>
                  <wp:positionH relativeFrom="column">
                    <wp:posOffset>102870</wp:posOffset>
                  </wp:positionH>
                  <wp:positionV relativeFrom="paragraph">
                    <wp:posOffset>54610</wp:posOffset>
                  </wp:positionV>
                  <wp:extent cx="1057275" cy="1162050"/>
                  <wp:effectExtent l="19050" t="0" r="9525" b="0"/>
                  <wp:wrapSquare wrapText="bothSides"/>
                  <wp:docPr id="9"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true" noChangeArrowheads="true"/>
                          </pic:cNvPicPr>
                        </pic:nvPicPr>
                        <pic:blipFill>
                          <a:blip r:embed="rId9" cstate="print"/>
                          <a:srcRect/>
                          <a:stretch>
                            <a:fillRect/>
                          </a:stretch>
                        </pic:blipFill>
                        <pic:spPr>
                          <a:xfrm>
                            <a:off x="0" y="0"/>
                            <a:ext cx="1057275" cy="1162050"/>
                          </a:xfrm>
                          <a:prstGeom prst="rect">
                            <a:avLst/>
                          </a:prstGeom>
                          <a:noFill/>
                          <a:ln w="9525">
                            <a:noFill/>
                            <a:miter lim="800000"/>
                            <a:headEnd/>
                            <a:tailEnd/>
                          </a:ln>
                        </pic:spPr>
                      </pic:pic>
                    </a:graphicData>
                  </a:graphic>
                </wp:anchor>
              </w:drawing>
            </w:r>
          </w:p>
        </w:tc>
        <w:tc>
          <w:tcPr>
            <w:tcW w:w="3594" w:type="dxa"/>
          </w:tcPr>
          <w:p>
            <w:pPr>
              <w:pageBreakBefore w:val="0"/>
              <w:widowControl w:val="0"/>
              <w:kinsoku/>
              <w:overflowPunct/>
              <w:topLinePunct w:val="0"/>
              <w:autoSpaceDN w:val="0"/>
              <w:bidi w:val="0"/>
              <w:adjustRightInd w:val="0"/>
              <w:snapToGrid w:val="0"/>
              <w:spacing w:line="600" w:lineRule="exact"/>
              <w:jc w:val="left"/>
              <w:textAlignment w:val="auto"/>
              <w:rPr>
                <w:rFonts w:ascii="仿宋" w:hAnsi="仿宋" w:eastAsia="仿宋"/>
                <w:kern w:val="0"/>
                <w:sz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裁判员对违反安全与健康条例、违反操作规程的选手和现象将提出警告并进行纠正。不听警告，不进行纠正的参赛选手会受到不允许进入竞赛现场、罚去安全分、停止操作、取消竞赛资格等不同程度的惩罚。选手防护装备佩带要求见表15-2。</w:t>
      </w:r>
    </w:p>
    <w:p>
      <w:pPr>
        <w:pageBreakBefore w:val="0"/>
        <w:widowControl w:val="0"/>
        <w:kinsoku/>
        <w:overflowPunct/>
        <w:topLinePunct w:val="0"/>
        <w:autoSpaceDN w:val="0"/>
        <w:bidi w:val="0"/>
        <w:adjustRightInd w:val="0"/>
        <w:snapToGrid w:val="0"/>
        <w:spacing w:line="60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cs="仿宋_GB2312"/>
          <w:sz w:val="24"/>
        </w:rPr>
        <w:t xml:space="preserve">      </w:t>
      </w:r>
      <w:r>
        <w:rPr>
          <w:rFonts w:hint="eastAsia" w:ascii="黑体" w:hAnsi="黑体" w:eastAsia="黑体" w:cs="黑体"/>
          <w:sz w:val="24"/>
        </w:rPr>
        <w:t>表1</w:t>
      </w:r>
      <w:r>
        <w:rPr>
          <w:rFonts w:hint="eastAsia" w:ascii="黑体" w:hAnsi="黑体" w:eastAsia="黑体" w:cs="黑体"/>
          <w:sz w:val="24"/>
          <w:lang w:val="en-US" w:eastAsia="zh-CN"/>
        </w:rPr>
        <w:t>5</w:t>
      </w:r>
      <w:r>
        <w:rPr>
          <w:rFonts w:hint="eastAsia" w:ascii="黑体" w:hAnsi="黑体" w:eastAsia="黑体" w:cs="黑体"/>
          <w:sz w:val="24"/>
        </w:rPr>
        <w:t xml:space="preserve">-2  选手防护装备佩带要求 </w:t>
      </w:r>
      <w:r>
        <w:rPr>
          <w:rFonts w:hint="eastAsia" w:ascii="仿宋" w:hAnsi="仿宋" w:eastAsia="仿宋"/>
          <w:sz w:val="28"/>
          <w:szCs w:val="28"/>
        </w:rPr>
        <w:t xml:space="preserve"> </w:t>
      </w:r>
      <w:r>
        <w:rPr>
          <w:rFonts w:hint="eastAsia" w:ascii="仿宋" w:hAnsi="仿宋" w:eastAsia="仿宋" w:cs="仿宋_GB2312"/>
          <w:bCs/>
          <w:sz w:val="30"/>
          <w:szCs w:val="30"/>
        </w:rPr>
        <w:t xml:space="preserve">  </w:t>
      </w:r>
      <w:r>
        <w:rPr>
          <w:rFonts w:hint="eastAsia" w:ascii="仿宋" w:hAnsi="仿宋" w:eastAsia="仿宋"/>
          <w:sz w:val="28"/>
          <w:szCs w:val="28"/>
        </w:rPr>
        <w:t xml:space="preserve">         </w:t>
      </w:r>
    </w:p>
    <w:tbl>
      <w:tblPr>
        <w:tblStyle w:val="23"/>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66"/>
        <w:gridCol w:w="6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166" w:type="dxa"/>
            <w:vAlign w:val="center"/>
          </w:tcPr>
          <w:p>
            <w:pPr>
              <w:pStyle w:val="4"/>
              <w:keepNext w:val="0"/>
              <w:keepLines w:val="0"/>
              <w:pageBreakBefore w:val="0"/>
              <w:widowControl w:val="0"/>
              <w:kinsoku/>
              <w:wordWrap/>
              <w:overflowPunct/>
              <w:topLinePunct w:val="0"/>
              <w:autoSpaceDN w:val="0"/>
              <w:bidi w:val="0"/>
              <w:adjustRightInd w:val="0"/>
              <w:snapToGrid/>
              <w:spacing w:line="240" w:lineRule="auto"/>
              <w:jc w:val="center"/>
              <w:textAlignment w:val="auto"/>
              <w:rPr>
                <w:rFonts w:hint="eastAsia" w:ascii="黑体" w:hAnsi="黑体" w:eastAsia="黑体" w:cs="黑体"/>
                <w:color w:val="auto"/>
                <w:kern w:val="2"/>
                <w:sz w:val="24"/>
                <w:szCs w:val="24"/>
              </w:rPr>
            </w:pPr>
            <w:r>
              <w:rPr>
                <w:rFonts w:hint="eastAsia" w:ascii="黑体" w:hAnsi="黑体" w:eastAsia="黑体" w:cs="黑体"/>
                <w:color w:val="auto"/>
                <w:kern w:val="2"/>
                <w:sz w:val="24"/>
                <w:szCs w:val="24"/>
              </w:rPr>
              <w:t>时段</w:t>
            </w:r>
          </w:p>
        </w:tc>
        <w:tc>
          <w:tcPr>
            <w:tcW w:w="6453" w:type="dxa"/>
            <w:vAlign w:val="center"/>
          </w:tcPr>
          <w:p>
            <w:pPr>
              <w:pStyle w:val="4"/>
              <w:keepNext w:val="0"/>
              <w:keepLines w:val="0"/>
              <w:pageBreakBefore w:val="0"/>
              <w:widowControl w:val="0"/>
              <w:kinsoku/>
              <w:wordWrap/>
              <w:overflowPunct/>
              <w:topLinePunct w:val="0"/>
              <w:autoSpaceDN w:val="0"/>
              <w:bidi w:val="0"/>
              <w:adjustRightInd w:val="0"/>
              <w:snapToGrid/>
              <w:spacing w:line="240" w:lineRule="auto"/>
              <w:jc w:val="center"/>
              <w:textAlignment w:val="auto"/>
              <w:rPr>
                <w:rFonts w:hint="eastAsia" w:ascii="黑体" w:hAnsi="黑体" w:eastAsia="黑体" w:cs="黑体"/>
                <w:color w:val="auto"/>
                <w:kern w:val="2"/>
                <w:sz w:val="24"/>
                <w:szCs w:val="24"/>
              </w:rPr>
            </w:pPr>
            <w:r>
              <w:rPr>
                <w:rFonts w:hint="eastAsia" w:ascii="黑体" w:hAnsi="黑体" w:eastAsia="黑体" w:cs="黑体"/>
                <w:color w:val="auto"/>
                <w:kern w:val="2"/>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166" w:type="dxa"/>
            <w:vAlign w:val="center"/>
          </w:tcPr>
          <w:p>
            <w:pPr>
              <w:pStyle w:val="4"/>
              <w:keepNext w:val="0"/>
              <w:keepLines w:val="0"/>
              <w:pageBreakBefore w:val="0"/>
              <w:widowControl w:val="0"/>
              <w:kinsoku/>
              <w:wordWrap/>
              <w:overflowPunct/>
              <w:topLinePunct w:val="0"/>
              <w:autoSpaceDN w:val="0"/>
              <w:bidi w:val="0"/>
              <w:adjustRightInd w:val="0"/>
              <w:snapToGrid/>
              <w:spacing w:line="240" w:lineRule="auto"/>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机床操作时女士需带安全帽</w:t>
            </w:r>
          </w:p>
        </w:tc>
        <w:tc>
          <w:tcPr>
            <w:tcW w:w="6453" w:type="dxa"/>
          </w:tcPr>
          <w:p>
            <w:pPr>
              <w:keepNext w:val="0"/>
              <w:keepLines w:val="0"/>
              <w:pageBreakBefore w:val="0"/>
              <w:widowControl w:val="0"/>
              <w:kinsoku/>
              <w:wordWrap/>
              <w:overflowPunct/>
              <w:topLinePunct w:val="0"/>
              <w:autoSpaceDN w:val="0"/>
              <w:bidi w:val="0"/>
              <w:adjustRightInd w:val="0"/>
              <w:snapToGrid/>
              <w:spacing w:line="240" w:lineRule="auto"/>
              <w:jc w:val="left"/>
              <w:textAlignment w:val="auto"/>
              <w:rPr>
                <w:rFonts w:ascii="仿宋" w:hAnsi="仿宋" w:eastAsia="仿宋"/>
                <w:kern w:val="0"/>
                <w:sz w:val="28"/>
                <w:szCs w:val="28"/>
              </w:rPr>
            </w:pPr>
            <w:r>
              <w:rPr>
                <w:rFonts w:ascii="仿宋" w:hAnsi="仿宋" w:eastAsia="仿宋"/>
                <w:kern w:val="0"/>
                <w:sz w:val="28"/>
                <w:szCs w:val="28"/>
              </w:rPr>
              <w:drawing>
                <wp:anchor distT="0" distB="0" distL="0" distR="0" simplePos="0" relativeHeight="251663360" behindDoc="0" locked="0" layoutInCell="1" allowOverlap="1">
                  <wp:simplePos x="0" y="0"/>
                  <wp:positionH relativeFrom="column">
                    <wp:posOffset>0</wp:posOffset>
                  </wp:positionH>
                  <wp:positionV relativeFrom="paragraph">
                    <wp:posOffset>-594360</wp:posOffset>
                  </wp:positionV>
                  <wp:extent cx="704850" cy="895350"/>
                  <wp:effectExtent l="0" t="0" r="11430" b="3810"/>
                  <wp:wrapSquare wrapText="bothSides"/>
                  <wp:docPr id="10"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true" noChangeArrowheads="true"/>
                          </pic:cNvPicPr>
                        </pic:nvPicPr>
                        <pic:blipFill>
                          <a:blip r:embed="rId10" cstate="print"/>
                          <a:srcRect/>
                          <a:stretch>
                            <a:fillRect/>
                          </a:stretch>
                        </pic:blipFill>
                        <pic:spPr>
                          <a:xfrm>
                            <a:off x="0" y="0"/>
                            <a:ext cx="704850" cy="89535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64384" behindDoc="0" locked="0" layoutInCell="1" allowOverlap="1">
                  <wp:simplePos x="0" y="0"/>
                  <wp:positionH relativeFrom="column">
                    <wp:posOffset>735330</wp:posOffset>
                  </wp:positionH>
                  <wp:positionV relativeFrom="paragraph">
                    <wp:posOffset>-619125</wp:posOffset>
                  </wp:positionV>
                  <wp:extent cx="733425" cy="923925"/>
                  <wp:effectExtent l="19050" t="0" r="9525" b="0"/>
                  <wp:wrapSquare wrapText="bothSides"/>
                  <wp:docPr id="11"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true" noChangeArrowheads="true"/>
                          </pic:cNvPicPr>
                        </pic:nvPicPr>
                        <pic:blipFill>
                          <a:blip r:embed="rId11" cstate="print"/>
                          <a:srcRect/>
                          <a:stretch>
                            <a:fillRect/>
                          </a:stretch>
                        </pic:blipFill>
                        <pic:spPr>
                          <a:xfrm>
                            <a:off x="0" y="0"/>
                            <a:ext cx="733425" cy="923925"/>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65408" behindDoc="0" locked="0" layoutInCell="1" allowOverlap="1">
                  <wp:simplePos x="0" y="0"/>
                  <wp:positionH relativeFrom="column">
                    <wp:posOffset>1497330</wp:posOffset>
                  </wp:positionH>
                  <wp:positionV relativeFrom="paragraph">
                    <wp:posOffset>-590550</wp:posOffset>
                  </wp:positionV>
                  <wp:extent cx="695325" cy="895350"/>
                  <wp:effectExtent l="19050" t="0" r="9525" b="0"/>
                  <wp:wrapSquare wrapText="bothSides"/>
                  <wp:docPr id="12"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true" noChangeArrowheads="true"/>
                          </pic:cNvPicPr>
                        </pic:nvPicPr>
                        <pic:blipFill>
                          <a:blip r:embed="rId12" cstate="print"/>
                          <a:srcRect/>
                          <a:stretch>
                            <a:fillRect/>
                          </a:stretch>
                        </pic:blipFill>
                        <pic:spPr>
                          <a:xfrm>
                            <a:off x="0" y="0"/>
                            <a:ext cx="695325" cy="89535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67456" behindDoc="0" locked="0" layoutInCell="1" allowOverlap="1">
                  <wp:simplePos x="0" y="0"/>
                  <wp:positionH relativeFrom="column">
                    <wp:posOffset>2221230</wp:posOffset>
                  </wp:positionH>
                  <wp:positionV relativeFrom="paragraph">
                    <wp:posOffset>-628650</wp:posOffset>
                  </wp:positionV>
                  <wp:extent cx="723900" cy="933450"/>
                  <wp:effectExtent l="19050" t="0" r="0" b="0"/>
                  <wp:wrapSquare wrapText="bothSides"/>
                  <wp:docPr id="13"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true" noChangeArrowheads="true"/>
                          </pic:cNvPicPr>
                        </pic:nvPicPr>
                        <pic:blipFill>
                          <a:blip r:embed="rId13" cstate="print"/>
                          <a:srcRect/>
                          <a:stretch>
                            <a:fillRect/>
                          </a:stretch>
                        </pic:blipFill>
                        <pic:spPr>
                          <a:xfrm>
                            <a:off x="0" y="0"/>
                            <a:ext cx="723900" cy="93345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66432" behindDoc="0" locked="0" layoutInCell="1" allowOverlap="1">
                  <wp:simplePos x="0" y="0"/>
                  <wp:positionH relativeFrom="column">
                    <wp:posOffset>2964180</wp:posOffset>
                  </wp:positionH>
                  <wp:positionV relativeFrom="paragraph">
                    <wp:posOffset>-609600</wp:posOffset>
                  </wp:positionV>
                  <wp:extent cx="704850" cy="914400"/>
                  <wp:effectExtent l="19050" t="0" r="0" b="0"/>
                  <wp:wrapSquare wrapText="bothSides"/>
                  <wp:docPr id="14"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true" noChangeArrowheads="true"/>
                          </pic:cNvPicPr>
                        </pic:nvPicPr>
                        <pic:blipFill>
                          <a:blip r:embed="rId14" cstate="print"/>
                          <a:srcRect/>
                          <a:stretch>
                            <a:fillRect/>
                          </a:stretch>
                        </pic:blipFill>
                        <pic:spPr>
                          <a:xfrm>
                            <a:off x="0" y="0"/>
                            <a:ext cx="704850" cy="914400"/>
                          </a:xfrm>
                          <a:prstGeom prst="rect">
                            <a:avLst/>
                          </a:prstGeom>
                          <a:noFill/>
                          <a:ln w="9525">
                            <a:noFill/>
                            <a:miter lim="800000"/>
                            <a:headEnd/>
                            <a:tailEnd/>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166" w:type="dxa"/>
            <w:vAlign w:val="center"/>
          </w:tcPr>
          <w:p>
            <w:pPr>
              <w:pStyle w:val="4"/>
              <w:keepNext w:val="0"/>
              <w:keepLines w:val="0"/>
              <w:pageBreakBefore w:val="0"/>
              <w:widowControl w:val="0"/>
              <w:kinsoku/>
              <w:wordWrap/>
              <w:overflowPunct/>
              <w:topLinePunct w:val="0"/>
              <w:autoSpaceDN w:val="0"/>
              <w:bidi w:val="0"/>
              <w:adjustRightInd w:val="0"/>
              <w:snapToGrid/>
              <w:spacing w:line="240" w:lineRule="auto"/>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拿取毛坯、手工去毛刺时</w:t>
            </w:r>
          </w:p>
        </w:tc>
        <w:tc>
          <w:tcPr>
            <w:tcW w:w="6453" w:type="dxa"/>
          </w:tcPr>
          <w:p>
            <w:pPr>
              <w:keepNext w:val="0"/>
              <w:keepLines w:val="0"/>
              <w:pageBreakBefore w:val="0"/>
              <w:widowControl w:val="0"/>
              <w:kinsoku/>
              <w:wordWrap/>
              <w:overflowPunct/>
              <w:topLinePunct w:val="0"/>
              <w:autoSpaceDN w:val="0"/>
              <w:bidi w:val="0"/>
              <w:adjustRightInd w:val="0"/>
              <w:snapToGrid/>
              <w:spacing w:line="240" w:lineRule="auto"/>
              <w:jc w:val="left"/>
              <w:textAlignment w:val="auto"/>
              <w:rPr>
                <w:rFonts w:ascii="仿宋" w:hAnsi="仿宋" w:eastAsia="仿宋"/>
                <w:kern w:val="0"/>
                <w:sz w:val="28"/>
                <w:szCs w:val="28"/>
              </w:rPr>
            </w:pPr>
            <w:r>
              <w:rPr>
                <w:rFonts w:ascii="仿宋" w:hAnsi="仿宋" w:eastAsia="仿宋"/>
                <w:kern w:val="0"/>
                <w:sz w:val="28"/>
                <w:szCs w:val="28"/>
              </w:rPr>
              <w:drawing>
                <wp:anchor distT="0" distB="0" distL="0" distR="0" simplePos="0" relativeHeight="251668480" behindDoc="0" locked="0" layoutInCell="1" allowOverlap="1">
                  <wp:simplePos x="0" y="0"/>
                  <wp:positionH relativeFrom="column">
                    <wp:posOffset>19050</wp:posOffset>
                  </wp:positionH>
                  <wp:positionV relativeFrom="paragraph">
                    <wp:posOffset>-533400</wp:posOffset>
                  </wp:positionV>
                  <wp:extent cx="628650" cy="838200"/>
                  <wp:effectExtent l="19050" t="0" r="0" b="0"/>
                  <wp:wrapSquare wrapText="bothSides"/>
                  <wp:docPr id="15"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true" noChangeArrowheads="true"/>
                          </pic:cNvPicPr>
                        </pic:nvPicPr>
                        <pic:blipFill>
                          <a:blip r:embed="rId15" cstate="print"/>
                          <a:srcRect/>
                          <a:stretch>
                            <a:fillRect/>
                          </a:stretch>
                        </pic:blipFill>
                        <pic:spPr>
                          <a:xfrm>
                            <a:off x="0" y="0"/>
                            <a:ext cx="628650" cy="83820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69504" behindDoc="0" locked="0" layoutInCell="1" allowOverlap="1">
                  <wp:simplePos x="0" y="0"/>
                  <wp:positionH relativeFrom="column">
                    <wp:posOffset>647700</wp:posOffset>
                  </wp:positionH>
                  <wp:positionV relativeFrom="paragraph">
                    <wp:posOffset>-533400</wp:posOffset>
                  </wp:positionV>
                  <wp:extent cx="666750" cy="838200"/>
                  <wp:effectExtent l="0" t="0" r="3810" b="0"/>
                  <wp:wrapSquare wrapText="bothSides"/>
                  <wp:docPr id="16"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true" noChangeArrowheads="true"/>
                          </pic:cNvPicPr>
                        </pic:nvPicPr>
                        <pic:blipFill>
                          <a:blip r:embed="rId11" cstate="print"/>
                          <a:srcRect/>
                          <a:stretch>
                            <a:fillRect/>
                          </a:stretch>
                        </pic:blipFill>
                        <pic:spPr>
                          <a:xfrm>
                            <a:off x="0" y="0"/>
                            <a:ext cx="666750" cy="83820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70528" behindDoc="0" locked="0" layoutInCell="1" allowOverlap="1">
                  <wp:simplePos x="0" y="0"/>
                  <wp:positionH relativeFrom="column">
                    <wp:posOffset>1337310</wp:posOffset>
                  </wp:positionH>
                  <wp:positionV relativeFrom="paragraph">
                    <wp:posOffset>-571500</wp:posOffset>
                  </wp:positionV>
                  <wp:extent cx="666750" cy="876300"/>
                  <wp:effectExtent l="19050" t="0" r="0" b="0"/>
                  <wp:wrapSquare wrapText="bothSides"/>
                  <wp:docPr id="17"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true" noChangeArrowheads="true"/>
                          </pic:cNvPicPr>
                        </pic:nvPicPr>
                        <pic:blipFill>
                          <a:blip r:embed="rId12" cstate="print"/>
                          <a:srcRect/>
                          <a:stretch>
                            <a:fillRect/>
                          </a:stretch>
                        </pic:blipFill>
                        <pic:spPr>
                          <a:xfrm>
                            <a:off x="0" y="0"/>
                            <a:ext cx="666750" cy="87630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72576" behindDoc="0" locked="0" layoutInCell="1" allowOverlap="1">
                  <wp:simplePos x="0" y="0"/>
                  <wp:positionH relativeFrom="column">
                    <wp:posOffset>2023110</wp:posOffset>
                  </wp:positionH>
                  <wp:positionV relativeFrom="paragraph">
                    <wp:posOffset>-495300</wp:posOffset>
                  </wp:positionV>
                  <wp:extent cx="609600" cy="800100"/>
                  <wp:effectExtent l="19050" t="0" r="0" b="0"/>
                  <wp:wrapSquare wrapText="bothSides"/>
                  <wp:docPr id="18"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true" noChangeArrowheads="true"/>
                          </pic:cNvPicPr>
                        </pic:nvPicPr>
                        <pic:blipFill>
                          <a:blip r:embed="rId13" cstate="print"/>
                          <a:srcRect/>
                          <a:stretch>
                            <a:fillRect/>
                          </a:stretch>
                        </pic:blipFill>
                        <pic:spPr>
                          <a:xfrm>
                            <a:off x="0" y="0"/>
                            <a:ext cx="609600" cy="80010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71552" behindDoc="0" locked="0" layoutInCell="1" allowOverlap="1">
                  <wp:simplePos x="0" y="0"/>
                  <wp:positionH relativeFrom="column">
                    <wp:posOffset>2651760</wp:posOffset>
                  </wp:positionH>
                  <wp:positionV relativeFrom="paragraph">
                    <wp:posOffset>-542925</wp:posOffset>
                  </wp:positionV>
                  <wp:extent cx="647700" cy="847725"/>
                  <wp:effectExtent l="19050" t="0" r="0" b="0"/>
                  <wp:wrapSquare wrapText="bothSides"/>
                  <wp:docPr id="19"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true" noChangeArrowheads="true"/>
                          </pic:cNvPicPr>
                        </pic:nvPicPr>
                        <pic:blipFill>
                          <a:blip r:embed="rId14" cstate="print"/>
                          <a:srcRect/>
                          <a:stretch>
                            <a:fillRect/>
                          </a:stretch>
                        </pic:blipFill>
                        <pic:spPr>
                          <a:xfrm>
                            <a:off x="0" y="0"/>
                            <a:ext cx="647700" cy="847725"/>
                          </a:xfrm>
                          <a:prstGeom prst="rect">
                            <a:avLst/>
                          </a:prstGeom>
                          <a:noFill/>
                          <a:ln w="9525">
                            <a:noFill/>
                            <a:miter lim="800000"/>
                            <a:headEnd/>
                            <a:tailEnd/>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166" w:type="dxa"/>
            <w:vAlign w:val="center"/>
          </w:tcPr>
          <w:p>
            <w:pPr>
              <w:pStyle w:val="4"/>
              <w:keepNext w:val="0"/>
              <w:keepLines w:val="0"/>
              <w:pageBreakBefore w:val="0"/>
              <w:widowControl w:val="0"/>
              <w:kinsoku/>
              <w:wordWrap/>
              <w:overflowPunct/>
              <w:topLinePunct w:val="0"/>
              <w:autoSpaceDN w:val="0"/>
              <w:bidi w:val="0"/>
              <w:adjustRightInd w:val="0"/>
              <w:snapToGrid/>
              <w:spacing w:line="240" w:lineRule="auto"/>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其他操作时</w:t>
            </w:r>
          </w:p>
        </w:tc>
        <w:tc>
          <w:tcPr>
            <w:tcW w:w="6453" w:type="dxa"/>
          </w:tcPr>
          <w:p>
            <w:pPr>
              <w:keepNext w:val="0"/>
              <w:keepLines w:val="0"/>
              <w:pageBreakBefore w:val="0"/>
              <w:widowControl w:val="0"/>
              <w:kinsoku/>
              <w:wordWrap/>
              <w:overflowPunct/>
              <w:topLinePunct w:val="0"/>
              <w:autoSpaceDN w:val="0"/>
              <w:bidi w:val="0"/>
              <w:adjustRightInd w:val="0"/>
              <w:snapToGrid/>
              <w:spacing w:line="240" w:lineRule="auto"/>
              <w:jc w:val="left"/>
              <w:textAlignment w:val="auto"/>
              <w:rPr>
                <w:rFonts w:ascii="仿宋" w:hAnsi="仿宋" w:eastAsia="仿宋"/>
                <w:kern w:val="0"/>
                <w:sz w:val="28"/>
                <w:szCs w:val="28"/>
              </w:rPr>
            </w:pPr>
            <w:r>
              <w:rPr>
                <w:rFonts w:ascii="仿宋" w:hAnsi="仿宋" w:eastAsia="仿宋"/>
                <w:kern w:val="0"/>
                <w:sz w:val="28"/>
                <w:szCs w:val="28"/>
              </w:rPr>
              <w:drawing>
                <wp:anchor distT="0" distB="0" distL="0" distR="0" simplePos="0" relativeHeight="251673600" behindDoc="0" locked="0" layoutInCell="1" allowOverlap="1">
                  <wp:simplePos x="0" y="0"/>
                  <wp:positionH relativeFrom="column">
                    <wp:posOffset>19050</wp:posOffset>
                  </wp:positionH>
                  <wp:positionV relativeFrom="paragraph">
                    <wp:posOffset>-771525</wp:posOffset>
                  </wp:positionV>
                  <wp:extent cx="819150" cy="1076325"/>
                  <wp:effectExtent l="19050" t="0" r="0" b="0"/>
                  <wp:wrapSquare wrapText="bothSides"/>
                  <wp:docPr id="20"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14"/>
                          <pic:cNvPicPr>
                            <a:picLocks noChangeAspect="true" noChangeArrowheads="true"/>
                          </pic:cNvPicPr>
                        </pic:nvPicPr>
                        <pic:blipFill>
                          <a:blip r:embed="rId13" cstate="print"/>
                          <a:srcRect/>
                          <a:stretch>
                            <a:fillRect/>
                          </a:stretch>
                        </pic:blipFill>
                        <pic:spPr>
                          <a:xfrm>
                            <a:off x="0" y="0"/>
                            <a:ext cx="819150" cy="1076325"/>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74624" behindDoc="0" locked="0" layoutInCell="1" allowOverlap="1">
                  <wp:simplePos x="0" y="0"/>
                  <wp:positionH relativeFrom="column">
                    <wp:posOffset>857250</wp:posOffset>
                  </wp:positionH>
                  <wp:positionV relativeFrom="paragraph">
                    <wp:posOffset>-704850</wp:posOffset>
                  </wp:positionV>
                  <wp:extent cx="781050" cy="1009650"/>
                  <wp:effectExtent l="19050" t="0" r="0" b="0"/>
                  <wp:wrapSquare wrapText="bothSides"/>
                  <wp:docPr id="21"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true" noChangeArrowheads="true"/>
                          </pic:cNvPicPr>
                        </pic:nvPicPr>
                        <pic:blipFill>
                          <a:blip r:embed="rId14" cstate="print"/>
                          <a:srcRect/>
                          <a:stretch>
                            <a:fillRect/>
                          </a:stretch>
                        </pic:blipFill>
                        <pic:spPr>
                          <a:xfrm>
                            <a:off x="0" y="0"/>
                            <a:ext cx="781050" cy="1009650"/>
                          </a:xfrm>
                          <a:prstGeom prst="rect">
                            <a:avLst/>
                          </a:prstGeom>
                          <a:noFill/>
                          <a:ln w="9525">
                            <a:noFill/>
                            <a:miter lim="800000"/>
                            <a:headEnd/>
                            <a:tailEnd/>
                          </a:ln>
                        </pic:spPr>
                      </pic:pic>
                    </a:graphicData>
                  </a:graphic>
                </wp:anchor>
              </w:drawing>
            </w:r>
          </w:p>
        </w:tc>
      </w:tr>
    </w:tbl>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4.有毒有害物品的管理和限制。选手禁止携带易燃易爆物品，见表15-3所示。</w:t>
      </w:r>
    </w:p>
    <w:p>
      <w:pPr>
        <w:pageBreakBefore w:val="0"/>
        <w:widowControl w:val="0"/>
        <w:kinsoku/>
        <w:overflowPunct/>
        <w:topLinePunct w:val="0"/>
        <w:autoSpaceDN w:val="0"/>
        <w:bidi w:val="0"/>
        <w:adjustRightInd w:val="0"/>
        <w:snapToGrid w:val="0"/>
        <w:spacing w:line="600" w:lineRule="exact"/>
        <w:ind w:firstLine="480" w:firstLineChars="200"/>
        <w:jc w:val="center"/>
        <w:textAlignment w:val="auto"/>
        <w:rPr>
          <w:rFonts w:ascii="仿宋" w:hAnsi="仿宋" w:eastAsia="仿宋"/>
          <w:sz w:val="28"/>
          <w:szCs w:val="28"/>
        </w:rPr>
      </w:pPr>
      <w:r>
        <w:rPr>
          <w:rFonts w:hint="eastAsia" w:ascii="黑体" w:hAnsi="黑体" w:eastAsia="黑体" w:cs="黑体"/>
          <w:sz w:val="24"/>
        </w:rPr>
        <w:t>表1</w:t>
      </w:r>
      <w:r>
        <w:rPr>
          <w:rFonts w:hint="eastAsia" w:ascii="黑体" w:hAnsi="黑体" w:eastAsia="黑体" w:cs="黑体"/>
          <w:sz w:val="24"/>
          <w:lang w:val="en-US" w:eastAsia="zh-CN"/>
        </w:rPr>
        <w:t>5</w:t>
      </w:r>
      <w:r>
        <w:rPr>
          <w:rFonts w:hint="eastAsia" w:ascii="黑体" w:hAnsi="黑体" w:eastAsia="黑体" w:cs="黑体"/>
          <w:sz w:val="24"/>
        </w:rPr>
        <w:t xml:space="preserve">-3 选手禁带的物品 </w:t>
      </w:r>
      <w:r>
        <w:rPr>
          <w:rFonts w:hint="eastAsia" w:ascii="仿宋" w:hAnsi="仿宋" w:eastAsia="仿宋"/>
          <w:sz w:val="24"/>
        </w:rPr>
        <w:t xml:space="preserve">  </w:t>
      </w:r>
      <w:r>
        <w:rPr>
          <w:rFonts w:hint="eastAsia" w:ascii="仿宋" w:hAnsi="仿宋" w:eastAsia="仿宋"/>
          <w:sz w:val="28"/>
          <w:szCs w:val="28"/>
        </w:rPr>
        <w:t xml:space="preserve">            </w:t>
      </w:r>
    </w:p>
    <w:tbl>
      <w:tblPr>
        <w:tblStyle w:val="2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3305"/>
        <w:gridCol w:w="2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40" w:type="dxa"/>
            <w:vAlign w:val="center"/>
          </w:tcPr>
          <w:p>
            <w:pPr>
              <w:pStyle w:val="4"/>
              <w:keepNext w:val="0"/>
              <w:keepLines w:val="0"/>
              <w:pageBreakBefore w:val="0"/>
              <w:widowControl w:val="0"/>
              <w:kinsoku/>
              <w:wordWrap/>
              <w:overflowPunct/>
              <w:topLinePunct w:val="0"/>
              <w:autoSpaceDN w:val="0"/>
              <w:bidi w:val="0"/>
              <w:adjustRightInd w:val="0"/>
              <w:snapToGrid/>
              <w:spacing w:line="240" w:lineRule="auto"/>
              <w:jc w:val="center"/>
              <w:textAlignment w:val="auto"/>
              <w:rPr>
                <w:rFonts w:hint="eastAsia" w:ascii="黑体" w:hAnsi="黑体" w:eastAsia="黑体" w:cs="黑体"/>
                <w:color w:val="auto"/>
                <w:kern w:val="2"/>
              </w:rPr>
            </w:pPr>
            <w:r>
              <w:rPr>
                <w:rFonts w:hint="eastAsia" w:ascii="黑体" w:hAnsi="黑体" w:eastAsia="黑体" w:cs="黑体"/>
                <w:color w:val="auto"/>
                <w:kern w:val="2"/>
              </w:rPr>
              <w:t>有害物品</w:t>
            </w:r>
          </w:p>
        </w:tc>
        <w:tc>
          <w:tcPr>
            <w:tcW w:w="3305" w:type="dxa"/>
            <w:vAlign w:val="center"/>
          </w:tcPr>
          <w:p>
            <w:pPr>
              <w:pStyle w:val="4"/>
              <w:keepNext w:val="0"/>
              <w:keepLines w:val="0"/>
              <w:pageBreakBefore w:val="0"/>
              <w:widowControl w:val="0"/>
              <w:kinsoku/>
              <w:wordWrap/>
              <w:overflowPunct/>
              <w:topLinePunct w:val="0"/>
              <w:autoSpaceDN w:val="0"/>
              <w:bidi w:val="0"/>
              <w:adjustRightInd w:val="0"/>
              <w:snapToGrid/>
              <w:spacing w:line="240" w:lineRule="auto"/>
              <w:jc w:val="center"/>
              <w:textAlignment w:val="auto"/>
              <w:rPr>
                <w:rFonts w:hint="eastAsia" w:ascii="黑体" w:hAnsi="黑体" w:eastAsia="黑体" w:cs="黑体"/>
                <w:color w:val="auto"/>
                <w:kern w:val="2"/>
              </w:rPr>
            </w:pPr>
            <w:r>
              <w:rPr>
                <w:rFonts w:hint="eastAsia" w:ascii="黑体" w:hAnsi="黑体" w:eastAsia="黑体" w:cs="黑体"/>
                <w:color w:val="auto"/>
                <w:kern w:val="2"/>
              </w:rPr>
              <w:t>图示</w:t>
            </w:r>
          </w:p>
        </w:tc>
        <w:tc>
          <w:tcPr>
            <w:tcW w:w="2377" w:type="dxa"/>
            <w:vAlign w:val="center"/>
          </w:tcPr>
          <w:p>
            <w:pPr>
              <w:pStyle w:val="4"/>
              <w:keepNext w:val="0"/>
              <w:keepLines w:val="0"/>
              <w:pageBreakBefore w:val="0"/>
              <w:widowControl w:val="0"/>
              <w:kinsoku/>
              <w:wordWrap/>
              <w:overflowPunct/>
              <w:topLinePunct w:val="0"/>
              <w:autoSpaceDN w:val="0"/>
              <w:bidi w:val="0"/>
              <w:adjustRightInd w:val="0"/>
              <w:snapToGrid/>
              <w:spacing w:line="240" w:lineRule="auto"/>
              <w:jc w:val="center"/>
              <w:textAlignment w:val="auto"/>
              <w:rPr>
                <w:rFonts w:hint="eastAsia" w:ascii="黑体" w:hAnsi="黑体" w:eastAsia="黑体" w:cs="黑体"/>
                <w:color w:val="auto"/>
                <w:kern w:val="2"/>
              </w:rPr>
            </w:pPr>
            <w:r>
              <w:rPr>
                <w:rFonts w:hint="eastAsia" w:ascii="黑体" w:hAnsi="黑体" w:eastAsia="黑体" w:cs="黑体"/>
                <w:color w:val="auto"/>
                <w:kern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40" w:type="dxa"/>
            <w:vAlign w:val="center"/>
          </w:tcPr>
          <w:p>
            <w:pPr>
              <w:pStyle w:val="4"/>
              <w:keepNext w:val="0"/>
              <w:keepLines w:val="0"/>
              <w:pageBreakBefore w:val="0"/>
              <w:widowControl w:val="0"/>
              <w:kinsoku/>
              <w:wordWrap/>
              <w:overflowPunct/>
              <w:topLinePunct w:val="0"/>
              <w:autoSpaceDN w:val="0"/>
              <w:bidi w:val="0"/>
              <w:adjustRightInd w:val="0"/>
              <w:snapToGrid/>
              <w:spacing w:line="240" w:lineRule="auto"/>
              <w:jc w:val="center"/>
              <w:textAlignment w:val="auto"/>
              <w:rPr>
                <w:rFonts w:ascii="仿宋" w:hAnsi="仿宋" w:eastAsia="仿宋" w:cs="Times New Roman"/>
                <w:color w:val="auto"/>
                <w:kern w:val="2"/>
              </w:rPr>
            </w:pPr>
            <w:r>
              <w:rPr>
                <w:rFonts w:hint="eastAsia" w:ascii="仿宋_GB2312" w:hAnsi="仿宋_GB2312" w:eastAsia="仿宋_GB2312" w:cs="仿宋_GB2312"/>
                <w:b w:val="0"/>
                <w:bCs w:val="0"/>
                <w:color w:val="auto"/>
                <w:kern w:val="2"/>
                <w:sz w:val="24"/>
                <w:szCs w:val="24"/>
                <w:lang w:val="en-US" w:eastAsia="zh-CN" w:bidi="ar-SA"/>
              </w:rPr>
              <w:t>防锈清洗剂</w:t>
            </w:r>
          </w:p>
        </w:tc>
        <w:tc>
          <w:tcPr>
            <w:tcW w:w="3305" w:type="dxa"/>
            <w:vAlign w:val="center"/>
          </w:tcPr>
          <w:p>
            <w:pPr>
              <w:pStyle w:val="4"/>
              <w:keepNext w:val="0"/>
              <w:keepLines w:val="0"/>
              <w:pageBreakBefore w:val="0"/>
              <w:widowControl w:val="0"/>
              <w:kinsoku/>
              <w:wordWrap/>
              <w:overflowPunct/>
              <w:topLinePunct w:val="0"/>
              <w:autoSpaceDN w:val="0"/>
              <w:bidi w:val="0"/>
              <w:adjustRightInd w:val="0"/>
              <w:snapToGrid/>
              <w:spacing w:line="240" w:lineRule="auto"/>
              <w:jc w:val="center"/>
              <w:textAlignment w:val="auto"/>
              <w:rPr>
                <w:rFonts w:ascii="仿宋" w:hAnsi="仿宋" w:eastAsia="仿宋"/>
                <w:color w:val="auto"/>
              </w:rPr>
            </w:pPr>
            <w:r>
              <w:rPr>
                <w:rFonts w:ascii="仿宋" w:hAnsi="仿宋" w:eastAsia="仿宋"/>
                <w:color w:val="auto"/>
              </w:rPr>
              <w:drawing>
                <wp:anchor distT="0" distB="0" distL="0" distR="0" simplePos="0" relativeHeight="251675648" behindDoc="0" locked="0" layoutInCell="1" allowOverlap="1">
                  <wp:simplePos x="0" y="0"/>
                  <wp:positionH relativeFrom="column">
                    <wp:posOffset>629285</wp:posOffset>
                  </wp:positionH>
                  <wp:positionV relativeFrom="paragraph">
                    <wp:posOffset>24130</wp:posOffset>
                  </wp:positionV>
                  <wp:extent cx="676275" cy="666750"/>
                  <wp:effectExtent l="19050" t="0" r="9525" b="0"/>
                  <wp:wrapSquare wrapText="bothSides"/>
                  <wp:docPr id="22"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16"/>
                          <pic:cNvPicPr>
                            <a:picLocks noChangeAspect="true" noChangeArrowheads="true"/>
                          </pic:cNvPicPr>
                        </pic:nvPicPr>
                        <pic:blipFill>
                          <a:blip r:embed="rId16" cstate="print"/>
                          <a:srcRect/>
                          <a:stretch>
                            <a:fillRect/>
                          </a:stretch>
                        </pic:blipFill>
                        <pic:spPr>
                          <a:xfrm>
                            <a:off x="0" y="0"/>
                            <a:ext cx="676275" cy="666750"/>
                          </a:xfrm>
                          <a:prstGeom prst="rect">
                            <a:avLst/>
                          </a:prstGeom>
                          <a:noFill/>
                          <a:ln w="9525">
                            <a:noFill/>
                            <a:miter lim="800000"/>
                            <a:headEnd/>
                            <a:tailEnd/>
                          </a:ln>
                        </pic:spPr>
                      </pic:pic>
                    </a:graphicData>
                  </a:graphic>
                </wp:anchor>
              </w:drawing>
            </w:r>
          </w:p>
        </w:tc>
        <w:tc>
          <w:tcPr>
            <w:tcW w:w="2377" w:type="dxa"/>
            <w:vAlign w:val="center"/>
          </w:tcPr>
          <w:p>
            <w:pPr>
              <w:pStyle w:val="4"/>
              <w:keepNext w:val="0"/>
              <w:keepLines w:val="0"/>
              <w:pageBreakBefore w:val="0"/>
              <w:widowControl w:val="0"/>
              <w:kinsoku/>
              <w:wordWrap/>
              <w:overflowPunct/>
              <w:topLinePunct w:val="0"/>
              <w:autoSpaceDN w:val="0"/>
              <w:bidi w:val="0"/>
              <w:adjustRightInd w:val="0"/>
              <w:snapToGrid/>
              <w:spacing w:line="240" w:lineRule="auto"/>
              <w:jc w:val="center"/>
              <w:textAlignment w:val="auto"/>
              <w:rPr>
                <w:rFonts w:ascii="仿宋" w:hAnsi="仿宋" w:eastAsia="仿宋" w:cs="Times New Roman"/>
                <w:color w:val="auto"/>
                <w:kern w:val="2"/>
              </w:rPr>
            </w:pPr>
            <w:r>
              <w:rPr>
                <w:rFonts w:hint="eastAsia" w:ascii="仿宋_GB2312" w:hAnsi="仿宋_GB2312" w:eastAsia="仿宋_GB2312" w:cs="仿宋_GB2312"/>
                <w:b w:val="0"/>
                <w:bCs w:val="0"/>
                <w:color w:val="auto"/>
                <w:kern w:val="2"/>
                <w:sz w:val="24"/>
                <w:szCs w:val="24"/>
                <w:lang w:val="en-US" w:eastAsia="zh-CN" w:bidi="ar-SA"/>
              </w:rPr>
              <w:t>禁止携带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40" w:type="dxa"/>
            <w:vAlign w:val="center"/>
          </w:tcPr>
          <w:p>
            <w:pPr>
              <w:pStyle w:val="4"/>
              <w:keepNext w:val="0"/>
              <w:keepLines w:val="0"/>
              <w:pageBreakBefore w:val="0"/>
              <w:widowControl w:val="0"/>
              <w:kinsoku/>
              <w:wordWrap/>
              <w:overflowPunct/>
              <w:topLinePunct w:val="0"/>
              <w:autoSpaceDN w:val="0"/>
              <w:bidi w:val="0"/>
              <w:adjustRightInd w:val="0"/>
              <w:snapToGrid/>
              <w:spacing w:line="240" w:lineRule="auto"/>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酒精、汽油</w:t>
            </w:r>
          </w:p>
        </w:tc>
        <w:tc>
          <w:tcPr>
            <w:tcW w:w="3305" w:type="dxa"/>
            <w:vAlign w:val="center"/>
          </w:tcPr>
          <w:p>
            <w:pPr>
              <w:keepNext w:val="0"/>
              <w:keepLines w:val="0"/>
              <w:pageBreakBefore w:val="0"/>
              <w:widowControl w:val="0"/>
              <w:tabs>
                <w:tab w:val="center" w:pos="1372"/>
                <w:tab w:val="right" w:pos="2625"/>
              </w:tabs>
              <w:kinsoku/>
              <w:wordWrap/>
              <w:overflowPunct/>
              <w:topLinePunct w:val="0"/>
              <w:autoSpaceDN w:val="0"/>
              <w:bidi w:val="0"/>
              <w:adjustRightInd w:val="0"/>
              <w:snapToGrid/>
              <w:spacing w:line="240" w:lineRule="auto"/>
              <w:jc w:val="left"/>
              <w:textAlignment w:val="auto"/>
              <w:rPr>
                <w:rFonts w:ascii="仿宋" w:hAnsi="仿宋" w:eastAsia="仿宋"/>
                <w:kern w:val="0"/>
                <w:sz w:val="24"/>
              </w:rPr>
            </w:pPr>
            <w:r>
              <w:rPr>
                <w:rFonts w:ascii="仿宋" w:hAnsi="仿宋" w:eastAsia="仿宋"/>
                <w:kern w:val="0"/>
                <w:sz w:val="24"/>
              </w:rPr>
              <w:drawing>
                <wp:anchor distT="0" distB="0" distL="0" distR="0" simplePos="0" relativeHeight="251678720" behindDoc="0" locked="0" layoutInCell="1" allowOverlap="1">
                  <wp:simplePos x="0" y="0"/>
                  <wp:positionH relativeFrom="column">
                    <wp:posOffset>1066800</wp:posOffset>
                  </wp:positionH>
                  <wp:positionV relativeFrom="paragraph">
                    <wp:posOffset>155575</wp:posOffset>
                  </wp:positionV>
                  <wp:extent cx="691515" cy="600075"/>
                  <wp:effectExtent l="0" t="0" r="9525" b="9525"/>
                  <wp:wrapSquare wrapText="bothSides"/>
                  <wp:docPr id="24"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true" noChangeArrowheads="true"/>
                          </pic:cNvPicPr>
                        </pic:nvPicPr>
                        <pic:blipFill>
                          <a:blip r:embed="rId17" cstate="print"/>
                          <a:srcRect/>
                          <a:stretch>
                            <a:fillRect/>
                          </a:stretch>
                        </pic:blipFill>
                        <pic:spPr>
                          <a:xfrm>
                            <a:off x="0" y="0"/>
                            <a:ext cx="691515" cy="600075"/>
                          </a:xfrm>
                          <a:prstGeom prst="rect">
                            <a:avLst/>
                          </a:prstGeom>
                          <a:noFill/>
                          <a:ln w="9525">
                            <a:noFill/>
                            <a:miter lim="800000"/>
                            <a:headEnd/>
                            <a:tailEnd/>
                          </a:ln>
                        </pic:spPr>
                      </pic:pic>
                    </a:graphicData>
                  </a:graphic>
                </wp:anchor>
              </w:drawing>
            </w:r>
            <w:r>
              <w:rPr>
                <w:rFonts w:ascii="仿宋" w:hAnsi="仿宋" w:eastAsia="仿宋"/>
                <w:kern w:val="0"/>
                <w:sz w:val="24"/>
              </w:rPr>
              <w:drawing>
                <wp:anchor distT="0" distB="0" distL="0" distR="0" simplePos="0" relativeHeight="251677696" behindDoc="0" locked="0" layoutInCell="1" allowOverlap="1">
                  <wp:simplePos x="0" y="0"/>
                  <wp:positionH relativeFrom="column">
                    <wp:posOffset>45720</wp:posOffset>
                  </wp:positionH>
                  <wp:positionV relativeFrom="paragraph">
                    <wp:posOffset>69850</wp:posOffset>
                  </wp:positionV>
                  <wp:extent cx="758825" cy="758825"/>
                  <wp:effectExtent l="0" t="0" r="3175" b="3175"/>
                  <wp:wrapSquare wrapText="bothSides"/>
                  <wp:docPr id="23"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true" noChangeArrowheads="true"/>
                          </pic:cNvPicPr>
                        </pic:nvPicPr>
                        <pic:blipFill>
                          <a:blip r:embed="rId18" cstate="print"/>
                          <a:srcRect/>
                          <a:stretch>
                            <a:fillRect/>
                          </a:stretch>
                        </pic:blipFill>
                        <pic:spPr>
                          <a:xfrm>
                            <a:off x="0" y="0"/>
                            <a:ext cx="758825" cy="758825"/>
                          </a:xfrm>
                          <a:prstGeom prst="rect">
                            <a:avLst/>
                          </a:prstGeom>
                          <a:noFill/>
                          <a:ln w="9525">
                            <a:noFill/>
                            <a:miter lim="800000"/>
                            <a:headEnd/>
                            <a:tailEnd/>
                          </a:ln>
                        </pic:spPr>
                      </pic:pic>
                    </a:graphicData>
                  </a:graphic>
                </wp:anchor>
              </w:drawing>
            </w:r>
            <w:r>
              <w:rPr>
                <w:rFonts w:hint="eastAsia" w:ascii="仿宋" w:hAnsi="仿宋" w:eastAsia="仿宋"/>
                <w:kern w:val="0"/>
                <w:sz w:val="24"/>
                <w:lang w:eastAsia="zh-CN"/>
              </w:rPr>
              <w:tab/>
            </w:r>
          </w:p>
        </w:tc>
        <w:tc>
          <w:tcPr>
            <w:tcW w:w="2377" w:type="dxa"/>
            <w:vAlign w:val="center"/>
          </w:tcPr>
          <w:p>
            <w:pPr>
              <w:pStyle w:val="4"/>
              <w:keepNext w:val="0"/>
              <w:keepLines w:val="0"/>
              <w:pageBreakBefore w:val="0"/>
              <w:widowControl w:val="0"/>
              <w:kinsoku/>
              <w:wordWrap/>
              <w:overflowPunct/>
              <w:topLinePunct w:val="0"/>
              <w:autoSpaceDN w:val="0"/>
              <w:bidi w:val="0"/>
              <w:adjustRightInd w:val="0"/>
              <w:snapToGrid/>
              <w:spacing w:line="240" w:lineRule="auto"/>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严禁携带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40" w:type="dxa"/>
            <w:vAlign w:val="center"/>
          </w:tcPr>
          <w:p>
            <w:pPr>
              <w:pStyle w:val="4"/>
              <w:keepNext w:val="0"/>
              <w:keepLines w:val="0"/>
              <w:pageBreakBefore w:val="0"/>
              <w:widowControl w:val="0"/>
              <w:kinsoku/>
              <w:wordWrap/>
              <w:overflowPunct/>
              <w:topLinePunct w:val="0"/>
              <w:autoSpaceDN w:val="0"/>
              <w:bidi w:val="0"/>
              <w:adjustRightInd w:val="0"/>
              <w:snapToGrid/>
              <w:spacing w:line="240" w:lineRule="auto"/>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有毒有害物</w:t>
            </w:r>
          </w:p>
        </w:tc>
        <w:tc>
          <w:tcPr>
            <w:tcW w:w="3305" w:type="dxa"/>
            <w:vAlign w:val="center"/>
          </w:tcPr>
          <w:p>
            <w:pPr>
              <w:keepNext w:val="0"/>
              <w:keepLines w:val="0"/>
              <w:pageBreakBefore w:val="0"/>
              <w:widowControl w:val="0"/>
              <w:kinsoku/>
              <w:wordWrap/>
              <w:overflowPunct/>
              <w:topLinePunct w:val="0"/>
              <w:autoSpaceDN w:val="0"/>
              <w:bidi w:val="0"/>
              <w:adjustRightInd w:val="0"/>
              <w:snapToGrid/>
              <w:spacing w:line="240" w:lineRule="auto"/>
              <w:jc w:val="center"/>
              <w:textAlignment w:val="auto"/>
              <w:rPr>
                <w:rFonts w:ascii="仿宋" w:hAnsi="仿宋" w:eastAsia="仿宋"/>
                <w:kern w:val="0"/>
                <w:sz w:val="24"/>
              </w:rPr>
            </w:pPr>
            <w:r>
              <w:rPr>
                <w:rFonts w:ascii="仿宋" w:hAnsi="仿宋" w:eastAsia="仿宋"/>
                <w:kern w:val="0"/>
                <w:sz w:val="24"/>
              </w:rPr>
              <w:drawing>
                <wp:anchor distT="0" distB="0" distL="0" distR="0" simplePos="0" relativeHeight="251676672" behindDoc="0" locked="0" layoutInCell="1" allowOverlap="1">
                  <wp:simplePos x="0" y="0"/>
                  <wp:positionH relativeFrom="column">
                    <wp:posOffset>278765</wp:posOffset>
                  </wp:positionH>
                  <wp:positionV relativeFrom="paragraph">
                    <wp:posOffset>77470</wp:posOffset>
                  </wp:positionV>
                  <wp:extent cx="1209675" cy="609600"/>
                  <wp:effectExtent l="19050" t="0" r="9525" b="0"/>
                  <wp:wrapSquare wrapText="bothSides"/>
                  <wp:docPr id="25"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true" noChangeArrowheads="true"/>
                          </pic:cNvPicPr>
                        </pic:nvPicPr>
                        <pic:blipFill>
                          <a:blip r:embed="rId19" cstate="print"/>
                          <a:srcRect/>
                          <a:stretch>
                            <a:fillRect/>
                          </a:stretch>
                        </pic:blipFill>
                        <pic:spPr>
                          <a:xfrm>
                            <a:off x="0" y="0"/>
                            <a:ext cx="1209675" cy="609600"/>
                          </a:xfrm>
                          <a:prstGeom prst="rect">
                            <a:avLst/>
                          </a:prstGeom>
                          <a:noFill/>
                          <a:ln w="9525">
                            <a:noFill/>
                            <a:miter lim="800000"/>
                            <a:headEnd/>
                            <a:tailEnd/>
                          </a:ln>
                        </pic:spPr>
                      </pic:pic>
                    </a:graphicData>
                  </a:graphic>
                </wp:anchor>
              </w:drawing>
            </w:r>
          </w:p>
        </w:tc>
        <w:tc>
          <w:tcPr>
            <w:tcW w:w="2377" w:type="dxa"/>
            <w:vAlign w:val="center"/>
          </w:tcPr>
          <w:p>
            <w:pPr>
              <w:pStyle w:val="4"/>
              <w:keepNext w:val="0"/>
              <w:keepLines w:val="0"/>
              <w:pageBreakBefore w:val="0"/>
              <w:widowControl w:val="0"/>
              <w:kinsoku/>
              <w:wordWrap/>
              <w:overflowPunct/>
              <w:topLinePunct w:val="0"/>
              <w:autoSpaceDN w:val="0"/>
              <w:bidi w:val="0"/>
              <w:adjustRightInd w:val="0"/>
              <w:snapToGrid/>
              <w:spacing w:line="240" w:lineRule="auto"/>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严禁携带</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5.操作者必须全面掌握本赛项所用机床操作使用说明书的内容,熟悉本赛项所用机床的一般性能和结构，禁止超性能使用。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6.正确使用各测量工具和仪器，特别是高精密测量仪器，防止碰摔事故的发生。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7.组件或部件装好经检查合格后，必须加妥善防护措施，以防止水汽、污物及其他脏东西进入内部。</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8.各管路系统（如气压管路等），应按机床外形排列整齐，固定可靠，不允许有扭曲及损害外形美观的现象。</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9.必须熟悉了解机床的安全保护措施和安全操作规程，随时监控显示装置，发现报警信号时，停止加工并判断报警内容及排除故障。</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10.使用的工量具应排列放置整齐，比赛过程中严格按照工艺要求使用。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47" w:name="_Toc477270913"/>
      <w:r>
        <w:rPr>
          <w:rFonts w:hint="eastAsia" w:ascii="楷体_GB2312" w:hAnsi="楷体_GB2312" w:eastAsia="楷体_GB2312" w:cs="楷体_GB2312"/>
          <w:sz w:val="30"/>
          <w:szCs w:val="30"/>
          <w:lang w:val="en-US" w:eastAsia="zh-CN"/>
        </w:rPr>
        <w:t>（七）安全保卫</w:t>
      </w:r>
      <w:bookmarkEnd w:id="47"/>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 xml:space="preserve">1.为了确保本次大赛的顺利进行，承办学院建立大赛期间相应的安全保障制度，同时由安全保卫、校园环境及卫生医疗保障组执行： </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2.参赛车辆一律凭承办校核发的证件出入校门，并按指定路线行驶，按指定地点停放。</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3.在比赛开始前，选手要认真阅读场地内张贴的《入场须知》和应急疏散图；参赛各队须在领队的带领下，佩戴统一的入场证，方可出入。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4.各类人员须严格遵守赛场规则，严禁携带与参赛无关的物品入场，严禁携带易燃易爆等危险品入内。</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5.场内不得大声喧哗，说笑打逗，参赛人员要服从工作人员管理。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6.比赛场内严禁吸烟。</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7.安保人员发现不安全隐患及时通报赛场负责人员。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8.参赛人员退场后，需按原路线返回。如果出现安全问题，在安保人员指挥下，迅速按紧急疏散路线撤离现场。</w:t>
      </w:r>
    </w:p>
    <w:p>
      <w:pPr>
        <w:pStyle w:val="53"/>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48" w:name="_Toc477270914"/>
      <w:bookmarkStart w:id="49" w:name="_Toc4287726"/>
      <w:r>
        <w:rPr>
          <w:rFonts w:hint="eastAsia" w:ascii="黑体" w:hAnsi="黑体" w:eastAsia="黑体" w:cs="黑体"/>
          <w:b w:val="0"/>
          <w:bCs/>
          <w:color w:val="000000"/>
          <w:kern w:val="2"/>
          <w:sz w:val="30"/>
          <w:szCs w:val="30"/>
          <w:lang w:val="en-US" w:eastAsia="zh-CN"/>
        </w:rPr>
        <w:t>十六、竞赛须知</w:t>
      </w:r>
      <w:bookmarkEnd w:id="48"/>
      <w:bookmarkEnd w:id="49"/>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所有参赛人员应该树立正确的参赛观，严格遵守相关制度，熟悉赛项规程的相关要求，具体要求如下：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（一）参赛领队须知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1.领队应按时参加赛前领队会议，不得无故缺席。</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2.领队负责组织参赛队参加各项赛事活动。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3.领队应积极做好参赛队的服务工作，协调各参赛队与赛项组织机构、承办院校的对接。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4.各参赛队领队和指导教师要坚决执行比赛的各项规定，加强对参赛人员的管理，做好赛前准备工作，督促选手带好证件和允许自带的工具。</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5.领队要组织参赛人员务必于赛前30分钟到赛场等候，迟到15分钟以上按弃权处理。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参赛队认为存在不符合竞赛规定的设备、工具、软件，有失公正的评判、奖励，以及工作人员的违规行为等情况时，须由领队在该赛项竞赛结束后2小时内，向赛项仲裁组提交书面申诉材料，提交材料的程序及签字应遵守相关要求。各参赛队领队应带头服从和执行申诉的最终仲裁结果，并要求指导教师、选手服从和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（二）指导教师须知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1.指导教师应该根据专业教学计划和赛项规程合理制定训练方案，认真指导选手训练，培养选手的综合职业能力和良好的职业素养，克服功利化思想，避免为赛而学、以赛代学。</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2.指导教师应该根据赛项规程要求做好参赛选手保险办理工作，并积极做好选手的安全教育。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3.指导教师参加赛项观摩等活动，不得违反赛项规定进入赛场，干扰比赛正常进行。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（三）参赛选手须知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1.参赛选手按照大赛赛程安排，凭参赛证和有效身份证件参加比赛及相关活动。参赛选手不符合报名规定条件，或冒名顶替、或弄虚作假，经核准后，一律取消该选手参赛资格。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参赛选手须严格遵守竞赛规程规定的安全操作流程，防止发生安全事故。参赛队统一着装，须符合安全生产及竞赛要求，选手安全帽、工作服、胸牌、工具箱，以及携带物品不得有参赛院校信息，身份证、学生证不得在赛场公开放置。</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参赛选手应自觉遵守赛场纪律，服从裁判、听从指挥、文明比赛；须严格按照规定时间进入候考区和比赛场地，持证进入赛场，禁止将通讯工具、存储设备、自编电子或文字资料带入赛场。如参赛选手因对裁判不服从而停止比赛，则以弃权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4.在每一个比赛环节，参赛队都应该严格按照比赛要求，根据实际测量数据和设置参数，如实填写赛卷记录表。严禁故意编造虚假数据。</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5.参赛选手应该爱护赛场使用的设备、仪器等，不得人为损坏比赛所使用的仪器设备。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6.选手未能按规定正确使用仪器设备，由在场裁判员及时予以纠正，并按规定扣除比赛成绩。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7.参赛选手不得因申诉或对处理意见不服而停止比赛，否则以弃权处理。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8.参赛选手在比赛过程中未经批准，谢绝其他单位和个人进行与比赛内容相关的采访。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（四）工作人员须知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1.服从领导，遵守职业道德、坚持原则、按章办事，切实做到严格认真，公正准确，文明执裁。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2.以高度负责的精神、严肃认真的态度和严谨细致的作风做好工作。熟悉比赛规则，认真执行比赛规则，严格按照工作程序和有关规定办事。</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3.佩戴裁判员胸卡，着裁判员工装，仪表整洁，语言举止文明礼貌，接受仲裁工作组成员和参赛人员的监督。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4.裁判员须参加赛前执裁培训。</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5.竞赛期间，保守竞赛秘密，不得向各参赛队领队、指导教师及选手泄露、暗示大赛秘密。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6.严格遵守比赛时间，不得擅自提前或延长。</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7.严格执行竞赛纪律，除应向参赛选手交代的竞赛须知外，不得向参赛选手暗示解答与竞赛有关的问题，更不得向选手进行指导或提供方便。</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8.实行回避制度，不得与参赛选手及相关人员接触或联系。</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9.坚守岗位，不迟到，不早退。</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10.监督选手遵守竞赛规则和安全操作规程的情况，不得无故干扰选手比赛，正确处理竞赛中出现的问题。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11.遵循公平、公正原则，维护赛场纪律，如实填写赛场记录。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（五）参赛相关管理规定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1.在赛事期间，领队及参赛队其他成员不得私自接触裁判，凡发现有弄虚作假者，取消其参赛资格，成绩无效。</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对于有碍比赛公正和比赛正常进行的参赛队，视其情节轻重，按照相关要求给予警告、取消比赛成绩、通报批评等处理。其中，对于比赛过程及有关活动造成重大影响的，以适当方式通告参赛院校或其所属地区的教育行政主管部门依据有关规定给予行政或纪律处分。涉及刑事犯罪的移交司法机关处理。</w:t>
      </w:r>
    </w:p>
    <w:p>
      <w:pPr>
        <w:pStyle w:val="53"/>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50" w:name="十八、竞赛直播"/>
      <w:bookmarkEnd w:id="50"/>
      <w:bookmarkStart w:id="51" w:name="_Toc4287727"/>
      <w:bookmarkStart w:id="52" w:name="_Toc477270919"/>
      <w:r>
        <w:rPr>
          <w:rFonts w:hint="eastAsia" w:ascii="黑体" w:hAnsi="黑体" w:eastAsia="黑体" w:cs="黑体"/>
          <w:b w:val="0"/>
          <w:bCs/>
          <w:color w:val="000000"/>
          <w:kern w:val="2"/>
          <w:sz w:val="30"/>
          <w:szCs w:val="30"/>
          <w:lang w:val="en-US" w:eastAsia="zh-CN"/>
        </w:rPr>
        <w:t>十七、申诉与仲裁</w:t>
      </w:r>
      <w:bookmarkEnd w:id="51"/>
      <w:bookmarkEnd w:id="52"/>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1.各参赛队对不符合赛项规程规定的设备、工具、材料、计算机软硬件、竞赛执裁、赛场管理及工作人员的不规范行为等，可向赛项仲裁工作组提出申诉。</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2.申诉主体为参赛队领队。</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3.申诉启动时，参赛队以该队领队亲笔签字同意的书面报告的形式递交赛项仲裁工作组。报告应对申诉事件的现象、发生时间、涉及人员、申诉依据等进行充分、实事求是的叙述。非书面申诉不予受理。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4.提出申诉应在赛项比赛结束后2小时内提出。超过2小时不予受理。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赛项仲裁工作组在接到申诉报告后的2小时内组织复议，并及时将复议结果以书面形式告知申诉方。申诉方对复议结果仍有异议，可由省（市）领队向赛区仲裁委员会提出申诉。赛区仲裁委员会的仲裁结果为最终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6.申诉方不得以任何理由拒绝接收仲裁结果；不得以任何理由采取过激行为扰乱赛场秩序；仲裁结果由申诉人签收，不能代收；如在约定时间和地点申诉人离开，视为自行放弃申诉。</w:t>
      </w:r>
    </w:p>
    <w:p>
      <w:pPr>
        <w:pStyle w:val="53"/>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en-US" w:eastAsia="zh-CN"/>
        </w:rPr>
      </w:pPr>
      <w:r>
        <w:rPr>
          <w:rFonts w:hint="eastAsia" w:ascii="黑体" w:hAnsi="黑体" w:eastAsia="黑体" w:cs="黑体"/>
          <w:b w:val="0"/>
          <w:bCs/>
          <w:color w:val="000000"/>
          <w:kern w:val="2"/>
          <w:sz w:val="30"/>
          <w:szCs w:val="30"/>
          <w:lang w:val="en-US" w:eastAsia="zh-CN"/>
        </w:rPr>
        <w:t>十八、竞赛直播</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1.利用现代网络传媒技术对赛场的比赛过程进行直播，直播时间在竞赛开始0.5小时后至结束0.5小时前。</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2.利用多媒体技术及设备录制视频资料，记录竞赛过程，为宣传、监督仲裁、资源转化提供全面的信息资料，赛后制作课程流媒体资源。</w:t>
      </w:r>
    </w:p>
    <w:p>
      <w:pPr>
        <w:pStyle w:val="53"/>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both"/>
        <w:textAlignment w:val="auto"/>
        <w:rPr>
          <w:rFonts w:hint="eastAsia" w:ascii="黑体" w:hAnsi="黑体" w:eastAsia="黑体" w:cs="黑体"/>
          <w:b w:val="0"/>
          <w:bCs/>
          <w:color w:val="000000"/>
          <w:kern w:val="2"/>
          <w:sz w:val="30"/>
          <w:szCs w:val="30"/>
          <w:lang w:val="zh-TW" w:eastAsia="zh-CN"/>
        </w:rPr>
      </w:pPr>
      <w:r>
        <w:rPr>
          <w:rFonts w:hint="eastAsia" w:ascii="黑体" w:hAnsi="黑体" w:eastAsia="黑体" w:cs="黑体"/>
          <w:b w:val="0"/>
          <w:bCs/>
          <w:color w:val="000000"/>
          <w:kern w:val="2"/>
          <w:sz w:val="30"/>
          <w:szCs w:val="30"/>
          <w:lang w:val="zh-TW" w:eastAsia="zh-CN"/>
        </w:rPr>
        <w:t>十</w:t>
      </w:r>
      <w:r>
        <w:rPr>
          <w:rFonts w:hint="eastAsia" w:ascii="黑体" w:hAnsi="黑体" w:eastAsia="黑体" w:cs="黑体"/>
          <w:b w:val="0"/>
          <w:bCs/>
          <w:color w:val="000000"/>
          <w:kern w:val="2"/>
          <w:sz w:val="30"/>
          <w:szCs w:val="30"/>
          <w:lang w:val="en-US" w:eastAsia="zh-CN"/>
        </w:rPr>
        <w:t>九</w:t>
      </w:r>
      <w:r>
        <w:rPr>
          <w:rFonts w:hint="eastAsia" w:ascii="黑体" w:hAnsi="黑体" w:eastAsia="黑体" w:cs="黑体"/>
          <w:b w:val="0"/>
          <w:bCs/>
          <w:color w:val="000000"/>
          <w:kern w:val="2"/>
          <w:sz w:val="30"/>
          <w:szCs w:val="30"/>
          <w:lang w:val="zh-TW" w:eastAsia="zh-CN"/>
        </w:rPr>
        <w:t>、竞赛样卷</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赛卷参照2024年全国职业院校技能大赛双数年高职组（数控机床装调与技术改造）赛项赛卷设置(GZ094)。</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仿宋_GB2312" w:hAnsi="仿宋_GB2312" w:eastAsia="仿宋_GB2312" w:cs="仿宋_GB2312"/>
          <w:b w:val="0"/>
          <w:bCs w:val="0"/>
          <w:kern w:val="2"/>
          <w:sz w:val="30"/>
          <w:szCs w:val="30"/>
          <w:lang w:val="en-US" w:eastAsia="zh-CN" w:bidi="ar-SA"/>
        </w:rPr>
      </w:pPr>
      <w:r>
        <w:rPr>
          <w:rFonts w:hint="eastAsia" w:ascii="黑体" w:hAnsi="黑体" w:eastAsia="黑体" w:cs="黑体"/>
          <w:b w:val="0"/>
          <w:bCs/>
          <w:color w:val="000000"/>
          <w:kern w:val="2"/>
          <w:sz w:val="30"/>
          <w:szCs w:val="30"/>
          <w:lang w:val="en-US" w:eastAsia="zh-CN" w:bidi="ar-SA"/>
        </w:rPr>
        <w:t>特别提请注意的是，</w:t>
      </w:r>
      <w:r>
        <w:rPr>
          <w:rFonts w:hint="eastAsia" w:ascii="仿宋_GB2312" w:hAnsi="仿宋_GB2312" w:eastAsia="仿宋_GB2312" w:cs="仿宋_GB2312"/>
          <w:b w:val="0"/>
          <w:bCs w:val="0"/>
          <w:kern w:val="2"/>
          <w:sz w:val="30"/>
          <w:szCs w:val="30"/>
          <w:lang w:val="en-US" w:eastAsia="zh-CN" w:bidi="ar-SA"/>
        </w:rPr>
        <w:t>承办学校提供的设备、场地信息和其他要求见附件。</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p>
    <w:p>
      <w:pPr>
        <w:spacing w:line="600" w:lineRule="exact"/>
        <w:rPr>
          <w:rFonts w:hint="default" w:ascii="黑体" w:hAnsi="黑体" w:eastAsia="黑体"/>
          <w:sz w:val="32"/>
          <w:szCs w:val="32"/>
          <w:lang w:val="en-US"/>
        </w:rPr>
      </w:pPr>
      <w:r>
        <w:rPr>
          <w:rFonts w:hint="eastAsia" w:ascii="黑体" w:hAnsi="黑体" w:eastAsia="黑体"/>
          <w:sz w:val="32"/>
          <w:szCs w:val="32"/>
        </w:rPr>
        <w:t>附</w:t>
      </w:r>
      <w:r>
        <w:rPr>
          <w:rFonts w:hint="eastAsia" w:ascii="黑体" w:hAnsi="黑体" w:eastAsia="黑体"/>
          <w:sz w:val="32"/>
          <w:szCs w:val="32"/>
          <w:lang w:val="en-US" w:eastAsia="zh-CN"/>
        </w:rPr>
        <w:t>件</w:t>
      </w:r>
    </w:p>
    <w:p>
      <w:pPr>
        <w:pStyle w:val="3"/>
      </w:pPr>
    </w:p>
    <w:p>
      <w:pPr>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承办学校提供的设备和场地信息清单</w:t>
      </w:r>
    </w:p>
    <w:tbl>
      <w:tblPr>
        <w:tblStyle w:val="2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733"/>
        <w:gridCol w:w="1116"/>
        <w:gridCol w:w="2796"/>
        <w:gridCol w:w="812"/>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right"/>
        </w:trPr>
        <w:tc>
          <w:tcPr>
            <w:tcW w:w="1240"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承办学校</w:t>
            </w:r>
          </w:p>
        </w:tc>
        <w:tc>
          <w:tcPr>
            <w:tcW w:w="7975" w:type="dxa"/>
            <w:gridSpan w:val="5"/>
            <w:vAlign w:val="center"/>
          </w:tcPr>
          <w:p>
            <w:pPr>
              <w:spacing w:line="600" w:lineRule="exact"/>
              <w:jc w:val="cente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新乡职业技术学院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right"/>
        </w:trPr>
        <w:tc>
          <w:tcPr>
            <w:tcW w:w="1240" w:type="dxa"/>
            <w:vAlign w:val="center"/>
          </w:tcPr>
          <w:p>
            <w:pPr>
              <w:spacing w:line="44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组别</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（中/高职）</w:t>
            </w:r>
          </w:p>
        </w:tc>
        <w:tc>
          <w:tcPr>
            <w:tcW w:w="1733" w:type="dxa"/>
            <w:vAlign w:val="center"/>
          </w:tcPr>
          <w:p>
            <w:pPr>
              <w:spacing w:line="600" w:lineRule="exact"/>
              <w:jc w:val="cente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高职</w:t>
            </w:r>
          </w:p>
        </w:tc>
        <w:tc>
          <w:tcPr>
            <w:tcW w:w="1116"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赛道</w:t>
            </w:r>
          </w:p>
        </w:tc>
        <w:tc>
          <w:tcPr>
            <w:tcW w:w="2796"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装备制造赛道一</w:t>
            </w:r>
          </w:p>
        </w:tc>
        <w:tc>
          <w:tcPr>
            <w:tcW w:w="812"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小组</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GZ008数控机床装调与技术改造组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right"/>
        </w:trPr>
        <w:tc>
          <w:tcPr>
            <w:tcW w:w="1240" w:type="dxa"/>
            <w:vAlign w:val="center"/>
          </w:tcPr>
          <w:p>
            <w:pPr>
              <w:spacing w:line="600" w:lineRule="exact"/>
              <w:jc w:val="center"/>
              <w:rPr>
                <w:rFonts w:hint="eastAsia" w:ascii="方正仿宋_GBK" w:hAnsi="方正仿宋_GBK" w:eastAsia="方正仿宋_GBK" w:cs="方正仿宋_GBK"/>
                <w:b w:val="0"/>
                <w:bCs w:val="0"/>
                <w:sz w:val="21"/>
                <w:szCs w:val="21"/>
              </w:rPr>
            </w:pPr>
          </w:p>
        </w:tc>
        <w:tc>
          <w:tcPr>
            <w:tcW w:w="1733"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名称</w:t>
            </w:r>
          </w:p>
        </w:tc>
        <w:tc>
          <w:tcPr>
            <w:tcW w:w="1116"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型号</w:t>
            </w:r>
          </w:p>
        </w:tc>
        <w:tc>
          <w:tcPr>
            <w:tcW w:w="2796" w:type="dxa"/>
            <w:vAlign w:val="center"/>
          </w:tcPr>
          <w:p>
            <w:pPr>
              <w:spacing w:line="44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主要技术参数</w:t>
            </w:r>
          </w:p>
        </w:tc>
        <w:tc>
          <w:tcPr>
            <w:tcW w:w="812"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台套数</w:t>
            </w:r>
          </w:p>
        </w:tc>
        <w:tc>
          <w:tcPr>
            <w:tcW w:w="1518"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right"/>
        </w:trPr>
        <w:tc>
          <w:tcPr>
            <w:tcW w:w="1240"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硬件</w:t>
            </w:r>
          </w:p>
        </w:tc>
        <w:tc>
          <w:tcPr>
            <w:tcW w:w="17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数控机床装</w:t>
            </w:r>
            <w:bookmarkStart w:id="53" w:name="_GoBack"/>
            <w:bookmarkEnd w:id="53"/>
            <w:r>
              <w:rPr>
                <w:rFonts w:hint="eastAsia" w:ascii="方正仿宋_GBK" w:hAnsi="方正仿宋_GBK" w:eastAsia="方正仿宋_GBK" w:cs="方正仿宋_GBK"/>
                <w:b w:val="0"/>
                <w:bCs w:val="0"/>
                <w:sz w:val="21"/>
                <w:szCs w:val="21"/>
                <w:lang w:val="en-US" w:eastAsia="zh-CN"/>
              </w:rPr>
              <w:t>调与技术改造实训装备</w:t>
            </w:r>
          </w:p>
        </w:tc>
        <w:tc>
          <w:tcPr>
            <w:tcW w:w="1116" w:type="dxa"/>
            <w:shd w:val="clear" w:color="auto" w:fill="auto"/>
            <w:vAlign w:val="center"/>
          </w:tcPr>
          <w:p>
            <w:pPr>
              <w:spacing w:before="91" w:line="178" w:lineRule="auto"/>
              <w:ind w:left="19" w:leftChars="0"/>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pacing w:val="-8"/>
                <w:sz w:val="21"/>
                <w:szCs w:val="21"/>
              </w:rPr>
              <w:t>YL-569</w:t>
            </w:r>
          </w:p>
        </w:tc>
        <w:tc>
          <w:tcPr>
            <w:tcW w:w="2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1、电气控制单元：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电源模块额定输出（kW）：15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主轴模块额定输出电流（Arms）：64</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主轴电机额定功率（KW）：7.5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双轴伺服模块额定输出电流（Arms）：13/22.5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峰值输出电流（Apeak）：40/80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支持HRV2/HRV3/HRV4单轴伺服模块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额定输出电流（Arms）：22.5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峰值输出电流（Apeak）：80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支持HRV2/HRV3/HRV4</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2、加工中心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 xml:space="preserve">X/Y轴伺服电机额定转速(r/min)：2000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额定功率(kW)：1.8</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 xml:space="preserve">Z轴伺服电机额定转速(r/min)：2000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最高转速(r/min)：3000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 xml:space="preserve">额定功率(kW)：3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X轴行程600mm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Y轴行程400mm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Z轴行程420mm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主轴端面至工作台面距170-590mm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 xml:space="preserve">主轴中心至立柱导轨面距离456mm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工作台面积700×420mm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工作台最大负荷300kg</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 xml:space="preserve">T型槽（槽×宽×中心距）3×18×125mm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主轴转速10000转</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刀具容量12把</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主轴锥口类型BT40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切削进给速度(X/Y/Z)1～10000mm/min</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快速移动速度（X/Y/Z轴）48m/min</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丝杠螺距16mm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定位精度（X/Y/Z）0.008mm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重复定位精度（X/Y/Z）0.008mm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刀库类型斗笠式（BT40-12T）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气动门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z w:val="21"/>
                <w:szCs w:val="21"/>
                <w:lang w:val="en-US" w:eastAsia="zh-CN"/>
              </w:rPr>
              <w:t>气动夹具</w:t>
            </w:r>
          </w:p>
        </w:tc>
        <w:tc>
          <w:tcPr>
            <w:tcW w:w="812" w:type="dxa"/>
            <w:shd w:val="clear" w:color="auto" w:fill="auto"/>
            <w:vAlign w:val="center"/>
          </w:tcPr>
          <w:p>
            <w:pPr>
              <w:spacing w:before="91" w:line="222" w:lineRule="auto"/>
              <w:ind w:right="8" w:rightChars="0"/>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pacing w:val="-9"/>
                <w:sz w:val="21"/>
                <w:szCs w:val="21"/>
                <w:lang w:val="en-US" w:eastAsia="zh-CN"/>
              </w:rPr>
              <w:t>5</w:t>
            </w:r>
            <w:r>
              <w:rPr>
                <w:rFonts w:hint="eastAsia" w:ascii="方正仿宋_GBK" w:hAnsi="方正仿宋_GBK" w:eastAsia="方正仿宋_GBK" w:cs="方正仿宋_GBK"/>
                <w:b w:val="0"/>
                <w:bCs w:val="0"/>
                <w:spacing w:val="-9"/>
                <w:sz w:val="21"/>
                <w:szCs w:val="21"/>
              </w:rPr>
              <w:t>套</w:t>
            </w:r>
          </w:p>
        </w:tc>
        <w:tc>
          <w:tcPr>
            <w:tcW w:w="1518" w:type="dxa"/>
            <w:shd w:val="clear" w:color="auto" w:fill="auto"/>
            <w:vAlign w:val="center"/>
          </w:tcPr>
          <w:p>
            <w:pPr>
              <w:spacing w:before="172" w:line="218" w:lineRule="auto"/>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spacing w:val="-18"/>
                <w:sz w:val="21"/>
                <w:szCs w:val="21"/>
              </w:rPr>
              <w:t>亚龙智</w:t>
            </w:r>
            <w:r>
              <w:rPr>
                <w:rFonts w:hint="eastAsia" w:ascii="方正仿宋_GBK" w:hAnsi="方正仿宋_GBK" w:eastAsia="方正仿宋_GBK" w:cs="方正仿宋_GBK"/>
                <w:b w:val="0"/>
                <w:bCs w:val="0"/>
                <w:spacing w:val="-23"/>
                <w:sz w:val="21"/>
                <w:szCs w:val="21"/>
              </w:rPr>
              <w:t>能装</w:t>
            </w:r>
            <w:r>
              <w:rPr>
                <w:rFonts w:hint="eastAsia" w:ascii="方正仿宋_GBK" w:hAnsi="方正仿宋_GBK" w:eastAsia="方正仿宋_GBK" w:cs="方正仿宋_GBK"/>
                <w:b w:val="0"/>
                <w:bCs w:val="0"/>
                <w:spacing w:val="-20"/>
                <w:sz w:val="21"/>
                <w:szCs w:val="21"/>
              </w:rPr>
              <w:t>备</w:t>
            </w:r>
            <w:r>
              <w:rPr>
                <w:rFonts w:hint="eastAsia" w:ascii="方正仿宋_GBK" w:hAnsi="方正仿宋_GBK" w:eastAsia="方正仿宋_GBK" w:cs="方正仿宋_GBK"/>
                <w:b w:val="0"/>
                <w:bCs w:val="0"/>
                <w:spacing w:val="-17"/>
                <w:sz w:val="21"/>
                <w:szCs w:val="21"/>
              </w:rPr>
              <w:t>集团股份有限</w:t>
            </w:r>
            <w:r>
              <w:rPr>
                <w:rFonts w:hint="eastAsia" w:ascii="方正仿宋_GBK" w:hAnsi="方正仿宋_GBK" w:eastAsia="方正仿宋_GBK" w:cs="方正仿宋_GBK"/>
                <w:b w:val="0"/>
                <w:bCs w:val="0"/>
                <w:spacing w:val="-12"/>
                <w:sz w:val="21"/>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right"/>
        </w:trPr>
        <w:tc>
          <w:tcPr>
            <w:tcW w:w="1240"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硬件</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color w:val="000000"/>
                <w:kern w:val="0"/>
                <w:sz w:val="21"/>
                <w:szCs w:val="21"/>
                <w:u w:val="none"/>
                <w:lang w:val="en-US" w:eastAsia="zh-CN" w:bidi="ar"/>
              </w:rPr>
              <w:t>智能仓储与</w:t>
            </w:r>
            <w:r>
              <w:rPr>
                <w:rFonts w:hint="eastAsia" w:ascii="方正仿宋_GBK" w:hAnsi="方正仿宋_GBK" w:eastAsia="方正仿宋_GBK" w:cs="方正仿宋_GBK"/>
                <w:b w:val="0"/>
                <w:bCs w:val="0"/>
                <w:sz w:val="21"/>
                <w:szCs w:val="21"/>
                <w:lang w:val="en-US" w:eastAsia="zh-CN"/>
              </w:rPr>
              <w:t>工业</w:t>
            </w:r>
            <w:r>
              <w:rPr>
                <w:rFonts w:hint="eastAsia" w:ascii="方正仿宋_GBK" w:hAnsi="方正仿宋_GBK" w:eastAsia="方正仿宋_GBK" w:cs="方正仿宋_GBK"/>
                <w:b w:val="0"/>
                <w:bCs w:val="0"/>
                <w:color w:val="000000"/>
                <w:kern w:val="0"/>
                <w:sz w:val="21"/>
                <w:szCs w:val="21"/>
                <w:u w:val="none"/>
                <w:lang w:val="en-US" w:eastAsia="zh-CN" w:bidi="ar"/>
              </w:rPr>
              <w:t>机器人实训设备</w:t>
            </w:r>
          </w:p>
        </w:tc>
        <w:tc>
          <w:tcPr>
            <w:tcW w:w="1116"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YL-569F</w:t>
            </w:r>
          </w:p>
        </w:tc>
        <w:tc>
          <w:tcPr>
            <w:tcW w:w="27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智能仓储单元：立体仓库组合单元采用三层设计，每层设计有4个库位，可以分别存放毛坯和成品工件，每个工件位置安装有传感器用于检测是否有料。配备有快换工具模块，工件的形状、颜色、精度检测装置，人机操作界面，可编程控制器等。可检测零件的形状、颜色等信息，通过以太网将检测结果发给</w:t>
            </w:r>
            <w:r>
              <w:rPr>
                <w:rFonts w:hint="eastAsia" w:ascii="方正仿宋_GBK" w:hAnsi="方正仿宋_GBK" w:eastAsia="方正仿宋_GBK" w:cs="方正仿宋_GBK"/>
                <w:b w:val="0"/>
                <w:bCs w:val="0"/>
                <w:sz w:val="21"/>
                <w:szCs w:val="21"/>
                <w:lang w:val="en-US" w:eastAsia="zh-CN"/>
              </w:rPr>
              <w:t>机器人单元，使其完成自动上下料流程。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2、工业</w:t>
            </w:r>
            <w:r>
              <w:rPr>
                <w:rFonts w:hint="eastAsia" w:ascii="方正仿宋_GBK" w:hAnsi="方正仿宋_GBK" w:eastAsia="方正仿宋_GBK" w:cs="方正仿宋_GBK"/>
                <w:b w:val="0"/>
                <w:bCs w:val="0"/>
                <w:sz w:val="21"/>
                <w:szCs w:val="21"/>
                <w:lang w:val="en-US" w:eastAsia="zh-CN"/>
              </w:rPr>
              <w:t>机器人单元：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自由度6</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额定</w:t>
            </w:r>
            <w:r>
              <w:rPr>
                <w:rFonts w:hint="eastAsia" w:ascii="方正仿宋_GBK" w:hAnsi="方正仿宋_GBK" w:eastAsia="方正仿宋_GBK" w:cs="方正仿宋_GBK"/>
                <w:b w:val="0"/>
                <w:bCs w:val="0"/>
                <w:sz w:val="21"/>
                <w:szCs w:val="21"/>
                <w:lang w:val="en-US" w:eastAsia="zh-CN"/>
              </w:rPr>
              <w:t>负载12KG</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最大工作半径1441mm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重复</w:t>
            </w:r>
            <w:r>
              <w:rPr>
                <w:rFonts w:hint="eastAsia" w:ascii="方正仿宋_GBK" w:hAnsi="方正仿宋_GBK" w:eastAsia="方正仿宋_GBK" w:cs="方正仿宋_GBK"/>
                <w:b w:val="0"/>
                <w:bCs w:val="0"/>
                <w:sz w:val="21"/>
                <w:szCs w:val="21"/>
                <w:lang w:val="en-US" w:eastAsia="zh-CN"/>
              </w:rPr>
              <w:t>定位精度±0.03mm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运动</w:t>
            </w:r>
            <w:r>
              <w:rPr>
                <w:rFonts w:hint="eastAsia" w:ascii="方正仿宋_GBK" w:hAnsi="方正仿宋_GBK" w:eastAsia="方正仿宋_GBK" w:cs="方正仿宋_GBK"/>
                <w:b w:val="0"/>
                <w:bCs w:val="0"/>
                <w:sz w:val="21"/>
                <w:szCs w:val="21"/>
                <w:lang w:val="en-US" w:eastAsia="zh-CN"/>
              </w:rPr>
              <w:t>范围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J1 340°</w:t>
            </w:r>
            <w:r>
              <w:rPr>
                <w:rFonts w:hint="eastAsia" w:ascii="方正仿宋_GBK" w:hAnsi="方正仿宋_GBK" w:eastAsia="方正仿宋_GBK" w:cs="方正仿宋_GBK"/>
                <w:b w:val="0"/>
                <w:bCs w:val="0"/>
                <w:sz w:val="21"/>
                <w:szCs w:val="21"/>
                <w:lang w:val="en-US" w:eastAsia="zh-CN"/>
              </w:rPr>
              <w:t>J2 235°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J3 455°</w:t>
            </w:r>
            <w:r>
              <w:rPr>
                <w:rFonts w:hint="eastAsia" w:ascii="方正仿宋_GBK" w:hAnsi="方正仿宋_GBK" w:eastAsia="方正仿宋_GBK" w:cs="方正仿宋_GBK"/>
                <w:b w:val="0"/>
                <w:bCs w:val="0"/>
                <w:sz w:val="21"/>
                <w:szCs w:val="21"/>
                <w:lang w:val="en-US" w:eastAsia="zh-CN"/>
              </w:rPr>
              <w:t>J 4380°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sz w:val="21"/>
                <w:szCs w:val="21"/>
                <w:lang w:val="en-US" w:eastAsia="zh-CN"/>
              </w:rPr>
              <w:t>J5 360°</w:t>
            </w:r>
            <w:r>
              <w:rPr>
                <w:rFonts w:hint="eastAsia" w:ascii="方正仿宋_GBK" w:hAnsi="方正仿宋_GBK" w:eastAsia="方正仿宋_GBK" w:cs="方正仿宋_GBK"/>
                <w:b w:val="0"/>
                <w:bCs w:val="0"/>
                <w:sz w:val="21"/>
                <w:szCs w:val="21"/>
                <w:lang w:val="en-US" w:eastAsia="zh-CN"/>
              </w:rPr>
              <w:t>J6 900°</w:t>
            </w:r>
          </w:p>
        </w:tc>
        <w:tc>
          <w:tcPr>
            <w:tcW w:w="812" w:type="dxa"/>
            <w:shd w:val="clear" w:color="auto" w:fill="auto"/>
            <w:vAlign w:val="center"/>
          </w:tcPr>
          <w:p>
            <w:pPr>
              <w:spacing w:line="600" w:lineRule="exact"/>
              <w:jc w:val="cente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5</w:t>
            </w:r>
            <w:r>
              <w:rPr>
                <w:rFonts w:hint="eastAsia" w:ascii="方正仿宋_GBK" w:hAnsi="方正仿宋_GBK" w:eastAsia="方正仿宋_GBK" w:cs="方正仿宋_GBK"/>
                <w:b w:val="0"/>
                <w:bCs w:val="0"/>
                <w:sz w:val="21"/>
                <w:szCs w:val="21"/>
              </w:rPr>
              <w:t>套</w:t>
            </w:r>
          </w:p>
        </w:tc>
        <w:tc>
          <w:tcPr>
            <w:tcW w:w="1518" w:type="dxa"/>
            <w:shd w:val="clear" w:color="auto" w:fill="auto"/>
            <w:vAlign w:val="center"/>
          </w:tcPr>
          <w:p>
            <w:pPr>
              <w:spacing w:line="600" w:lineRule="exact"/>
              <w:jc w:val="cente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rPr>
              <w:t>亚龙智能装备集团股份有限公司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right"/>
        </w:trPr>
        <w:tc>
          <w:tcPr>
            <w:tcW w:w="1240"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硬件</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color w:val="000000"/>
                <w:kern w:val="0"/>
                <w:sz w:val="21"/>
                <w:szCs w:val="21"/>
                <w:u w:val="none"/>
                <w:lang w:val="en-US" w:eastAsia="zh-CN" w:bidi="ar"/>
              </w:rPr>
              <w:t>电气设计模块</w:t>
            </w:r>
          </w:p>
        </w:tc>
        <w:tc>
          <w:tcPr>
            <w:tcW w:w="1116"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YL-1506B</w:t>
            </w:r>
          </w:p>
        </w:tc>
        <w:tc>
          <w:tcPr>
            <w:tcW w:w="27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pacing w:val="-4"/>
                <w:sz w:val="21"/>
                <w:szCs w:val="21"/>
              </w:rPr>
              <w:t>主要包含控制单元台架、电气安装网孔板、元器件安装</w:t>
            </w:r>
            <w:r>
              <w:rPr>
                <w:rFonts w:hint="eastAsia" w:ascii="方正仿宋_GBK" w:hAnsi="方正仿宋_GBK" w:eastAsia="方正仿宋_GBK" w:cs="方正仿宋_GBK"/>
                <w:b w:val="0"/>
                <w:bCs w:val="0"/>
                <w:spacing w:val="-3"/>
                <w:sz w:val="21"/>
                <w:szCs w:val="21"/>
              </w:rPr>
              <w:t>导轨、PMC按钮单元、接口单</w:t>
            </w:r>
            <w:r>
              <w:rPr>
                <w:rFonts w:hint="eastAsia" w:ascii="方正仿宋_GBK" w:hAnsi="方正仿宋_GBK" w:eastAsia="方正仿宋_GBK" w:cs="方正仿宋_GBK"/>
                <w:b w:val="0"/>
                <w:bCs w:val="0"/>
                <w:spacing w:val="-4"/>
                <w:sz w:val="21"/>
                <w:szCs w:val="21"/>
              </w:rPr>
              <w:t>元等，它能够进行设计的电路有刀架控制电路、润滑控制电路、冷却控制</w:t>
            </w:r>
            <w:r>
              <w:rPr>
                <w:rFonts w:hint="eastAsia" w:ascii="方正仿宋_GBK" w:hAnsi="方正仿宋_GBK" w:eastAsia="方正仿宋_GBK" w:cs="方正仿宋_GBK"/>
                <w:b w:val="0"/>
                <w:bCs w:val="0"/>
                <w:sz w:val="21"/>
                <w:szCs w:val="21"/>
              </w:rPr>
              <w:t>电路</w:t>
            </w:r>
            <w:r>
              <w:rPr>
                <w:rFonts w:hint="eastAsia" w:ascii="方正仿宋_GBK" w:hAnsi="方正仿宋_GBK" w:eastAsia="方正仿宋_GBK" w:cs="方正仿宋_GBK"/>
                <w:b w:val="0"/>
                <w:bCs w:val="0"/>
                <w:spacing w:val="-4"/>
                <w:sz w:val="21"/>
                <w:szCs w:val="21"/>
              </w:rPr>
              <w:t>、保护电路、电源电路等，</w:t>
            </w:r>
            <w:r>
              <w:rPr>
                <w:rFonts w:hint="eastAsia" w:ascii="方正仿宋_GBK" w:hAnsi="方正仿宋_GBK" w:eastAsia="方正仿宋_GBK" w:cs="方正仿宋_GBK"/>
                <w:b w:val="0"/>
                <w:bCs w:val="0"/>
                <w:sz w:val="21"/>
                <w:szCs w:val="21"/>
              </w:rPr>
              <w:t>电气</w:t>
            </w:r>
            <w:r>
              <w:rPr>
                <w:rFonts w:hint="eastAsia" w:ascii="方正仿宋_GBK" w:hAnsi="方正仿宋_GBK" w:eastAsia="方正仿宋_GBK" w:cs="方正仿宋_GBK"/>
                <w:b w:val="0"/>
                <w:bCs w:val="0"/>
                <w:spacing w:val="-4"/>
                <w:sz w:val="21"/>
                <w:szCs w:val="21"/>
              </w:rPr>
              <w:t>安装网孔板采用可以反复使用的网孔结构，通过接口电缆线可以和电气控制单元进</w:t>
            </w:r>
            <w:r>
              <w:rPr>
                <w:rFonts w:hint="eastAsia" w:ascii="方正仿宋_GBK" w:hAnsi="方正仿宋_GBK" w:eastAsia="方正仿宋_GBK" w:cs="方正仿宋_GBK"/>
                <w:b w:val="0"/>
                <w:bCs w:val="0"/>
                <w:spacing w:val="-12"/>
                <w:sz w:val="21"/>
                <w:szCs w:val="21"/>
              </w:rPr>
              <w:t>行连接。</w:t>
            </w:r>
          </w:p>
        </w:tc>
        <w:tc>
          <w:tcPr>
            <w:tcW w:w="812" w:type="dxa"/>
            <w:shd w:val="clear" w:color="auto" w:fill="auto"/>
            <w:vAlign w:val="center"/>
          </w:tcPr>
          <w:p>
            <w:pPr>
              <w:spacing w:line="600" w:lineRule="exact"/>
              <w:jc w:val="cente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5</w:t>
            </w:r>
            <w:r>
              <w:rPr>
                <w:rFonts w:hint="eastAsia" w:ascii="方正仿宋_GBK" w:hAnsi="方正仿宋_GBK" w:eastAsia="方正仿宋_GBK" w:cs="方正仿宋_GBK"/>
                <w:b w:val="0"/>
                <w:bCs w:val="0"/>
                <w:sz w:val="21"/>
                <w:szCs w:val="21"/>
              </w:rPr>
              <w:t>套</w:t>
            </w:r>
          </w:p>
        </w:tc>
        <w:tc>
          <w:tcPr>
            <w:tcW w:w="1518" w:type="dxa"/>
            <w:shd w:val="clear" w:color="auto" w:fill="auto"/>
            <w:vAlign w:val="center"/>
          </w:tcPr>
          <w:p>
            <w:pPr>
              <w:spacing w:line="600" w:lineRule="exact"/>
              <w:jc w:val="cente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rPr>
              <w:t>亚龙智能装备集团股份有限公司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right"/>
        </w:trPr>
        <w:tc>
          <w:tcPr>
            <w:tcW w:w="1240"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硬件</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加工中心主轴装调与检测实训设备</w:t>
            </w: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YL-1506B</w:t>
            </w:r>
          </w:p>
        </w:tc>
        <w:tc>
          <w:tcPr>
            <w:tcW w:w="27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spacing w:val="-4"/>
                <w:sz w:val="21"/>
                <w:szCs w:val="21"/>
              </w:rPr>
              <w:t>主要由主轴安装单元、机械拆装实训台组成。主轴机械部件采用BT40的加工中心主轴，适配有前后轴承、松拉刀机构，主轴与电动机采用联轴节的形式直连。</w:t>
            </w:r>
            <w:r>
              <w:rPr>
                <w:rFonts w:hint="eastAsia" w:ascii="方正仿宋_GBK" w:hAnsi="方正仿宋_GBK" w:eastAsia="方正仿宋_GBK" w:cs="方正仿宋_GBK"/>
                <w:b w:val="0"/>
                <w:bCs w:val="0"/>
                <w:sz w:val="21"/>
                <w:szCs w:val="21"/>
              </w:rPr>
              <w:t>主轴</w:t>
            </w:r>
            <w:r>
              <w:rPr>
                <w:rFonts w:hint="eastAsia" w:ascii="方正仿宋_GBK" w:hAnsi="方正仿宋_GBK" w:eastAsia="方正仿宋_GBK" w:cs="方正仿宋_GBK"/>
                <w:b w:val="0"/>
                <w:bCs w:val="0"/>
                <w:spacing w:val="-4"/>
                <w:sz w:val="21"/>
                <w:szCs w:val="21"/>
              </w:rPr>
              <w:t>测试平台主要由变频器电气控制箱、三相异步电动机、主轴机械部件、主轴安装架和安全防护罩组成。</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5套</w:t>
            </w:r>
          </w:p>
        </w:tc>
        <w:tc>
          <w:tcPr>
            <w:tcW w:w="15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亚龙智能装备集团股份有限公司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right"/>
        </w:trPr>
        <w:tc>
          <w:tcPr>
            <w:tcW w:w="1240"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硬件</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智能制造</w:t>
            </w:r>
            <w:r>
              <w:rPr>
                <w:rFonts w:hint="eastAsia" w:ascii="方正仿宋_GBK" w:hAnsi="方正仿宋_GBK" w:eastAsia="方正仿宋_GBK" w:cs="方正仿宋_GBK"/>
                <w:b w:val="0"/>
                <w:bCs w:val="0"/>
                <w:sz w:val="21"/>
                <w:szCs w:val="21"/>
                <w:lang w:val="en-US" w:eastAsia="zh-CN"/>
              </w:rPr>
              <w:t>虚拟</w:t>
            </w:r>
            <w:r>
              <w:rPr>
                <w:rFonts w:hint="eastAsia" w:ascii="方正仿宋_GBK" w:hAnsi="方正仿宋_GBK" w:eastAsia="方正仿宋_GBK" w:cs="方正仿宋_GBK"/>
                <w:b w:val="0"/>
                <w:bCs w:val="0"/>
                <w:color w:val="000000"/>
                <w:kern w:val="0"/>
                <w:sz w:val="21"/>
                <w:szCs w:val="21"/>
                <w:u w:val="none"/>
                <w:lang w:val="en-US" w:eastAsia="zh-CN" w:bidi="ar"/>
              </w:rPr>
              <w:t>仿真单元</w:t>
            </w: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YL-G15</w:t>
            </w:r>
            <w:r>
              <w:rPr>
                <w:rFonts w:hint="eastAsia" w:ascii="方正仿宋_GBK" w:hAnsi="方正仿宋_GBK" w:eastAsia="方正仿宋_GBK" w:cs="方正仿宋_GBK"/>
                <w:b w:val="0"/>
                <w:bCs w:val="0"/>
                <w:sz w:val="21"/>
                <w:szCs w:val="21"/>
                <w:lang w:val="en-US" w:eastAsia="zh-CN"/>
              </w:rPr>
              <w:t>-</w:t>
            </w:r>
            <w:r>
              <w:rPr>
                <w:rFonts w:hint="eastAsia" w:ascii="方正仿宋_GBK" w:hAnsi="方正仿宋_GBK" w:eastAsia="方正仿宋_GBK" w:cs="方正仿宋_GBK"/>
                <w:b w:val="0"/>
                <w:bCs w:val="0"/>
                <w:color w:val="000000"/>
                <w:kern w:val="0"/>
                <w:sz w:val="21"/>
                <w:szCs w:val="21"/>
                <w:u w:val="none"/>
                <w:lang w:val="en-US" w:eastAsia="zh-CN" w:bidi="ar"/>
              </w:rPr>
              <w:t>0033</w:t>
            </w:r>
          </w:p>
        </w:tc>
        <w:tc>
          <w:tcPr>
            <w:tcW w:w="27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进行智能制造自动生产线虚实结合的设计，仿真整套生产线的运行</w:t>
            </w:r>
            <w:r>
              <w:rPr>
                <w:rFonts w:hint="eastAsia" w:ascii="方正仿宋_GBK" w:hAnsi="方正仿宋_GBK" w:eastAsia="方正仿宋_GBK" w:cs="方正仿宋_GBK"/>
                <w:b w:val="0"/>
                <w:bCs w:val="0"/>
                <w:sz w:val="21"/>
                <w:szCs w:val="21"/>
                <w:lang w:val="en-US" w:eastAsia="zh-CN"/>
              </w:rPr>
              <w:t>过程，根据实际加工物料</w:t>
            </w:r>
            <w:r>
              <w:rPr>
                <w:rFonts w:hint="eastAsia" w:ascii="方正仿宋_GBK" w:hAnsi="方正仿宋_GBK" w:eastAsia="方正仿宋_GBK" w:cs="方正仿宋_GBK"/>
                <w:b w:val="0"/>
                <w:bCs w:val="0"/>
                <w:sz w:val="21"/>
                <w:szCs w:val="21"/>
                <w:lang w:val="en-US" w:eastAsia="zh-CN"/>
              </w:rPr>
              <w:t>工艺流程编辑程序进行仿真。</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5套</w:t>
            </w:r>
          </w:p>
        </w:tc>
        <w:tc>
          <w:tcPr>
            <w:tcW w:w="15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亚龙智能装备集团股份有限公司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right"/>
        </w:trPr>
        <w:tc>
          <w:tcPr>
            <w:tcW w:w="1240"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软件</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程序传输工具(</w:t>
            </w:r>
            <w:r>
              <w:rPr>
                <w:rFonts w:hint="eastAsia" w:ascii="方正仿宋_GBK" w:hAnsi="方正仿宋_GBK" w:eastAsia="方正仿宋_GBK" w:cs="方正仿宋_GBK"/>
                <w:b w:val="0"/>
                <w:bCs w:val="0"/>
                <w:sz w:val="21"/>
                <w:szCs w:val="21"/>
                <w:lang w:val="en-US" w:eastAsia="zh-CN"/>
              </w:rPr>
              <w:t>FANUCPROGRAMTRANSFERTOOL</w:t>
            </w:r>
            <w:r>
              <w:rPr>
                <w:rFonts w:hint="eastAsia" w:ascii="方正仿宋_GBK" w:hAnsi="方正仿宋_GBK" w:eastAsia="方正仿宋_GBK" w:cs="方正仿宋_GBK"/>
                <w:b w:val="0"/>
                <w:bCs w:val="0"/>
                <w:color w:val="000000"/>
                <w:kern w:val="0"/>
                <w:sz w:val="21"/>
                <w:szCs w:val="21"/>
                <w:u w:val="none"/>
                <w:lang w:val="en-US" w:eastAsia="zh-CN" w:bidi="ar"/>
              </w:rPr>
              <w:t>)</w:t>
            </w:r>
          </w:p>
        </w:tc>
        <w:tc>
          <w:tcPr>
            <w:tcW w:w="11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000000"/>
                <w:kern w:val="0"/>
                <w:sz w:val="21"/>
                <w:szCs w:val="21"/>
                <w:u w:val="none"/>
                <w:lang w:val="en-US" w:eastAsia="zh-CN" w:bidi="ar"/>
              </w:rPr>
            </w:pPr>
          </w:p>
        </w:tc>
        <w:tc>
          <w:tcPr>
            <w:tcW w:w="27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实现</w:t>
            </w:r>
            <w:r>
              <w:rPr>
                <w:rFonts w:hint="eastAsia" w:ascii="方正仿宋_GBK" w:hAnsi="方正仿宋_GBK" w:eastAsia="方正仿宋_GBK" w:cs="方正仿宋_GBK"/>
                <w:b w:val="0"/>
                <w:bCs w:val="0"/>
                <w:sz w:val="21"/>
                <w:szCs w:val="21"/>
                <w:lang w:val="en-US" w:eastAsia="zh-CN"/>
              </w:rPr>
              <w:t>计算机</w:t>
            </w:r>
            <w:r>
              <w:rPr>
                <w:rFonts w:hint="eastAsia" w:ascii="方正仿宋_GBK" w:hAnsi="方正仿宋_GBK" w:eastAsia="方正仿宋_GBK" w:cs="方正仿宋_GBK"/>
                <w:b w:val="0"/>
                <w:bCs w:val="0"/>
                <w:color w:val="000000"/>
                <w:kern w:val="0"/>
                <w:sz w:val="21"/>
                <w:szCs w:val="21"/>
                <w:u w:val="none"/>
                <w:lang w:val="en-US" w:eastAsia="zh-CN" w:bidi="ar"/>
              </w:rPr>
              <w:t>与NC系统之间程序和数据交互</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5套</w:t>
            </w:r>
          </w:p>
        </w:tc>
        <w:tc>
          <w:tcPr>
            <w:tcW w:w="15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亚龙智能装备集团股份有限公司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right"/>
        </w:trPr>
        <w:tc>
          <w:tcPr>
            <w:tcW w:w="1240"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软件</w:t>
            </w:r>
          </w:p>
        </w:tc>
        <w:tc>
          <w:tcPr>
            <w:tcW w:w="17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数据交换系统</w:t>
            </w: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YL-SWH033A</w:t>
            </w:r>
          </w:p>
        </w:tc>
        <w:tc>
          <w:tcPr>
            <w:tcW w:w="2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数据交互系统是支持多品牌数控系统、机器人以及可编程控制器之间进行数据交换的软件。能根据设备类型（如数控系统、机器人、PLC等），添加并管理相应的通讯元件，如X、Y、R、DI、DO，I，Q，DB等。实现BOOL、BYTE、INT、DINT等</w:t>
            </w:r>
            <w:r>
              <w:rPr>
                <w:rFonts w:hint="eastAsia" w:ascii="方正仿宋_GBK" w:hAnsi="方正仿宋_GBK" w:eastAsia="方正仿宋_GBK" w:cs="方正仿宋_GBK"/>
                <w:b w:val="0"/>
                <w:bCs w:val="0"/>
                <w:sz w:val="21"/>
                <w:szCs w:val="21"/>
                <w:lang w:val="en-US" w:eastAsia="zh-CN"/>
              </w:rPr>
              <w:t>数据类型交互。</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5套</w:t>
            </w:r>
          </w:p>
        </w:tc>
        <w:tc>
          <w:tcPr>
            <w:tcW w:w="15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亚龙智能装备集团股份有限公司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right"/>
        </w:trPr>
        <w:tc>
          <w:tcPr>
            <w:tcW w:w="1240" w:type="dxa"/>
            <w:vAlign w:val="center"/>
          </w:tcPr>
          <w:p>
            <w:pPr>
              <w:spacing w:line="600" w:lineRule="exact"/>
              <w:jc w:val="cente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软件</w:t>
            </w:r>
          </w:p>
        </w:tc>
        <w:tc>
          <w:tcPr>
            <w:tcW w:w="17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数控系统调试软件</w:t>
            </w: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LADDER-III7.5</w:t>
            </w:r>
          </w:p>
        </w:tc>
        <w:tc>
          <w:tcPr>
            <w:tcW w:w="2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调试数控机床PMC程序</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5套</w:t>
            </w:r>
          </w:p>
        </w:tc>
        <w:tc>
          <w:tcPr>
            <w:tcW w:w="15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FANUC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right"/>
        </w:trPr>
        <w:tc>
          <w:tcPr>
            <w:tcW w:w="1240" w:type="dxa"/>
            <w:vAlign w:val="center"/>
          </w:tcPr>
          <w:p>
            <w:pPr>
              <w:spacing w:line="600" w:lineRule="exact"/>
              <w:jc w:val="cente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软件</w:t>
            </w:r>
          </w:p>
        </w:tc>
        <w:tc>
          <w:tcPr>
            <w:tcW w:w="17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智能</w:t>
            </w:r>
            <w:r>
              <w:rPr>
                <w:rFonts w:hint="eastAsia" w:ascii="方正仿宋_GBK" w:hAnsi="方正仿宋_GBK" w:eastAsia="方正仿宋_GBK" w:cs="方正仿宋_GBK"/>
                <w:b w:val="0"/>
                <w:bCs w:val="0"/>
                <w:sz w:val="21"/>
                <w:szCs w:val="21"/>
                <w:lang w:val="en-US" w:eastAsia="zh-CN"/>
              </w:rPr>
              <w:t>制造</w:t>
            </w:r>
            <w:r>
              <w:rPr>
                <w:rFonts w:hint="eastAsia" w:ascii="方正仿宋_GBK" w:hAnsi="方正仿宋_GBK" w:eastAsia="方正仿宋_GBK" w:cs="方正仿宋_GBK"/>
                <w:b w:val="0"/>
                <w:bCs w:val="0"/>
                <w:color w:val="000000"/>
                <w:kern w:val="0"/>
                <w:sz w:val="21"/>
                <w:szCs w:val="21"/>
                <w:u w:val="none"/>
                <w:lang w:val="en-US" w:eastAsia="zh-CN" w:bidi="ar"/>
              </w:rPr>
              <w:t>虚拟仿真单元软件</w:t>
            </w:r>
          </w:p>
        </w:tc>
        <w:tc>
          <w:tcPr>
            <w:tcW w:w="11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YI-F10A型数字化虚拟制造仿真</w:t>
            </w:r>
            <w:r>
              <w:rPr>
                <w:rFonts w:hint="eastAsia" w:ascii="方正仿宋_GBK" w:hAnsi="方正仿宋_GBK" w:eastAsia="方正仿宋_GBK" w:cs="方正仿宋_GBK"/>
                <w:b w:val="0"/>
                <w:bCs w:val="0"/>
                <w:sz w:val="21"/>
                <w:szCs w:val="21"/>
                <w:lang w:val="en-US" w:eastAsia="zh-CN"/>
              </w:rPr>
              <w:t>软件</w:t>
            </w:r>
          </w:p>
        </w:tc>
        <w:tc>
          <w:tcPr>
            <w:tcW w:w="27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调试智能制造自动生产线虚实结合的设计，仿真整套生产线的运行</w:t>
            </w:r>
            <w:r>
              <w:rPr>
                <w:rFonts w:hint="eastAsia" w:ascii="方正仿宋_GBK" w:hAnsi="方正仿宋_GBK" w:eastAsia="方正仿宋_GBK" w:cs="方正仿宋_GBK"/>
                <w:b w:val="0"/>
                <w:bCs w:val="0"/>
                <w:sz w:val="21"/>
                <w:szCs w:val="21"/>
                <w:lang w:val="en-US" w:eastAsia="zh-CN"/>
              </w:rPr>
              <w:t>过程。</w:t>
            </w:r>
          </w:p>
        </w:tc>
        <w:tc>
          <w:tcPr>
            <w:tcW w:w="8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5套</w:t>
            </w:r>
          </w:p>
        </w:tc>
        <w:tc>
          <w:tcPr>
            <w:tcW w:w="15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val="0"/>
                <w:bCs w:val="0"/>
                <w:color w:val="000000"/>
                <w:kern w:val="0"/>
                <w:sz w:val="21"/>
                <w:szCs w:val="21"/>
                <w:u w:val="none"/>
                <w:lang w:val="en-US" w:eastAsia="zh-CN" w:bidi="ar"/>
              </w:rPr>
            </w:pPr>
            <w:r>
              <w:rPr>
                <w:rFonts w:hint="eastAsia" w:ascii="方正仿宋_GBK" w:hAnsi="方正仿宋_GBK" w:eastAsia="方正仿宋_GBK" w:cs="方正仿宋_GBK"/>
                <w:b w:val="0"/>
                <w:bCs w:val="0"/>
                <w:color w:val="000000"/>
                <w:kern w:val="0"/>
                <w:sz w:val="21"/>
                <w:szCs w:val="21"/>
                <w:u w:val="none"/>
                <w:lang w:val="en-US" w:eastAsia="zh-CN" w:bidi="ar"/>
              </w:rPr>
              <w:t>亚龙智能装备集团股份有限公司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right"/>
        </w:trPr>
        <w:tc>
          <w:tcPr>
            <w:tcW w:w="1240"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技术支持</w:t>
            </w:r>
          </w:p>
        </w:tc>
        <w:tc>
          <w:tcPr>
            <w:tcW w:w="7975" w:type="dxa"/>
            <w:gridSpan w:val="5"/>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（情况概述包括设备技术保障、安全操作规范要求等）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设备厂商提供满足大赛所需的技术支持人员若干名。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lang w:val="en-US" w:eastAsia="zh-CN"/>
              </w:rPr>
              <w:t>参赛队完成任务所需的安全防护装备由参赛队自带，并按规范佩戴。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right"/>
        </w:trPr>
        <w:tc>
          <w:tcPr>
            <w:tcW w:w="1240"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场地及环境</w:t>
            </w:r>
          </w:p>
        </w:tc>
        <w:tc>
          <w:tcPr>
            <w:tcW w:w="7975" w:type="dxa"/>
            <w:gridSpan w:val="5"/>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（场地、水、气、电、网等）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pacing w:val="-18"/>
                <w:sz w:val="21"/>
                <w:szCs w:val="21"/>
                <w:lang w:val="en-US" w:eastAsia="zh-CN"/>
              </w:rPr>
            </w:pPr>
            <w:r>
              <w:rPr>
                <w:rFonts w:hint="eastAsia" w:ascii="方正仿宋_GBK" w:hAnsi="方正仿宋_GBK" w:eastAsia="方正仿宋_GBK" w:cs="方正仿宋_GBK"/>
                <w:b w:val="0"/>
                <w:bCs w:val="0"/>
                <w:spacing w:val="-18"/>
                <w:sz w:val="21"/>
                <w:szCs w:val="21"/>
                <w:lang w:val="en-US" w:eastAsia="zh-CN"/>
              </w:rPr>
              <w:t>每个赛位使用场地为5.5米×5.5米（31平方米）；每个赛位配有电脑，预装上述软件清单中软件；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pacing w:val="-18"/>
                <w:sz w:val="21"/>
                <w:szCs w:val="21"/>
                <w:lang w:val="en-US" w:eastAsia="zh-CN"/>
              </w:rPr>
            </w:pPr>
            <w:r>
              <w:rPr>
                <w:rFonts w:hint="eastAsia" w:ascii="方正仿宋_GBK" w:hAnsi="方正仿宋_GBK" w:eastAsia="方正仿宋_GBK" w:cs="方正仿宋_GBK"/>
                <w:b w:val="0"/>
                <w:bCs w:val="0"/>
                <w:spacing w:val="-18"/>
                <w:sz w:val="21"/>
                <w:szCs w:val="21"/>
                <w:lang w:val="en-US" w:eastAsia="zh-CN"/>
              </w:rPr>
              <w:t>每个赛位提供有气压为0.5Mpa—0.6Mpa的供气；每个赛位提供三相五线380V电压；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pacing w:val="-18"/>
                <w:sz w:val="21"/>
                <w:szCs w:val="21"/>
                <w:lang w:val="en-US" w:eastAsia="zh-CN"/>
              </w:rPr>
              <w:t>每个赛位提供设备之间局域网。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right"/>
        </w:trPr>
        <w:tc>
          <w:tcPr>
            <w:tcW w:w="1240" w:type="dxa"/>
            <w:vAlign w:val="center"/>
          </w:tcPr>
          <w:p>
            <w:pPr>
              <w:spacing w:line="60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其他</w:t>
            </w:r>
          </w:p>
        </w:tc>
        <w:tc>
          <w:tcPr>
            <w:tcW w:w="7975" w:type="dxa"/>
            <w:gridSpan w:val="5"/>
          </w:tcPr>
          <w:p>
            <w:pPr>
              <w:spacing w:line="600" w:lineRule="exact"/>
              <w:jc w:val="lef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pacing w:val="-18"/>
                <w:sz w:val="21"/>
                <w:szCs w:val="21"/>
                <w:lang w:val="en-US" w:eastAsia="zh-CN"/>
              </w:rPr>
              <w:t>比赛</w:t>
            </w:r>
            <w:r>
              <w:rPr>
                <w:rFonts w:hint="eastAsia" w:ascii="方正仿宋_GBK" w:hAnsi="方正仿宋_GBK" w:eastAsia="方正仿宋_GBK" w:cs="方正仿宋_GBK"/>
                <w:b w:val="0"/>
                <w:bCs w:val="0"/>
                <w:spacing w:val="-18"/>
                <w:sz w:val="21"/>
                <w:szCs w:val="21"/>
              </w:rPr>
              <w:t>所需</w:t>
            </w:r>
            <w:r>
              <w:rPr>
                <w:rFonts w:hint="eastAsia" w:ascii="方正仿宋_GBK" w:hAnsi="方正仿宋_GBK" w:eastAsia="方正仿宋_GBK" w:cs="方正仿宋_GBK"/>
                <w:b w:val="0"/>
                <w:bCs w:val="0"/>
                <w:spacing w:val="-18"/>
                <w:sz w:val="21"/>
                <w:szCs w:val="21"/>
                <w:lang w:val="en-US" w:eastAsia="zh-CN"/>
              </w:rPr>
              <w:t>设备、</w:t>
            </w:r>
            <w:r>
              <w:rPr>
                <w:rFonts w:hint="eastAsia" w:ascii="方正仿宋_GBK" w:hAnsi="方正仿宋_GBK" w:eastAsia="方正仿宋_GBK" w:cs="方正仿宋_GBK"/>
                <w:b w:val="0"/>
                <w:bCs w:val="0"/>
                <w:spacing w:val="-18"/>
                <w:sz w:val="21"/>
                <w:szCs w:val="21"/>
              </w:rPr>
              <w:t>材料和工量具</w:t>
            </w:r>
            <w:r>
              <w:rPr>
                <w:rFonts w:hint="eastAsia" w:ascii="方正仿宋_GBK" w:hAnsi="方正仿宋_GBK" w:eastAsia="方正仿宋_GBK" w:cs="方正仿宋_GBK"/>
                <w:b w:val="0"/>
                <w:bCs w:val="0"/>
                <w:spacing w:val="-18"/>
                <w:sz w:val="21"/>
                <w:szCs w:val="21"/>
                <w:lang w:val="en-US" w:eastAsia="zh-CN"/>
              </w:rPr>
              <w:t>由承办校提供，参赛学校无需自带</w:t>
            </w:r>
            <w:r>
              <w:rPr>
                <w:rFonts w:hint="eastAsia" w:ascii="方正仿宋_GBK" w:hAnsi="方正仿宋_GBK" w:eastAsia="方正仿宋_GBK" w:cs="方正仿宋_GBK"/>
                <w:b w:val="0"/>
                <w:bCs w:val="0"/>
                <w:spacing w:val="-18"/>
                <w:sz w:val="21"/>
                <w:szCs w:val="21"/>
              </w:rPr>
              <w:t>。</w:t>
            </w:r>
          </w:p>
        </w:tc>
      </w:tr>
    </w:tbl>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p>
    <w:sectPr>
      <w:headerReference r:id="rId3" w:type="first"/>
      <w:footerReference r:id="rId5" w:type="first"/>
      <w:footerReference r:id="rId4" w:type="default"/>
      <w:pgSz w:w="11906" w:h="16838"/>
      <w:pgMar w:top="1247" w:right="1247" w:bottom="1134" w:left="1361" w:header="737" w:footer="56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Arial Unicode MS">
    <w:altName w:val="DejaVu Sans"/>
    <w:panose1 w:val="020B0604020202020204"/>
    <w:charset w:val="86"/>
    <w:family w:val="swiss"/>
    <w:pitch w:val="default"/>
    <w:sig w:usb0="00000000" w:usb1="00000000" w:usb2="0000003F" w:usb3="00000000" w:csb0="603F01FF" w:csb1="FFFF0000"/>
  </w:font>
  <w:font w:name="仿宋^.....">
    <w:altName w:val="仿宋"/>
    <w:panose1 w:val="00000000000000000000"/>
    <w:charset w:val="86"/>
    <w:family w:val="roman"/>
    <w:pitch w:val="default"/>
    <w:sig w:usb0="00000000" w:usb1="00000000" w:usb2="00000010" w:usb3="00000000" w:csb0="00040000" w:csb1="00000000"/>
  </w:font>
  <w:font w:name="PingFang SC">
    <w:altName w:val="文泉驿微米黑"/>
    <w:panose1 w:val="00000000000000000000"/>
    <w:charset w:val="00"/>
    <w:family w:val="auto"/>
    <w:pitch w:val="default"/>
    <w:sig w:usb0="00000000" w:usb1="0000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小标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b/>
        <w:sz w:val="24"/>
        <w:szCs w:val="24"/>
      </w:rPr>
      <w:fldChar w:fldCharType="begin"/>
    </w:r>
    <w:r>
      <w:rPr>
        <w:b/>
      </w:rPr>
      <w:instrText xml:space="preserve">PAGE</w:instrText>
    </w:r>
    <w:r>
      <w:rPr>
        <w:b/>
        <w:sz w:val="24"/>
        <w:szCs w:val="24"/>
      </w:rPr>
      <w:fldChar w:fldCharType="separate"/>
    </w:r>
    <w:r>
      <w:rPr>
        <w:b/>
      </w:rPr>
      <w:t>66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79</w:t>
    </w:r>
    <w:r>
      <w:rPr>
        <w:b/>
        <w:sz w:val="24"/>
        <w:szCs w:val="24"/>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ascii="仿宋_GB2312" w:eastAsia="仿宋_GB2312"/>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hideSpelling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0MmY1ZjlhNTcwYTY0ZDJkNjU5YzExN2I3YTdkMDIifQ=="/>
  </w:docVars>
  <w:rsids>
    <w:rsidRoot w:val="00356F0D"/>
    <w:rsid w:val="000001C2"/>
    <w:rsid w:val="000004CF"/>
    <w:rsid w:val="000137EB"/>
    <w:rsid w:val="000163DD"/>
    <w:rsid w:val="00024D92"/>
    <w:rsid w:val="00025E76"/>
    <w:rsid w:val="00026357"/>
    <w:rsid w:val="000304F8"/>
    <w:rsid w:val="000338FC"/>
    <w:rsid w:val="00033925"/>
    <w:rsid w:val="000367FB"/>
    <w:rsid w:val="00037254"/>
    <w:rsid w:val="00040FB7"/>
    <w:rsid w:val="00047245"/>
    <w:rsid w:val="0005030F"/>
    <w:rsid w:val="00054085"/>
    <w:rsid w:val="00061387"/>
    <w:rsid w:val="00071365"/>
    <w:rsid w:val="00071688"/>
    <w:rsid w:val="00074164"/>
    <w:rsid w:val="00080181"/>
    <w:rsid w:val="00080B36"/>
    <w:rsid w:val="00083E69"/>
    <w:rsid w:val="00087B50"/>
    <w:rsid w:val="000924DE"/>
    <w:rsid w:val="00092C92"/>
    <w:rsid w:val="000959E4"/>
    <w:rsid w:val="00096538"/>
    <w:rsid w:val="000A0D40"/>
    <w:rsid w:val="000A1B4E"/>
    <w:rsid w:val="000B0AFB"/>
    <w:rsid w:val="000B1427"/>
    <w:rsid w:val="000B32CE"/>
    <w:rsid w:val="000B4581"/>
    <w:rsid w:val="000B492A"/>
    <w:rsid w:val="000B6268"/>
    <w:rsid w:val="000B7327"/>
    <w:rsid w:val="000C1FAC"/>
    <w:rsid w:val="000C2CA8"/>
    <w:rsid w:val="000C4F73"/>
    <w:rsid w:val="000C5AD0"/>
    <w:rsid w:val="000C6961"/>
    <w:rsid w:val="000C6A6B"/>
    <w:rsid w:val="000C6BA2"/>
    <w:rsid w:val="000C7423"/>
    <w:rsid w:val="000D113E"/>
    <w:rsid w:val="000D226B"/>
    <w:rsid w:val="000D2D25"/>
    <w:rsid w:val="000D4782"/>
    <w:rsid w:val="000E28D4"/>
    <w:rsid w:val="000F0A84"/>
    <w:rsid w:val="000F4042"/>
    <w:rsid w:val="000F4335"/>
    <w:rsid w:val="001005C6"/>
    <w:rsid w:val="001018EB"/>
    <w:rsid w:val="00101CE0"/>
    <w:rsid w:val="00103C92"/>
    <w:rsid w:val="00103E78"/>
    <w:rsid w:val="00104988"/>
    <w:rsid w:val="00105A15"/>
    <w:rsid w:val="0011196A"/>
    <w:rsid w:val="001122CC"/>
    <w:rsid w:val="00114168"/>
    <w:rsid w:val="001163B6"/>
    <w:rsid w:val="00116A92"/>
    <w:rsid w:val="00116E7F"/>
    <w:rsid w:val="00116F79"/>
    <w:rsid w:val="00121C79"/>
    <w:rsid w:val="00122364"/>
    <w:rsid w:val="00122A39"/>
    <w:rsid w:val="00122FB4"/>
    <w:rsid w:val="0013078E"/>
    <w:rsid w:val="001330EE"/>
    <w:rsid w:val="00136054"/>
    <w:rsid w:val="0013622C"/>
    <w:rsid w:val="00137F22"/>
    <w:rsid w:val="0014095F"/>
    <w:rsid w:val="001412CE"/>
    <w:rsid w:val="00142788"/>
    <w:rsid w:val="00142ED3"/>
    <w:rsid w:val="00147469"/>
    <w:rsid w:val="001511D1"/>
    <w:rsid w:val="001516D7"/>
    <w:rsid w:val="001541D8"/>
    <w:rsid w:val="001558A2"/>
    <w:rsid w:val="00155B9D"/>
    <w:rsid w:val="00157BFB"/>
    <w:rsid w:val="00160900"/>
    <w:rsid w:val="00162EFC"/>
    <w:rsid w:val="001642D7"/>
    <w:rsid w:val="001649A2"/>
    <w:rsid w:val="0016766E"/>
    <w:rsid w:val="00167694"/>
    <w:rsid w:val="0017058D"/>
    <w:rsid w:val="00171E3A"/>
    <w:rsid w:val="001724D7"/>
    <w:rsid w:val="00172DBB"/>
    <w:rsid w:val="00173C1A"/>
    <w:rsid w:val="00174EA3"/>
    <w:rsid w:val="00175360"/>
    <w:rsid w:val="00176557"/>
    <w:rsid w:val="001773E9"/>
    <w:rsid w:val="00177442"/>
    <w:rsid w:val="0018008D"/>
    <w:rsid w:val="0018089D"/>
    <w:rsid w:val="0018286B"/>
    <w:rsid w:val="00183808"/>
    <w:rsid w:val="00183B13"/>
    <w:rsid w:val="00191092"/>
    <w:rsid w:val="00192C5A"/>
    <w:rsid w:val="00192E9F"/>
    <w:rsid w:val="001931A4"/>
    <w:rsid w:val="00193578"/>
    <w:rsid w:val="00193A2C"/>
    <w:rsid w:val="00195011"/>
    <w:rsid w:val="001A0982"/>
    <w:rsid w:val="001A518E"/>
    <w:rsid w:val="001A7128"/>
    <w:rsid w:val="001B7FB6"/>
    <w:rsid w:val="001C4924"/>
    <w:rsid w:val="001C5DC8"/>
    <w:rsid w:val="001C5E33"/>
    <w:rsid w:val="001C6A42"/>
    <w:rsid w:val="001C6B01"/>
    <w:rsid w:val="001D0B7F"/>
    <w:rsid w:val="001E1A76"/>
    <w:rsid w:val="001E4941"/>
    <w:rsid w:val="001E70A8"/>
    <w:rsid w:val="001F11C2"/>
    <w:rsid w:val="001F2E6D"/>
    <w:rsid w:val="001F3599"/>
    <w:rsid w:val="001F3DEF"/>
    <w:rsid w:val="001F42E7"/>
    <w:rsid w:val="001F6926"/>
    <w:rsid w:val="00201D0B"/>
    <w:rsid w:val="002113F5"/>
    <w:rsid w:val="00211A41"/>
    <w:rsid w:val="00211D2B"/>
    <w:rsid w:val="00211EB9"/>
    <w:rsid w:val="002134D2"/>
    <w:rsid w:val="00213B51"/>
    <w:rsid w:val="002148DA"/>
    <w:rsid w:val="00214A29"/>
    <w:rsid w:val="00217D98"/>
    <w:rsid w:val="0022132C"/>
    <w:rsid w:val="00223CB5"/>
    <w:rsid w:val="0022606F"/>
    <w:rsid w:val="002325D0"/>
    <w:rsid w:val="00233841"/>
    <w:rsid w:val="00235506"/>
    <w:rsid w:val="00236768"/>
    <w:rsid w:val="00236BF1"/>
    <w:rsid w:val="00240702"/>
    <w:rsid w:val="00252327"/>
    <w:rsid w:val="00257D01"/>
    <w:rsid w:val="00261654"/>
    <w:rsid w:val="00264387"/>
    <w:rsid w:val="00266961"/>
    <w:rsid w:val="00273FC0"/>
    <w:rsid w:val="00277BB8"/>
    <w:rsid w:val="00280AFE"/>
    <w:rsid w:val="00280CC0"/>
    <w:rsid w:val="0028196B"/>
    <w:rsid w:val="00281D35"/>
    <w:rsid w:val="0028308D"/>
    <w:rsid w:val="00284551"/>
    <w:rsid w:val="002845DB"/>
    <w:rsid w:val="00292E97"/>
    <w:rsid w:val="0029327C"/>
    <w:rsid w:val="00296695"/>
    <w:rsid w:val="00296ECB"/>
    <w:rsid w:val="002A003B"/>
    <w:rsid w:val="002A0496"/>
    <w:rsid w:val="002A194C"/>
    <w:rsid w:val="002A27F8"/>
    <w:rsid w:val="002A60F5"/>
    <w:rsid w:val="002A792A"/>
    <w:rsid w:val="002B2AA0"/>
    <w:rsid w:val="002C1877"/>
    <w:rsid w:val="002C35F3"/>
    <w:rsid w:val="002C4C07"/>
    <w:rsid w:val="002D1964"/>
    <w:rsid w:val="002D44E0"/>
    <w:rsid w:val="002D4ABD"/>
    <w:rsid w:val="002D5989"/>
    <w:rsid w:val="002D7944"/>
    <w:rsid w:val="002E0A54"/>
    <w:rsid w:val="002E23F0"/>
    <w:rsid w:val="002E25BA"/>
    <w:rsid w:val="002E7DDA"/>
    <w:rsid w:val="002E7E04"/>
    <w:rsid w:val="002F1317"/>
    <w:rsid w:val="002F7311"/>
    <w:rsid w:val="00300369"/>
    <w:rsid w:val="00300A2A"/>
    <w:rsid w:val="00302C72"/>
    <w:rsid w:val="00303A67"/>
    <w:rsid w:val="00315F99"/>
    <w:rsid w:val="00317D2D"/>
    <w:rsid w:val="0032155D"/>
    <w:rsid w:val="0032300C"/>
    <w:rsid w:val="00324A26"/>
    <w:rsid w:val="0032625C"/>
    <w:rsid w:val="003277C3"/>
    <w:rsid w:val="00327CFB"/>
    <w:rsid w:val="0033031B"/>
    <w:rsid w:val="00330A1D"/>
    <w:rsid w:val="00332481"/>
    <w:rsid w:val="00335048"/>
    <w:rsid w:val="00341D5A"/>
    <w:rsid w:val="00341E68"/>
    <w:rsid w:val="0034271B"/>
    <w:rsid w:val="003439C8"/>
    <w:rsid w:val="00344D70"/>
    <w:rsid w:val="003450AD"/>
    <w:rsid w:val="00345260"/>
    <w:rsid w:val="003456AD"/>
    <w:rsid w:val="00352246"/>
    <w:rsid w:val="003535BA"/>
    <w:rsid w:val="003553B5"/>
    <w:rsid w:val="0035595F"/>
    <w:rsid w:val="00356067"/>
    <w:rsid w:val="00356CEF"/>
    <w:rsid w:val="00356F0D"/>
    <w:rsid w:val="00357767"/>
    <w:rsid w:val="003609EE"/>
    <w:rsid w:val="00361D60"/>
    <w:rsid w:val="00362219"/>
    <w:rsid w:val="00365140"/>
    <w:rsid w:val="0036778B"/>
    <w:rsid w:val="003678CD"/>
    <w:rsid w:val="00371D8B"/>
    <w:rsid w:val="00373B92"/>
    <w:rsid w:val="00376E10"/>
    <w:rsid w:val="00383334"/>
    <w:rsid w:val="0038509F"/>
    <w:rsid w:val="00386767"/>
    <w:rsid w:val="00387428"/>
    <w:rsid w:val="00390F7F"/>
    <w:rsid w:val="003927A7"/>
    <w:rsid w:val="00394A27"/>
    <w:rsid w:val="00396EA8"/>
    <w:rsid w:val="003A09A5"/>
    <w:rsid w:val="003A1CF7"/>
    <w:rsid w:val="003A2D46"/>
    <w:rsid w:val="003A3391"/>
    <w:rsid w:val="003A37E5"/>
    <w:rsid w:val="003A3ADA"/>
    <w:rsid w:val="003A4867"/>
    <w:rsid w:val="003A72CA"/>
    <w:rsid w:val="003B0557"/>
    <w:rsid w:val="003B0DFD"/>
    <w:rsid w:val="003B1547"/>
    <w:rsid w:val="003B3009"/>
    <w:rsid w:val="003B3355"/>
    <w:rsid w:val="003B6F4C"/>
    <w:rsid w:val="003C12E8"/>
    <w:rsid w:val="003C17A2"/>
    <w:rsid w:val="003C2BE6"/>
    <w:rsid w:val="003C3090"/>
    <w:rsid w:val="003C45FB"/>
    <w:rsid w:val="003C7E8B"/>
    <w:rsid w:val="003D35DA"/>
    <w:rsid w:val="003D449A"/>
    <w:rsid w:val="003D6457"/>
    <w:rsid w:val="003E18AF"/>
    <w:rsid w:val="003E2089"/>
    <w:rsid w:val="003F0E12"/>
    <w:rsid w:val="003F3575"/>
    <w:rsid w:val="003F546F"/>
    <w:rsid w:val="003F59CF"/>
    <w:rsid w:val="003F6459"/>
    <w:rsid w:val="003F745A"/>
    <w:rsid w:val="003F773D"/>
    <w:rsid w:val="00402CAC"/>
    <w:rsid w:val="00404B65"/>
    <w:rsid w:val="00406A6C"/>
    <w:rsid w:val="00407139"/>
    <w:rsid w:val="0041459D"/>
    <w:rsid w:val="00417274"/>
    <w:rsid w:val="00421782"/>
    <w:rsid w:val="00421DFA"/>
    <w:rsid w:val="0042232F"/>
    <w:rsid w:val="00424BEB"/>
    <w:rsid w:val="00426550"/>
    <w:rsid w:val="00431E3A"/>
    <w:rsid w:val="004346A0"/>
    <w:rsid w:val="004369A7"/>
    <w:rsid w:val="00440E19"/>
    <w:rsid w:val="0044363D"/>
    <w:rsid w:val="00443D9A"/>
    <w:rsid w:val="004478FA"/>
    <w:rsid w:val="00450A7D"/>
    <w:rsid w:val="00450AE7"/>
    <w:rsid w:val="00450BA7"/>
    <w:rsid w:val="004521C1"/>
    <w:rsid w:val="00453968"/>
    <w:rsid w:val="00453EB6"/>
    <w:rsid w:val="0045431C"/>
    <w:rsid w:val="00457F80"/>
    <w:rsid w:val="004606DA"/>
    <w:rsid w:val="004608F7"/>
    <w:rsid w:val="00466353"/>
    <w:rsid w:val="004708AB"/>
    <w:rsid w:val="00473810"/>
    <w:rsid w:val="00476856"/>
    <w:rsid w:val="00485EB2"/>
    <w:rsid w:val="00487AF1"/>
    <w:rsid w:val="00487AFE"/>
    <w:rsid w:val="00492257"/>
    <w:rsid w:val="00495A9F"/>
    <w:rsid w:val="00496607"/>
    <w:rsid w:val="00497B46"/>
    <w:rsid w:val="00497D19"/>
    <w:rsid w:val="004A33D9"/>
    <w:rsid w:val="004A438F"/>
    <w:rsid w:val="004A5399"/>
    <w:rsid w:val="004A5C6F"/>
    <w:rsid w:val="004A5E5C"/>
    <w:rsid w:val="004A6326"/>
    <w:rsid w:val="004A789C"/>
    <w:rsid w:val="004B25F7"/>
    <w:rsid w:val="004B2A88"/>
    <w:rsid w:val="004B35E6"/>
    <w:rsid w:val="004B5283"/>
    <w:rsid w:val="004B5513"/>
    <w:rsid w:val="004B5CDC"/>
    <w:rsid w:val="004B5D08"/>
    <w:rsid w:val="004B5F1E"/>
    <w:rsid w:val="004B7691"/>
    <w:rsid w:val="004C1730"/>
    <w:rsid w:val="004C1743"/>
    <w:rsid w:val="004C386C"/>
    <w:rsid w:val="004C5F37"/>
    <w:rsid w:val="004D0827"/>
    <w:rsid w:val="004D1B0B"/>
    <w:rsid w:val="004D2D7E"/>
    <w:rsid w:val="004D42A8"/>
    <w:rsid w:val="004E38FE"/>
    <w:rsid w:val="004E4E9C"/>
    <w:rsid w:val="004F36AF"/>
    <w:rsid w:val="004F520E"/>
    <w:rsid w:val="004F6623"/>
    <w:rsid w:val="004F74EF"/>
    <w:rsid w:val="005021C5"/>
    <w:rsid w:val="00502E4E"/>
    <w:rsid w:val="005036AF"/>
    <w:rsid w:val="00504757"/>
    <w:rsid w:val="00514E42"/>
    <w:rsid w:val="00514EAE"/>
    <w:rsid w:val="00516CDC"/>
    <w:rsid w:val="00521A20"/>
    <w:rsid w:val="00522B39"/>
    <w:rsid w:val="00522BE1"/>
    <w:rsid w:val="005302D1"/>
    <w:rsid w:val="005307D3"/>
    <w:rsid w:val="00532BE7"/>
    <w:rsid w:val="005374E2"/>
    <w:rsid w:val="00540008"/>
    <w:rsid w:val="005465A0"/>
    <w:rsid w:val="00550425"/>
    <w:rsid w:val="005540E3"/>
    <w:rsid w:val="005668A0"/>
    <w:rsid w:val="00566E24"/>
    <w:rsid w:val="0057075B"/>
    <w:rsid w:val="00580338"/>
    <w:rsid w:val="00580833"/>
    <w:rsid w:val="00591EB1"/>
    <w:rsid w:val="00592129"/>
    <w:rsid w:val="00594D84"/>
    <w:rsid w:val="005A3266"/>
    <w:rsid w:val="005A48AC"/>
    <w:rsid w:val="005B04E0"/>
    <w:rsid w:val="005B1559"/>
    <w:rsid w:val="005B2569"/>
    <w:rsid w:val="005B50D7"/>
    <w:rsid w:val="005C1232"/>
    <w:rsid w:val="005C2872"/>
    <w:rsid w:val="005C6EE2"/>
    <w:rsid w:val="005D0C82"/>
    <w:rsid w:val="005D1499"/>
    <w:rsid w:val="005D1660"/>
    <w:rsid w:val="005D1DE4"/>
    <w:rsid w:val="005D24A2"/>
    <w:rsid w:val="005D288B"/>
    <w:rsid w:val="005D30E1"/>
    <w:rsid w:val="005D322E"/>
    <w:rsid w:val="005E06CA"/>
    <w:rsid w:val="005E0FB6"/>
    <w:rsid w:val="005E3A52"/>
    <w:rsid w:val="005E463F"/>
    <w:rsid w:val="005E7D7D"/>
    <w:rsid w:val="005F255F"/>
    <w:rsid w:val="005F3498"/>
    <w:rsid w:val="005F408E"/>
    <w:rsid w:val="006220EF"/>
    <w:rsid w:val="0062677C"/>
    <w:rsid w:val="006315C9"/>
    <w:rsid w:val="00633ADC"/>
    <w:rsid w:val="00634F88"/>
    <w:rsid w:val="006365CC"/>
    <w:rsid w:val="00640F50"/>
    <w:rsid w:val="00644880"/>
    <w:rsid w:val="00645996"/>
    <w:rsid w:val="00650AFE"/>
    <w:rsid w:val="0065316F"/>
    <w:rsid w:val="0065626B"/>
    <w:rsid w:val="00656C92"/>
    <w:rsid w:val="00662773"/>
    <w:rsid w:val="00663312"/>
    <w:rsid w:val="00663B55"/>
    <w:rsid w:val="00664EDF"/>
    <w:rsid w:val="006657DA"/>
    <w:rsid w:val="00667081"/>
    <w:rsid w:val="00667F90"/>
    <w:rsid w:val="00670178"/>
    <w:rsid w:val="006720CD"/>
    <w:rsid w:val="00676F18"/>
    <w:rsid w:val="00680900"/>
    <w:rsid w:val="00681049"/>
    <w:rsid w:val="00690988"/>
    <w:rsid w:val="00692F6B"/>
    <w:rsid w:val="006949A1"/>
    <w:rsid w:val="00694B54"/>
    <w:rsid w:val="00696554"/>
    <w:rsid w:val="00697FDE"/>
    <w:rsid w:val="006A5205"/>
    <w:rsid w:val="006A5288"/>
    <w:rsid w:val="006B06F3"/>
    <w:rsid w:val="006B1953"/>
    <w:rsid w:val="006B5262"/>
    <w:rsid w:val="006B58FA"/>
    <w:rsid w:val="006B5C4F"/>
    <w:rsid w:val="006B6F64"/>
    <w:rsid w:val="006C0C02"/>
    <w:rsid w:val="006C1640"/>
    <w:rsid w:val="006C3977"/>
    <w:rsid w:val="006C3EAE"/>
    <w:rsid w:val="006C5102"/>
    <w:rsid w:val="006D247C"/>
    <w:rsid w:val="006D5BE4"/>
    <w:rsid w:val="006E38D0"/>
    <w:rsid w:val="006E77FC"/>
    <w:rsid w:val="006F16A0"/>
    <w:rsid w:val="006F2AF7"/>
    <w:rsid w:val="006F387F"/>
    <w:rsid w:val="006F5485"/>
    <w:rsid w:val="006F5BA3"/>
    <w:rsid w:val="006F5D2E"/>
    <w:rsid w:val="0070340A"/>
    <w:rsid w:val="0070556F"/>
    <w:rsid w:val="007077B7"/>
    <w:rsid w:val="00716572"/>
    <w:rsid w:val="00722498"/>
    <w:rsid w:val="00722630"/>
    <w:rsid w:val="00724615"/>
    <w:rsid w:val="00730B54"/>
    <w:rsid w:val="00737D78"/>
    <w:rsid w:val="00740207"/>
    <w:rsid w:val="00740D53"/>
    <w:rsid w:val="00741909"/>
    <w:rsid w:val="00742A8A"/>
    <w:rsid w:val="0074305D"/>
    <w:rsid w:val="00746FD3"/>
    <w:rsid w:val="00752875"/>
    <w:rsid w:val="007566FB"/>
    <w:rsid w:val="00756E38"/>
    <w:rsid w:val="00756E4B"/>
    <w:rsid w:val="00756F98"/>
    <w:rsid w:val="00760105"/>
    <w:rsid w:val="00760514"/>
    <w:rsid w:val="007606EF"/>
    <w:rsid w:val="007718AD"/>
    <w:rsid w:val="00771DBB"/>
    <w:rsid w:val="00773FCA"/>
    <w:rsid w:val="00775B06"/>
    <w:rsid w:val="00777351"/>
    <w:rsid w:val="0078226B"/>
    <w:rsid w:val="00782A95"/>
    <w:rsid w:val="00782BA4"/>
    <w:rsid w:val="00783EE5"/>
    <w:rsid w:val="007841E5"/>
    <w:rsid w:val="007862F2"/>
    <w:rsid w:val="007911FC"/>
    <w:rsid w:val="0079296B"/>
    <w:rsid w:val="00793B56"/>
    <w:rsid w:val="00795C47"/>
    <w:rsid w:val="0079742A"/>
    <w:rsid w:val="007A1B70"/>
    <w:rsid w:val="007A3265"/>
    <w:rsid w:val="007A379C"/>
    <w:rsid w:val="007A51E2"/>
    <w:rsid w:val="007B2019"/>
    <w:rsid w:val="007B6511"/>
    <w:rsid w:val="007C1A9C"/>
    <w:rsid w:val="007C1F94"/>
    <w:rsid w:val="007C56A7"/>
    <w:rsid w:val="007D3F1A"/>
    <w:rsid w:val="007E1B97"/>
    <w:rsid w:val="007E552E"/>
    <w:rsid w:val="007E600F"/>
    <w:rsid w:val="007E63ED"/>
    <w:rsid w:val="007E645B"/>
    <w:rsid w:val="007E7B97"/>
    <w:rsid w:val="007F22AC"/>
    <w:rsid w:val="007F2D46"/>
    <w:rsid w:val="007F3378"/>
    <w:rsid w:val="007F5906"/>
    <w:rsid w:val="007F5CE6"/>
    <w:rsid w:val="00802B4D"/>
    <w:rsid w:val="00804344"/>
    <w:rsid w:val="00804DB4"/>
    <w:rsid w:val="00804EEA"/>
    <w:rsid w:val="0081022E"/>
    <w:rsid w:val="00810591"/>
    <w:rsid w:val="008112D4"/>
    <w:rsid w:val="008137AC"/>
    <w:rsid w:val="00814EFC"/>
    <w:rsid w:val="00817698"/>
    <w:rsid w:val="0081785D"/>
    <w:rsid w:val="00820EEA"/>
    <w:rsid w:val="008211CB"/>
    <w:rsid w:val="00822B47"/>
    <w:rsid w:val="008240CC"/>
    <w:rsid w:val="00825F9F"/>
    <w:rsid w:val="00826872"/>
    <w:rsid w:val="00826AA6"/>
    <w:rsid w:val="00826CFB"/>
    <w:rsid w:val="0083172F"/>
    <w:rsid w:val="008320D5"/>
    <w:rsid w:val="008329CE"/>
    <w:rsid w:val="008339A3"/>
    <w:rsid w:val="00837A64"/>
    <w:rsid w:val="0084024B"/>
    <w:rsid w:val="00840DBF"/>
    <w:rsid w:val="00843D2B"/>
    <w:rsid w:val="00843D56"/>
    <w:rsid w:val="0084458A"/>
    <w:rsid w:val="00851CC1"/>
    <w:rsid w:val="008534CC"/>
    <w:rsid w:val="008537A6"/>
    <w:rsid w:val="008544B2"/>
    <w:rsid w:val="008546B5"/>
    <w:rsid w:val="00857D43"/>
    <w:rsid w:val="00865208"/>
    <w:rsid w:val="0086597C"/>
    <w:rsid w:val="00870CD1"/>
    <w:rsid w:val="00871FA0"/>
    <w:rsid w:val="00872EDF"/>
    <w:rsid w:val="008745E3"/>
    <w:rsid w:val="00874627"/>
    <w:rsid w:val="00874890"/>
    <w:rsid w:val="008761F9"/>
    <w:rsid w:val="00876B32"/>
    <w:rsid w:val="00880769"/>
    <w:rsid w:val="0088132F"/>
    <w:rsid w:val="00882363"/>
    <w:rsid w:val="00882EE5"/>
    <w:rsid w:val="00883D6D"/>
    <w:rsid w:val="00890371"/>
    <w:rsid w:val="00890417"/>
    <w:rsid w:val="0089291C"/>
    <w:rsid w:val="008947EE"/>
    <w:rsid w:val="00895D89"/>
    <w:rsid w:val="008A00B1"/>
    <w:rsid w:val="008A016D"/>
    <w:rsid w:val="008A200A"/>
    <w:rsid w:val="008A4807"/>
    <w:rsid w:val="008A5713"/>
    <w:rsid w:val="008B0E5C"/>
    <w:rsid w:val="008B4C31"/>
    <w:rsid w:val="008B53D5"/>
    <w:rsid w:val="008B751D"/>
    <w:rsid w:val="008B79CE"/>
    <w:rsid w:val="008C3C5F"/>
    <w:rsid w:val="008C4968"/>
    <w:rsid w:val="008C5F37"/>
    <w:rsid w:val="008C610A"/>
    <w:rsid w:val="008C7998"/>
    <w:rsid w:val="008D76EB"/>
    <w:rsid w:val="008E2A0E"/>
    <w:rsid w:val="008E5FED"/>
    <w:rsid w:val="008E641E"/>
    <w:rsid w:val="008E6F65"/>
    <w:rsid w:val="008F0E2A"/>
    <w:rsid w:val="008F6C87"/>
    <w:rsid w:val="00902EF5"/>
    <w:rsid w:val="00904CBD"/>
    <w:rsid w:val="00905B22"/>
    <w:rsid w:val="00906279"/>
    <w:rsid w:val="00907E69"/>
    <w:rsid w:val="00907ED4"/>
    <w:rsid w:val="00915551"/>
    <w:rsid w:val="00915996"/>
    <w:rsid w:val="0092069A"/>
    <w:rsid w:val="009209EF"/>
    <w:rsid w:val="00922E43"/>
    <w:rsid w:val="00922FBD"/>
    <w:rsid w:val="00924441"/>
    <w:rsid w:val="00926122"/>
    <w:rsid w:val="00926229"/>
    <w:rsid w:val="00926F20"/>
    <w:rsid w:val="0093361C"/>
    <w:rsid w:val="00933AB5"/>
    <w:rsid w:val="00934479"/>
    <w:rsid w:val="00935048"/>
    <w:rsid w:val="00936182"/>
    <w:rsid w:val="0094101F"/>
    <w:rsid w:val="009413C2"/>
    <w:rsid w:val="00942255"/>
    <w:rsid w:val="009443CB"/>
    <w:rsid w:val="00944E96"/>
    <w:rsid w:val="00952508"/>
    <w:rsid w:val="009559FE"/>
    <w:rsid w:val="00955EB1"/>
    <w:rsid w:val="009614E0"/>
    <w:rsid w:val="009642A8"/>
    <w:rsid w:val="0096488D"/>
    <w:rsid w:val="00972D93"/>
    <w:rsid w:val="009741B3"/>
    <w:rsid w:val="009766AC"/>
    <w:rsid w:val="0098320C"/>
    <w:rsid w:val="00983672"/>
    <w:rsid w:val="00990879"/>
    <w:rsid w:val="00993860"/>
    <w:rsid w:val="0099429C"/>
    <w:rsid w:val="0099488E"/>
    <w:rsid w:val="009956C1"/>
    <w:rsid w:val="00997B3C"/>
    <w:rsid w:val="00997E4B"/>
    <w:rsid w:val="009A07AE"/>
    <w:rsid w:val="009A0F97"/>
    <w:rsid w:val="009A1A34"/>
    <w:rsid w:val="009A2C5F"/>
    <w:rsid w:val="009A3104"/>
    <w:rsid w:val="009A55E9"/>
    <w:rsid w:val="009B0155"/>
    <w:rsid w:val="009B0FA8"/>
    <w:rsid w:val="009B2925"/>
    <w:rsid w:val="009B5DFE"/>
    <w:rsid w:val="009C10AC"/>
    <w:rsid w:val="009C3043"/>
    <w:rsid w:val="009C53DB"/>
    <w:rsid w:val="009C654E"/>
    <w:rsid w:val="009C65EF"/>
    <w:rsid w:val="009D284A"/>
    <w:rsid w:val="009D536F"/>
    <w:rsid w:val="009E02B1"/>
    <w:rsid w:val="009E0380"/>
    <w:rsid w:val="009E17F2"/>
    <w:rsid w:val="009E5766"/>
    <w:rsid w:val="009F15D1"/>
    <w:rsid w:val="009F27C4"/>
    <w:rsid w:val="009F320B"/>
    <w:rsid w:val="009F4CC1"/>
    <w:rsid w:val="00A01119"/>
    <w:rsid w:val="00A02A39"/>
    <w:rsid w:val="00A07797"/>
    <w:rsid w:val="00A11E95"/>
    <w:rsid w:val="00A12483"/>
    <w:rsid w:val="00A12E53"/>
    <w:rsid w:val="00A14164"/>
    <w:rsid w:val="00A150DF"/>
    <w:rsid w:val="00A20378"/>
    <w:rsid w:val="00A21E31"/>
    <w:rsid w:val="00A22260"/>
    <w:rsid w:val="00A22414"/>
    <w:rsid w:val="00A248D7"/>
    <w:rsid w:val="00A24D37"/>
    <w:rsid w:val="00A25B72"/>
    <w:rsid w:val="00A30C23"/>
    <w:rsid w:val="00A31FC6"/>
    <w:rsid w:val="00A34458"/>
    <w:rsid w:val="00A37069"/>
    <w:rsid w:val="00A3770A"/>
    <w:rsid w:val="00A427D7"/>
    <w:rsid w:val="00A4415D"/>
    <w:rsid w:val="00A47525"/>
    <w:rsid w:val="00A52A42"/>
    <w:rsid w:val="00A572C2"/>
    <w:rsid w:val="00A57DA0"/>
    <w:rsid w:val="00A6162B"/>
    <w:rsid w:val="00A62D53"/>
    <w:rsid w:val="00A65120"/>
    <w:rsid w:val="00A713A6"/>
    <w:rsid w:val="00A72127"/>
    <w:rsid w:val="00A75140"/>
    <w:rsid w:val="00A767E8"/>
    <w:rsid w:val="00A7738A"/>
    <w:rsid w:val="00A818A5"/>
    <w:rsid w:val="00A81E73"/>
    <w:rsid w:val="00A82F7D"/>
    <w:rsid w:val="00A86819"/>
    <w:rsid w:val="00A87DB8"/>
    <w:rsid w:val="00A90514"/>
    <w:rsid w:val="00A94A36"/>
    <w:rsid w:val="00A94AF3"/>
    <w:rsid w:val="00A951EC"/>
    <w:rsid w:val="00A967DB"/>
    <w:rsid w:val="00A97FED"/>
    <w:rsid w:val="00AA175C"/>
    <w:rsid w:val="00AA2CC2"/>
    <w:rsid w:val="00AA36E0"/>
    <w:rsid w:val="00AA4050"/>
    <w:rsid w:val="00AA4C0A"/>
    <w:rsid w:val="00AA62C2"/>
    <w:rsid w:val="00AA7CB6"/>
    <w:rsid w:val="00AA7F0D"/>
    <w:rsid w:val="00AB1F92"/>
    <w:rsid w:val="00AB2D95"/>
    <w:rsid w:val="00AB479E"/>
    <w:rsid w:val="00AC00E9"/>
    <w:rsid w:val="00AC2931"/>
    <w:rsid w:val="00AC5074"/>
    <w:rsid w:val="00AC6F6A"/>
    <w:rsid w:val="00AC79AA"/>
    <w:rsid w:val="00AD0216"/>
    <w:rsid w:val="00AD0284"/>
    <w:rsid w:val="00AD48A0"/>
    <w:rsid w:val="00AD6EEF"/>
    <w:rsid w:val="00AD7C31"/>
    <w:rsid w:val="00AE3413"/>
    <w:rsid w:val="00AF12D1"/>
    <w:rsid w:val="00AF3856"/>
    <w:rsid w:val="00AF4ABE"/>
    <w:rsid w:val="00AF5830"/>
    <w:rsid w:val="00AF759A"/>
    <w:rsid w:val="00B01749"/>
    <w:rsid w:val="00B039E5"/>
    <w:rsid w:val="00B04600"/>
    <w:rsid w:val="00B065C6"/>
    <w:rsid w:val="00B06AF1"/>
    <w:rsid w:val="00B0791D"/>
    <w:rsid w:val="00B07D6C"/>
    <w:rsid w:val="00B1509D"/>
    <w:rsid w:val="00B15EA2"/>
    <w:rsid w:val="00B16319"/>
    <w:rsid w:val="00B16E7C"/>
    <w:rsid w:val="00B2073F"/>
    <w:rsid w:val="00B22E7E"/>
    <w:rsid w:val="00B327D3"/>
    <w:rsid w:val="00B32CFD"/>
    <w:rsid w:val="00B33892"/>
    <w:rsid w:val="00B3448C"/>
    <w:rsid w:val="00B34AAA"/>
    <w:rsid w:val="00B3546E"/>
    <w:rsid w:val="00B35D98"/>
    <w:rsid w:val="00B362CF"/>
    <w:rsid w:val="00B36EF8"/>
    <w:rsid w:val="00B37F7D"/>
    <w:rsid w:val="00B416FB"/>
    <w:rsid w:val="00B444CB"/>
    <w:rsid w:val="00B4676B"/>
    <w:rsid w:val="00B52445"/>
    <w:rsid w:val="00B57FCD"/>
    <w:rsid w:val="00B63FE8"/>
    <w:rsid w:val="00B65E35"/>
    <w:rsid w:val="00B73134"/>
    <w:rsid w:val="00B73E40"/>
    <w:rsid w:val="00B7704B"/>
    <w:rsid w:val="00B83454"/>
    <w:rsid w:val="00B84B6B"/>
    <w:rsid w:val="00B90647"/>
    <w:rsid w:val="00BA1EF4"/>
    <w:rsid w:val="00BA4476"/>
    <w:rsid w:val="00BA4575"/>
    <w:rsid w:val="00BA4B26"/>
    <w:rsid w:val="00BA4D40"/>
    <w:rsid w:val="00BA6B3D"/>
    <w:rsid w:val="00BA7398"/>
    <w:rsid w:val="00BA7853"/>
    <w:rsid w:val="00BB2F2A"/>
    <w:rsid w:val="00BB34FF"/>
    <w:rsid w:val="00BB45FD"/>
    <w:rsid w:val="00BC0C21"/>
    <w:rsid w:val="00BC0DB4"/>
    <w:rsid w:val="00BC4012"/>
    <w:rsid w:val="00BC5CFC"/>
    <w:rsid w:val="00BC6B77"/>
    <w:rsid w:val="00BC76FD"/>
    <w:rsid w:val="00BD62B6"/>
    <w:rsid w:val="00BD6521"/>
    <w:rsid w:val="00BD776A"/>
    <w:rsid w:val="00BE11FA"/>
    <w:rsid w:val="00BE1814"/>
    <w:rsid w:val="00BE7A67"/>
    <w:rsid w:val="00BF2792"/>
    <w:rsid w:val="00BF47B3"/>
    <w:rsid w:val="00BF58E9"/>
    <w:rsid w:val="00BF5B56"/>
    <w:rsid w:val="00BF6C36"/>
    <w:rsid w:val="00C04CCC"/>
    <w:rsid w:val="00C05463"/>
    <w:rsid w:val="00C058B3"/>
    <w:rsid w:val="00C05C3F"/>
    <w:rsid w:val="00C07F2C"/>
    <w:rsid w:val="00C132B9"/>
    <w:rsid w:val="00C22809"/>
    <w:rsid w:val="00C2313D"/>
    <w:rsid w:val="00C23AAE"/>
    <w:rsid w:val="00C23C01"/>
    <w:rsid w:val="00C24398"/>
    <w:rsid w:val="00C25BCD"/>
    <w:rsid w:val="00C27CC2"/>
    <w:rsid w:val="00C30E74"/>
    <w:rsid w:val="00C36E12"/>
    <w:rsid w:val="00C37093"/>
    <w:rsid w:val="00C37370"/>
    <w:rsid w:val="00C44682"/>
    <w:rsid w:val="00C45A75"/>
    <w:rsid w:val="00C466FB"/>
    <w:rsid w:val="00C51454"/>
    <w:rsid w:val="00C54C88"/>
    <w:rsid w:val="00C55829"/>
    <w:rsid w:val="00C56CB2"/>
    <w:rsid w:val="00C57304"/>
    <w:rsid w:val="00C579EE"/>
    <w:rsid w:val="00C609D7"/>
    <w:rsid w:val="00C60A3F"/>
    <w:rsid w:val="00C655A9"/>
    <w:rsid w:val="00C677B4"/>
    <w:rsid w:val="00C727A0"/>
    <w:rsid w:val="00C728C5"/>
    <w:rsid w:val="00C73069"/>
    <w:rsid w:val="00C81993"/>
    <w:rsid w:val="00C8270C"/>
    <w:rsid w:val="00C85540"/>
    <w:rsid w:val="00C859B4"/>
    <w:rsid w:val="00C945F1"/>
    <w:rsid w:val="00C959AB"/>
    <w:rsid w:val="00C95A33"/>
    <w:rsid w:val="00C96FE0"/>
    <w:rsid w:val="00C97BD5"/>
    <w:rsid w:val="00CA27ED"/>
    <w:rsid w:val="00CA7B72"/>
    <w:rsid w:val="00CB181F"/>
    <w:rsid w:val="00CB5285"/>
    <w:rsid w:val="00CC0B33"/>
    <w:rsid w:val="00CC4952"/>
    <w:rsid w:val="00CC63F5"/>
    <w:rsid w:val="00CC75FD"/>
    <w:rsid w:val="00CD4013"/>
    <w:rsid w:val="00CD4FCA"/>
    <w:rsid w:val="00CD74FD"/>
    <w:rsid w:val="00CE078D"/>
    <w:rsid w:val="00CE1447"/>
    <w:rsid w:val="00CE5E35"/>
    <w:rsid w:val="00CE66CC"/>
    <w:rsid w:val="00CF47D8"/>
    <w:rsid w:val="00CF4BB9"/>
    <w:rsid w:val="00CF5B9D"/>
    <w:rsid w:val="00D041A9"/>
    <w:rsid w:val="00D076AE"/>
    <w:rsid w:val="00D10969"/>
    <w:rsid w:val="00D11727"/>
    <w:rsid w:val="00D11A5A"/>
    <w:rsid w:val="00D16111"/>
    <w:rsid w:val="00D2219C"/>
    <w:rsid w:val="00D24849"/>
    <w:rsid w:val="00D24938"/>
    <w:rsid w:val="00D2554A"/>
    <w:rsid w:val="00D263CE"/>
    <w:rsid w:val="00D318B1"/>
    <w:rsid w:val="00D44B9F"/>
    <w:rsid w:val="00D479C3"/>
    <w:rsid w:val="00D51042"/>
    <w:rsid w:val="00D52878"/>
    <w:rsid w:val="00D5316E"/>
    <w:rsid w:val="00D54561"/>
    <w:rsid w:val="00D5592E"/>
    <w:rsid w:val="00D55F60"/>
    <w:rsid w:val="00D56F27"/>
    <w:rsid w:val="00D5791D"/>
    <w:rsid w:val="00D608A9"/>
    <w:rsid w:val="00D63AA0"/>
    <w:rsid w:val="00D65D2A"/>
    <w:rsid w:val="00D67098"/>
    <w:rsid w:val="00D707BC"/>
    <w:rsid w:val="00D70C2F"/>
    <w:rsid w:val="00D72BB5"/>
    <w:rsid w:val="00D72D44"/>
    <w:rsid w:val="00D73606"/>
    <w:rsid w:val="00D76374"/>
    <w:rsid w:val="00D76915"/>
    <w:rsid w:val="00D771BF"/>
    <w:rsid w:val="00D778AE"/>
    <w:rsid w:val="00D830FB"/>
    <w:rsid w:val="00D83AD4"/>
    <w:rsid w:val="00D85E73"/>
    <w:rsid w:val="00D90919"/>
    <w:rsid w:val="00D9214F"/>
    <w:rsid w:val="00D94472"/>
    <w:rsid w:val="00D94A70"/>
    <w:rsid w:val="00D94D1C"/>
    <w:rsid w:val="00D962FB"/>
    <w:rsid w:val="00DA0047"/>
    <w:rsid w:val="00DA0091"/>
    <w:rsid w:val="00DA0409"/>
    <w:rsid w:val="00DA0696"/>
    <w:rsid w:val="00DB1053"/>
    <w:rsid w:val="00DB3C2A"/>
    <w:rsid w:val="00DB4ADA"/>
    <w:rsid w:val="00DB5656"/>
    <w:rsid w:val="00DB7E12"/>
    <w:rsid w:val="00DC0111"/>
    <w:rsid w:val="00DC048D"/>
    <w:rsid w:val="00DC3311"/>
    <w:rsid w:val="00DC58E0"/>
    <w:rsid w:val="00DD07F1"/>
    <w:rsid w:val="00DD116E"/>
    <w:rsid w:val="00DD580C"/>
    <w:rsid w:val="00DE00C1"/>
    <w:rsid w:val="00DE048D"/>
    <w:rsid w:val="00DE0569"/>
    <w:rsid w:val="00DE09B1"/>
    <w:rsid w:val="00DE1373"/>
    <w:rsid w:val="00DE1503"/>
    <w:rsid w:val="00DE36B5"/>
    <w:rsid w:val="00DE5B67"/>
    <w:rsid w:val="00DF1B6A"/>
    <w:rsid w:val="00DF2C17"/>
    <w:rsid w:val="00DF393B"/>
    <w:rsid w:val="00DF6492"/>
    <w:rsid w:val="00E00A51"/>
    <w:rsid w:val="00E01455"/>
    <w:rsid w:val="00E025E3"/>
    <w:rsid w:val="00E02B16"/>
    <w:rsid w:val="00E04685"/>
    <w:rsid w:val="00E05E73"/>
    <w:rsid w:val="00E079B8"/>
    <w:rsid w:val="00E10653"/>
    <w:rsid w:val="00E10D9D"/>
    <w:rsid w:val="00E11299"/>
    <w:rsid w:val="00E13417"/>
    <w:rsid w:val="00E13975"/>
    <w:rsid w:val="00E14F5E"/>
    <w:rsid w:val="00E16559"/>
    <w:rsid w:val="00E232E6"/>
    <w:rsid w:val="00E248A1"/>
    <w:rsid w:val="00E273ED"/>
    <w:rsid w:val="00E31E28"/>
    <w:rsid w:val="00E3423F"/>
    <w:rsid w:val="00E36369"/>
    <w:rsid w:val="00E42031"/>
    <w:rsid w:val="00E42B3D"/>
    <w:rsid w:val="00E43686"/>
    <w:rsid w:val="00E438F8"/>
    <w:rsid w:val="00E447A8"/>
    <w:rsid w:val="00E44D08"/>
    <w:rsid w:val="00E5339F"/>
    <w:rsid w:val="00E53CC7"/>
    <w:rsid w:val="00E54D3C"/>
    <w:rsid w:val="00E556E5"/>
    <w:rsid w:val="00E57D94"/>
    <w:rsid w:val="00E60605"/>
    <w:rsid w:val="00E6079C"/>
    <w:rsid w:val="00E6093C"/>
    <w:rsid w:val="00E65EAE"/>
    <w:rsid w:val="00E669B7"/>
    <w:rsid w:val="00E7007F"/>
    <w:rsid w:val="00E73392"/>
    <w:rsid w:val="00E73AF5"/>
    <w:rsid w:val="00E74063"/>
    <w:rsid w:val="00E76F0C"/>
    <w:rsid w:val="00E777FD"/>
    <w:rsid w:val="00E80247"/>
    <w:rsid w:val="00E80CB7"/>
    <w:rsid w:val="00E85C36"/>
    <w:rsid w:val="00E86E44"/>
    <w:rsid w:val="00E905BA"/>
    <w:rsid w:val="00E91F52"/>
    <w:rsid w:val="00E92415"/>
    <w:rsid w:val="00E933BD"/>
    <w:rsid w:val="00E9512A"/>
    <w:rsid w:val="00EA5B39"/>
    <w:rsid w:val="00EA66AC"/>
    <w:rsid w:val="00EB03FC"/>
    <w:rsid w:val="00EB1D75"/>
    <w:rsid w:val="00EB2B01"/>
    <w:rsid w:val="00EC176F"/>
    <w:rsid w:val="00EC1E51"/>
    <w:rsid w:val="00EC2F4E"/>
    <w:rsid w:val="00EC3B9A"/>
    <w:rsid w:val="00EC496D"/>
    <w:rsid w:val="00EC4EFF"/>
    <w:rsid w:val="00ED1668"/>
    <w:rsid w:val="00ED20FE"/>
    <w:rsid w:val="00EE14F3"/>
    <w:rsid w:val="00EE1584"/>
    <w:rsid w:val="00EE4A1E"/>
    <w:rsid w:val="00EE5E14"/>
    <w:rsid w:val="00EE7187"/>
    <w:rsid w:val="00EF03CB"/>
    <w:rsid w:val="00EF0D4D"/>
    <w:rsid w:val="00EF0DFC"/>
    <w:rsid w:val="00EF36BD"/>
    <w:rsid w:val="00EF3A62"/>
    <w:rsid w:val="00EF6CCF"/>
    <w:rsid w:val="00EF7950"/>
    <w:rsid w:val="00F0097D"/>
    <w:rsid w:val="00F03310"/>
    <w:rsid w:val="00F05714"/>
    <w:rsid w:val="00F15D28"/>
    <w:rsid w:val="00F20BFB"/>
    <w:rsid w:val="00F22CB3"/>
    <w:rsid w:val="00F23202"/>
    <w:rsid w:val="00F23B62"/>
    <w:rsid w:val="00F26FDE"/>
    <w:rsid w:val="00F33869"/>
    <w:rsid w:val="00F342D8"/>
    <w:rsid w:val="00F35711"/>
    <w:rsid w:val="00F35B83"/>
    <w:rsid w:val="00F41C9C"/>
    <w:rsid w:val="00F43115"/>
    <w:rsid w:val="00F4409E"/>
    <w:rsid w:val="00F45D5F"/>
    <w:rsid w:val="00F46B36"/>
    <w:rsid w:val="00F500FD"/>
    <w:rsid w:val="00F50C52"/>
    <w:rsid w:val="00F52279"/>
    <w:rsid w:val="00F52EC8"/>
    <w:rsid w:val="00F53AE0"/>
    <w:rsid w:val="00F55DF5"/>
    <w:rsid w:val="00F57FD3"/>
    <w:rsid w:val="00F60098"/>
    <w:rsid w:val="00F657F2"/>
    <w:rsid w:val="00F66B69"/>
    <w:rsid w:val="00F6755C"/>
    <w:rsid w:val="00F71D64"/>
    <w:rsid w:val="00F766B2"/>
    <w:rsid w:val="00F83CCF"/>
    <w:rsid w:val="00F8410B"/>
    <w:rsid w:val="00F8511C"/>
    <w:rsid w:val="00F94125"/>
    <w:rsid w:val="00F9475C"/>
    <w:rsid w:val="00FA2595"/>
    <w:rsid w:val="00FA36EB"/>
    <w:rsid w:val="00FA5D9B"/>
    <w:rsid w:val="00FA6BD0"/>
    <w:rsid w:val="00FB198B"/>
    <w:rsid w:val="00FB47F4"/>
    <w:rsid w:val="00FB4B21"/>
    <w:rsid w:val="00FB54B5"/>
    <w:rsid w:val="00FB5861"/>
    <w:rsid w:val="00FB7E0B"/>
    <w:rsid w:val="00FC0881"/>
    <w:rsid w:val="00FC10DC"/>
    <w:rsid w:val="00FC183E"/>
    <w:rsid w:val="00FC331B"/>
    <w:rsid w:val="00FC449B"/>
    <w:rsid w:val="00FC4D05"/>
    <w:rsid w:val="00FC621F"/>
    <w:rsid w:val="00FD0441"/>
    <w:rsid w:val="00FD31DF"/>
    <w:rsid w:val="00FD42C5"/>
    <w:rsid w:val="00FD6839"/>
    <w:rsid w:val="00FE2FEB"/>
    <w:rsid w:val="00FE3DCF"/>
    <w:rsid w:val="00FE445F"/>
    <w:rsid w:val="00FE7E76"/>
    <w:rsid w:val="00FF28B5"/>
    <w:rsid w:val="00FF2E49"/>
    <w:rsid w:val="00FF3CE1"/>
    <w:rsid w:val="00FF3F69"/>
    <w:rsid w:val="00FF5682"/>
    <w:rsid w:val="00FF5970"/>
    <w:rsid w:val="00FF5F3A"/>
    <w:rsid w:val="01000C74"/>
    <w:rsid w:val="013369DF"/>
    <w:rsid w:val="01437C9C"/>
    <w:rsid w:val="016519C1"/>
    <w:rsid w:val="01964270"/>
    <w:rsid w:val="01B76572"/>
    <w:rsid w:val="01BB675B"/>
    <w:rsid w:val="01C47826"/>
    <w:rsid w:val="01E85B33"/>
    <w:rsid w:val="022573A2"/>
    <w:rsid w:val="02313F99"/>
    <w:rsid w:val="023852F2"/>
    <w:rsid w:val="02410FF9"/>
    <w:rsid w:val="025A3A62"/>
    <w:rsid w:val="025F66F1"/>
    <w:rsid w:val="026003DA"/>
    <w:rsid w:val="028916DF"/>
    <w:rsid w:val="02D013D2"/>
    <w:rsid w:val="02DA018C"/>
    <w:rsid w:val="02DD1A2B"/>
    <w:rsid w:val="031C69F7"/>
    <w:rsid w:val="032558AB"/>
    <w:rsid w:val="03343D40"/>
    <w:rsid w:val="033E35CB"/>
    <w:rsid w:val="034F46D6"/>
    <w:rsid w:val="03740816"/>
    <w:rsid w:val="03B95FF4"/>
    <w:rsid w:val="03ED2496"/>
    <w:rsid w:val="03FD6F6C"/>
    <w:rsid w:val="040D7796"/>
    <w:rsid w:val="041041AA"/>
    <w:rsid w:val="04131222"/>
    <w:rsid w:val="042E37D9"/>
    <w:rsid w:val="04310280"/>
    <w:rsid w:val="043E2362"/>
    <w:rsid w:val="049B18B6"/>
    <w:rsid w:val="05031C1C"/>
    <w:rsid w:val="050B6D23"/>
    <w:rsid w:val="05182CB0"/>
    <w:rsid w:val="051C4A8C"/>
    <w:rsid w:val="056A6A15"/>
    <w:rsid w:val="0580326D"/>
    <w:rsid w:val="05967655"/>
    <w:rsid w:val="05A36361"/>
    <w:rsid w:val="05B132D2"/>
    <w:rsid w:val="05B33933"/>
    <w:rsid w:val="05C3315A"/>
    <w:rsid w:val="05CA098C"/>
    <w:rsid w:val="05D30EE4"/>
    <w:rsid w:val="05ED01D7"/>
    <w:rsid w:val="0607573C"/>
    <w:rsid w:val="061D286A"/>
    <w:rsid w:val="061D6D0E"/>
    <w:rsid w:val="063F5B20"/>
    <w:rsid w:val="0654565B"/>
    <w:rsid w:val="065D710A"/>
    <w:rsid w:val="066E7569"/>
    <w:rsid w:val="0683237A"/>
    <w:rsid w:val="06846A3E"/>
    <w:rsid w:val="06BE229B"/>
    <w:rsid w:val="070B19D3"/>
    <w:rsid w:val="072E240C"/>
    <w:rsid w:val="07504EC1"/>
    <w:rsid w:val="075524D7"/>
    <w:rsid w:val="07762B7A"/>
    <w:rsid w:val="079E17EC"/>
    <w:rsid w:val="07B45450"/>
    <w:rsid w:val="07DB35C4"/>
    <w:rsid w:val="07EA0E72"/>
    <w:rsid w:val="07F70BC5"/>
    <w:rsid w:val="08163A15"/>
    <w:rsid w:val="08393BA7"/>
    <w:rsid w:val="084120E9"/>
    <w:rsid w:val="084A7B62"/>
    <w:rsid w:val="088E3EF3"/>
    <w:rsid w:val="0899513F"/>
    <w:rsid w:val="08BD0334"/>
    <w:rsid w:val="095C18FB"/>
    <w:rsid w:val="095F523F"/>
    <w:rsid w:val="09772635"/>
    <w:rsid w:val="09811362"/>
    <w:rsid w:val="09C50726"/>
    <w:rsid w:val="09E645D2"/>
    <w:rsid w:val="0A2E4D92"/>
    <w:rsid w:val="0A581EB9"/>
    <w:rsid w:val="0A6D18E6"/>
    <w:rsid w:val="0A750397"/>
    <w:rsid w:val="0AA5047F"/>
    <w:rsid w:val="0AE47DFA"/>
    <w:rsid w:val="0AF12517"/>
    <w:rsid w:val="0B081ED2"/>
    <w:rsid w:val="0B0A3B2F"/>
    <w:rsid w:val="0B1526A9"/>
    <w:rsid w:val="0B4C1D3A"/>
    <w:rsid w:val="0B8E7D66"/>
    <w:rsid w:val="0B980BE5"/>
    <w:rsid w:val="0B9D536B"/>
    <w:rsid w:val="0BBC10DA"/>
    <w:rsid w:val="0BF24DFA"/>
    <w:rsid w:val="0BF71DAF"/>
    <w:rsid w:val="0C532315"/>
    <w:rsid w:val="0C6B4200"/>
    <w:rsid w:val="0CDD2D53"/>
    <w:rsid w:val="0D0448B5"/>
    <w:rsid w:val="0D2564A8"/>
    <w:rsid w:val="0D3037CB"/>
    <w:rsid w:val="0D330BC5"/>
    <w:rsid w:val="0D423F7C"/>
    <w:rsid w:val="0D660F9A"/>
    <w:rsid w:val="0D876004"/>
    <w:rsid w:val="0DC7755F"/>
    <w:rsid w:val="0DD2001B"/>
    <w:rsid w:val="0DF3354F"/>
    <w:rsid w:val="0DF77E44"/>
    <w:rsid w:val="0DFE7425"/>
    <w:rsid w:val="0E010CC3"/>
    <w:rsid w:val="0E3874B3"/>
    <w:rsid w:val="0E3F3599"/>
    <w:rsid w:val="0EB2020F"/>
    <w:rsid w:val="0ECB7686"/>
    <w:rsid w:val="0F05680B"/>
    <w:rsid w:val="0F1B7B63"/>
    <w:rsid w:val="0F4F5A5E"/>
    <w:rsid w:val="0F696927"/>
    <w:rsid w:val="0F6C0BC6"/>
    <w:rsid w:val="0F8B2F3A"/>
    <w:rsid w:val="0F8F3D34"/>
    <w:rsid w:val="0FAB3115"/>
    <w:rsid w:val="0FDD011A"/>
    <w:rsid w:val="0FE16FFE"/>
    <w:rsid w:val="101E193D"/>
    <w:rsid w:val="103138EC"/>
    <w:rsid w:val="10695518"/>
    <w:rsid w:val="109202F8"/>
    <w:rsid w:val="10B169D0"/>
    <w:rsid w:val="10C30C24"/>
    <w:rsid w:val="10C85AC8"/>
    <w:rsid w:val="113702A6"/>
    <w:rsid w:val="11457119"/>
    <w:rsid w:val="116003F7"/>
    <w:rsid w:val="118E0AC0"/>
    <w:rsid w:val="119D5A97"/>
    <w:rsid w:val="11A16A45"/>
    <w:rsid w:val="11B57E9D"/>
    <w:rsid w:val="11E44B84"/>
    <w:rsid w:val="12025392"/>
    <w:rsid w:val="122202EE"/>
    <w:rsid w:val="12232BB3"/>
    <w:rsid w:val="123A0C48"/>
    <w:rsid w:val="128430AD"/>
    <w:rsid w:val="1286241A"/>
    <w:rsid w:val="128D3C82"/>
    <w:rsid w:val="128F1AF0"/>
    <w:rsid w:val="12F42BA4"/>
    <w:rsid w:val="12F67DFE"/>
    <w:rsid w:val="13137DA8"/>
    <w:rsid w:val="131A6E99"/>
    <w:rsid w:val="132908FE"/>
    <w:rsid w:val="132B3C97"/>
    <w:rsid w:val="138305AA"/>
    <w:rsid w:val="138A3509"/>
    <w:rsid w:val="13D03611"/>
    <w:rsid w:val="141A1A5A"/>
    <w:rsid w:val="143F42F3"/>
    <w:rsid w:val="14553B17"/>
    <w:rsid w:val="145C124D"/>
    <w:rsid w:val="145F6743"/>
    <w:rsid w:val="14691C12"/>
    <w:rsid w:val="147E306D"/>
    <w:rsid w:val="14885E27"/>
    <w:rsid w:val="149C7998"/>
    <w:rsid w:val="14FC5D1B"/>
    <w:rsid w:val="14FF7CC0"/>
    <w:rsid w:val="15191CC9"/>
    <w:rsid w:val="15316332"/>
    <w:rsid w:val="15B50D11"/>
    <w:rsid w:val="15DD521A"/>
    <w:rsid w:val="1626576B"/>
    <w:rsid w:val="16322CDC"/>
    <w:rsid w:val="163C4469"/>
    <w:rsid w:val="16594110"/>
    <w:rsid w:val="165B6D17"/>
    <w:rsid w:val="165C1514"/>
    <w:rsid w:val="166866DC"/>
    <w:rsid w:val="167B4F43"/>
    <w:rsid w:val="16816608"/>
    <w:rsid w:val="16873D30"/>
    <w:rsid w:val="16A34033"/>
    <w:rsid w:val="16A62408"/>
    <w:rsid w:val="170D2487"/>
    <w:rsid w:val="17411714"/>
    <w:rsid w:val="174D7F84"/>
    <w:rsid w:val="17562080"/>
    <w:rsid w:val="176E5FD7"/>
    <w:rsid w:val="177F789E"/>
    <w:rsid w:val="17A76437"/>
    <w:rsid w:val="17AF41CE"/>
    <w:rsid w:val="17D66A16"/>
    <w:rsid w:val="17FD3815"/>
    <w:rsid w:val="181D2B9D"/>
    <w:rsid w:val="183B75B9"/>
    <w:rsid w:val="183F2A57"/>
    <w:rsid w:val="18436A94"/>
    <w:rsid w:val="185C59FC"/>
    <w:rsid w:val="18722D39"/>
    <w:rsid w:val="18736C61"/>
    <w:rsid w:val="18763F0B"/>
    <w:rsid w:val="187D53EA"/>
    <w:rsid w:val="18846779"/>
    <w:rsid w:val="18917EF1"/>
    <w:rsid w:val="19026CFD"/>
    <w:rsid w:val="1913572A"/>
    <w:rsid w:val="19292DF8"/>
    <w:rsid w:val="192D5062"/>
    <w:rsid w:val="19573E8D"/>
    <w:rsid w:val="198729C4"/>
    <w:rsid w:val="19874772"/>
    <w:rsid w:val="19A46596"/>
    <w:rsid w:val="19FD4A34"/>
    <w:rsid w:val="1A0345C6"/>
    <w:rsid w:val="1A6B5E42"/>
    <w:rsid w:val="1A8844E0"/>
    <w:rsid w:val="1A954C6D"/>
    <w:rsid w:val="1A9A0090"/>
    <w:rsid w:val="1ABA0B77"/>
    <w:rsid w:val="1AD274A0"/>
    <w:rsid w:val="1AE439E9"/>
    <w:rsid w:val="1B036A73"/>
    <w:rsid w:val="1B1262BE"/>
    <w:rsid w:val="1B8371BB"/>
    <w:rsid w:val="1B854CE1"/>
    <w:rsid w:val="1B9F745E"/>
    <w:rsid w:val="1BB35631"/>
    <w:rsid w:val="1C0426A6"/>
    <w:rsid w:val="1C0429B7"/>
    <w:rsid w:val="1C260E40"/>
    <w:rsid w:val="1C4A7CD9"/>
    <w:rsid w:val="1C751262"/>
    <w:rsid w:val="1C8C11FF"/>
    <w:rsid w:val="1C9769C0"/>
    <w:rsid w:val="1CB942F3"/>
    <w:rsid w:val="1CC814E6"/>
    <w:rsid w:val="1CCC4C4B"/>
    <w:rsid w:val="1CEB6DC6"/>
    <w:rsid w:val="1D136586"/>
    <w:rsid w:val="1D3249F5"/>
    <w:rsid w:val="1D515C3B"/>
    <w:rsid w:val="1D646B79"/>
    <w:rsid w:val="1D70551D"/>
    <w:rsid w:val="1D7B2840"/>
    <w:rsid w:val="1D9C27B6"/>
    <w:rsid w:val="1DA376A1"/>
    <w:rsid w:val="1DDF35D0"/>
    <w:rsid w:val="1DE55F0B"/>
    <w:rsid w:val="1E4F15D7"/>
    <w:rsid w:val="1E84043D"/>
    <w:rsid w:val="1E9428C1"/>
    <w:rsid w:val="1EA23DFC"/>
    <w:rsid w:val="1ED4425A"/>
    <w:rsid w:val="1EEA12FF"/>
    <w:rsid w:val="1F066139"/>
    <w:rsid w:val="1F10520A"/>
    <w:rsid w:val="1F3031B6"/>
    <w:rsid w:val="1F316F2E"/>
    <w:rsid w:val="1F334A54"/>
    <w:rsid w:val="1F344321"/>
    <w:rsid w:val="1F372797"/>
    <w:rsid w:val="1F515670"/>
    <w:rsid w:val="1F58270D"/>
    <w:rsid w:val="1F6F0182"/>
    <w:rsid w:val="1FA140B4"/>
    <w:rsid w:val="1FA92F69"/>
    <w:rsid w:val="1FDC333E"/>
    <w:rsid w:val="1FEC62DE"/>
    <w:rsid w:val="20140295"/>
    <w:rsid w:val="20493DDC"/>
    <w:rsid w:val="208A2318"/>
    <w:rsid w:val="20BB11A5"/>
    <w:rsid w:val="20E673C0"/>
    <w:rsid w:val="210074CF"/>
    <w:rsid w:val="21560D42"/>
    <w:rsid w:val="21563E71"/>
    <w:rsid w:val="215703F0"/>
    <w:rsid w:val="215B0293"/>
    <w:rsid w:val="2188136D"/>
    <w:rsid w:val="21C11B03"/>
    <w:rsid w:val="21D25330"/>
    <w:rsid w:val="21DD6EFA"/>
    <w:rsid w:val="21FD2943"/>
    <w:rsid w:val="22000535"/>
    <w:rsid w:val="222039B6"/>
    <w:rsid w:val="22401962"/>
    <w:rsid w:val="224156DA"/>
    <w:rsid w:val="22531A55"/>
    <w:rsid w:val="227B299A"/>
    <w:rsid w:val="228B0583"/>
    <w:rsid w:val="22940FD6"/>
    <w:rsid w:val="22A2131F"/>
    <w:rsid w:val="22D30A28"/>
    <w:rsid w:val="22D36C7A"/>
    <w:rsid w:val="22DD5403"/>
    <w:rsid w:val="23246748"/>
    <w:rsid w:val="232748D0"/>
    <w:rsid w:val="23502079"/>
    <w:rsid w:val="2371279A"/>
    <w:rsid w:val="23722FA6"/>
    <w:rsid w:val="23914021"/>
    <w:rsid w:val="23983A20"/>
    <w:rsid w:val="24552B10"/>
    <w:rsid w:val="245A2A83"/>
    <w:rsid w:val="247104F9"/>
    <w:rsid w:val="248024EA"/>
    <w:rsid w:val="24812446"/>
    <w:rsid w:val="24E46305"/>
    <w:rsid w:val="250B6E56"/>
    <w:rsid w:val="250B7CC2"/>
    <w:rsid w:val="25231181"/>
    <w:rsid w:val="25284930"/>
    <w:rsid w:val="252C0A76"/>
    <w:rsid w:val="2532643F"/>
    <w:rsid w:val="253D37BA"/>
    <w:rsid w:val="253F23A5"/>
    <w:rsid w:val="254926BF"/>
    <w:rsid w:val="254F5B15"/>
    <w:rsid w:val="256E78ED"/>
    <w:rsid w:val="257D4C7B"/>
    <w:rsid w:val="25A71CF8"/>
    <w:rsid w:val="25C24D84"/>
    <w:rsid w:val="25D63C5E"/>
    <w:rsid w:val="26123616"/>
    <w:rsid w:val="263712CE"/>
    <w:rsid w:val="26396451"/>
    <w:rsid w:val="264D2D30"/>
    <w:rsid w:val="2675525E"/>
    <w:rsid w:val="26C34AE1"/>
    <w:rsid w:val="26C37006"/>
    <w:rsid w:val="26DE799C"/>
    <w:rsid w:val="27292FBE"/>
    <w:rsid w:val="2729330D"/>
    <w:rsid w:val="276F3738"/>
    <w:rsid w:val="276F4A98"/>
    <w:rsid w:val="278168DD"/>
    <w:rsid w:val="278C73F8"/>
    <w:rsid w:val="27C941A8"/>
    <w:rsid w:val="27E809C9"/>
    <w:rsid w:val="280478D6"/>
    <w:rsid w:val="28394622"/>
    <w:rsid w:val="28A87747"/>
    <w:rsid w:val="28EB469D"/>
    <w:rsid w:val="28F7255E"/>
    <w:rsid w:val="29B6075C"/>
    <w:rsid w:val="2A0C2A72"/>
    <w:rsid w:val="2A234FC8"/>
    <w:rsid w:val="2A612DBE"/>
    <w:rsid w:val="2A675E4C"/>
    <w:rsid w:val="2A6D6840"/>
    <w:rsid w:val="2A7E2366"/>
    <w:rsid w:val="2A7F41A0"/>
    <w:rsid w:val="2A8940C2"/>
    <w:rsid w:val="2A8B1BE9"/>
    <w:rsid w:val="2A9C3DF6"/>
    <w:rsid w:val="2ABE5B1A"/>
    <w:rsid w:val="2ABF66B1"/>
    <w:rsid w:val="2AC05D36"/>
    <w:rsid w:val="2ACF6AFE"/>
    <w:rsid w:val="2AED5FA1"/>
    <w:rsid w:val="2AF91248"/>
    <w:rsid w:val="2B404781"/>
    <w:rsid w:val="2B6D12EE"/>
    <w:rsid w:val="2BB26E67"/>
    <w:rsid w:val="2BD94A0A"/>
    <w:rsid w:val="2BF46388"/>
    <w:rsid w:val="2C0B5347"/>
    <w:rsid w:val="2CB74F17"/>
    <w:rsid w:val="2CD535EF"/>
    <w:rsid w:val="2D3C366E"/>
    <w:rsid w:val="2D712A16"/>
    <w:rsid w:val="2D9214E0"/>
    <w:rsid w:val="2DCD20F0"/>
    <w:rsid w:val="2DD302A2"/>
    <w:rsid w:val="2DDB69EC"/>
    <w:rsid w:val="2DFA769A"/>
    <w:rsid w:val="2DFF0573"/>
    <w:rsid w:val="2E0979A5"/>
    <w:rsid w:val="2E0C4DEE"/>
    <w:rsid w:val="2E19750B"/>
    <w:rsid w:val="2E1B0BA9"/>
    <w:rsid w:val="2E402CEA"/>
    <w:rsid w:val="2E7F7CB6"/>
    <w:rsid w:val="2EB55C8D"/>
    <w:rsid w:val="2ECE02F6"/>
    <w:rsid w:val="2ED45834"/>
    <w:rsid w:val="2EFC1307"/>
    <w:rsid w:val="2EFE507F"/>
    <w:rsid w:val="2F005791"/>
    <w:rsid w:val="2F503401"/>
    <w:rsid w:val="2F986AC1"/>
    <w:rsid w:val="2FBA1CF6"/>
    <w:rsid w:val="2FCE2CA3"/>
    <w:rsid w:val="2FD436D1"/>
    <w:rsid w:val="3029612C"/>
    <w:rsid w:val="3082185F"/>
    <w:rsid w:val="30823A8E"/>
    <w:rsid w:val="309C68FD"/>
    <w:rsid w:val="309F1F4A"/>
    <w:rsid w:val="30A9135A"/>
    <w:rsid w:val="30B31E99"/>
    <w:rsid w:val="30D50061"/>
    <w:rsid w:val="30EB3F81"/>
    <w:rsid w:val="30EC1E50"/>
    <w:rsid w:val="31333AAC"/>
    <w:rsid w:val="313B2A1C"/>
    <w:rsid w:val="317E7881"/>
    <w:rsid w:val="31AC1B21"/>
    <w:rsid w:val="31CB53FE"/>
    <w:rsid w:val="31F97D80"/>
    <w:rsid w:val="32097FFD"/>
    <w:rsid w:val="32487229"/>
    <w:rsid w:val="32514850"/>
    <w:rsid w:val="326D363C"/>
    <w:rsid w:val="329A50BF"/>
    <w:rsid w:val="329D591B"/>
    <w:rsid w:val="32A60C6C"/>
    <w:rsid w:val="32AE4993"/>
    <w:rsid w:val="32BA08C4"/>
    <w:rsid w:val="32F10A57"/>
    <w:rsid w:val="330D4D8C"/>
    <w:rsid w:val="33356201"/>
    <w:rsid w:val="3360595B"/>
    <w:rsid w:val="337570D1"/>
    <w:rsid w:val="33784CD4"/>
    <w:rsid w:val="339B6787"/>
    <w:rsid w:val="33D261C8"/>
    <w:rsid w:val="33D30395"/>
    <w:rsid w:val="33DC1707"/>
    <w:rsid w:val="33F22CD8"/>
    <w:rsid w:val="33F85969"/>
    <w:rsid w:val="340903F4"/>
    <w:rsid w:val="341964B7"/>
    <w:rsid w:val="343432F1"/>
    <w:rsid w:val="34790D04"/>
    <w:rsid w:val="348F6779"/>
    <w:rsid w:val="34953122"/>
    <w:rsid w:val="34BA1A48"/>
    <w:rsid w:val="34C503CE"/>
    <w:rsid w:val="34D86783"/>
    <w:rsid w:val="34D92C21"/>
    <w:rsid w:val="34E268A9"/>
    <w:rsid w:val="34E83DB6"/>
    <w:rsid w:val="34FA0097"/>
    <w:rsid w:val="35161DCC"/>
    <w:rsid w:val="351C000D"/>
    <w:rsid w:val="3524017A"/>
    <w:rsid w:val="35A95619"/>
    <w:rsid w:val="35BF4E3C"/>
    <w:rsid w:val="35C83CF1"/>
    <w:rsid w:val="35CB558F"/>
    <w:rsid w:val="35DE3514"/>
    <w:rsid w:val="35FF6722"/>
    <w:rsid w:val="360D6A04"/>
    <w:rsid w:val="36140CE4"/>
    <w:rsid w:val="36801D78"/>
    <w:rsid w:val="368220F2"/>
    <w:rsid w:val="36D6644B"/>
    <w:rsid w:val="36DD1A1E"/>
    <w:rsid w:val="36EA336C"/>
    <w:rsid w:val="36FD5C1C"/>
    <w:rsid w:val="371A0CB2"/>
    <w:rsid w:val="37504FA2"/>
    <w:rsid w:val="37627794"/>
    <w:rsid w:val="376C68FE"/>
    <w:rsid w:val="378B147A"/>
    <w:rsid w:val="37C64260"/>
    <w:rsid w:val="37CD3840"/>
    <w:rsid w:val="37FC5ED4"/>
    <w:rsid w:val="38262F51"/>
    <w:rsid w:val="38376F0C"/>
    <w:rsid w:val="38562DAD"/>
    <w:rsid w:val="38594AA4"/>
    <w:rsid w:val="38601BF3"/>
    <w:rsid w:val="38666E06"/>
    <w:rsid w:val="387B14EE"/>
    <w:rsid w:val="38AB392D"/>
    <w:rsid w:val="38B176CC"/>
    <w:rsid w:val="38D26C34"/>
    <w:rsid w:val="38D8249D"/>
    <w:rsid w:val="38E56968"/>
    <w:rsid w:val="38FF3ECD"/>
    <w:rsid w:val="391F3F20"/>
    <w:rsid w:val="39243934"/>
    <w:rsid w:val="39382F3B"/>
    <w:rsid w:val="39463E1F"/>
    <w:rsid w:val="395F2BBE"/>
    <w:rsid w:val="39962F46"/>
    <w:rsid w:val="39C2365B"/>
    <w:rsid w:val="39DE6888"/>
    <w:rsid w:val="39E76710"/>
    <w:rsid w:val="3A013C75"/>
    <w:rsid w:val="3A500B61"/>
    <w:rsid w:val="3A5B15D7"/>
    <w:rsid w:val="3A751F6D"/>
    <w:rsid w:val="3A8F53BB"/>
    <w:rsid w:val="3A9B19D4"/>
    <w:rsid w:val="3AA57B35"/>
    <w:rsid w:val="3AC67EFB"/>
    <w:rsid w:val="3AD60E4C"/>
    <w:rsid w:val="3AD8395A"/>
    <w:rsid w:val="3ADA3F47"/>
    <w:rsid w:val="3B223EA3"/>
    <w:rsid w:val="3B457B92"/>
    <w:rsid w:val="3B7B4579"/>
    <w:rsid w:val="3BB16FD5"/>
    <w:rsid w:val="3BC03BB1"/>
    <w:rsid w:val="3BC54029"/>
    <w:rsid w:val="3BC71AFB"/>
    <w:rsid w:val="3BD74C8E"/>
    <w:rsid w:val="3BF910A8"/>
    <w:rsid w:val="3C244BD3"/>
    <w:rsid w:val="3C475F70"/>
    <w:rsid w:val="3C5C4EFE"/>
    <w:rsid w:val="3C712B85"/>
    <w:rsid w:val="3C85293C"/>
    <w:rsid w:val="3C915673"/>
    <w:rsid w:val="3CAF4226"/>
    <w:rsid w:val="3CC03A4A"/>
    <w:rsid w:val="3CCD42E3"/>
    <w:rsid w:val="3D257C7B"/>
    <w:rsid w:val="3D4520CB"/>
    <w:rsid w:val="3D4F2F4A"/>
    <w:rsid w:val="3D8C3D41"/>
    <w:rsid w:val="3D9077EA"/>
    <w:rsid w:val="3D956BAE"/>
    <w:rsid w:val="3D9B1CEB"/>
    <w:rsid w:val="3DD31485"/>
    <w:rsid w:val="3DD35929"/>
    <w:rsid w:val="3DE47B36"/>
    <w:rsid w:val="3DF36E43"/>
    <w:rsid w:val="3DF81EA8"/>
    <w:rsid w:val="3E582386"/>
    <w:rsid w:val="3E6B1AD5"/>
    <w:rsid w:val="3E886713"/>
    <w:rsid w:val="3E8E0B68"/>
    <w:rsid w:val="3E8E2C04"/>
    <w:rsid w:val="3E9F7139"/>
    <w:rsid w:val="3EC46344"/>
    <w:rsid w:val="3EDF3E59"/>
    <w:rsid w:val="3EE129DE"/>
    <w:rsid w:val="3EEC5F39"/>
    <w:rsid w:val="3EF73899"/>
    <w:rsid w:val="3EFB6EE5"/>
    <w:rsid w:val="3F081602"/>
    <w:rsid w:val="3F0F32D3"/>
    <w:rsid w:val="3F147FA7"/>
    <w:rsid w:val="3F373C95"/>
    <w:rsid w:val="3F510058"/>
    <w:rsid w:val="3F5B541F"/>
    <w:rsid w:val="3FC16AC3"/>
    <w:rsid w:val="3FDF09C9"/>
    <w:rsid w:val="400718BA"/>
    <w:rsid w:val="40503261"/>
    <w:rsid w:val="40710ACD"/>
    <w:rsid w:val="40767292"/>
    <w:rsid w:val="40794D82"/>
    <w:rsid w:val="40B2463E"/>
    <w:rsid w:val="40B46367"/>
    <w:rsid w:val="40DA6FCE"/>
    <w:rsid w:val="410D67DA"/>
    <w:rsid w:val="41173D7E"/>
    <w:rsid w:val="4177481D"/>
    <w:rsid w:val="41AD3581"/>
    <w:rsid w:val="41C757A4"/>
    <w:rsid w:val="41E6252D"/>
    <w:rsid w:val="41ED4C56"/>
    <w:rsid w:val="422F6EA6"/>
    <w:rsid w:val="425D7EB7"/>
    <w:rsid w:val="426E79CE"/>
    <w:rsid w:val="42967F30"/>
    <w:rsid w:val="42AE426E"/>
    <w:rsid w:val="42C35264"/>
    <w:rsid w:val="42D261AF"/>
    <w:rsid w:val="42DE0C67"/>
    <w:rsid w:val="430F7403"/>
    <w:rsid w:val="432F3601"/>
    <w:rsid w:val="4373507E"/>
    <w:rsid w:val="437F4CCD"/>
    <w:rsid w:val="43843DFE"/>
    <w:rsid w:val="442C18EF"/>
    <w:rsid w:val="4440539A"/>
    <w:rsid w:val="44CE29A6"/>
    <w:rsid w:val="44D1720D"/>
    <w:rsid w:val="44D73F50"/>
    <w:rsid w:val="450F2B6A"/>
    <w:rsid w:val="454113CA"/>
    <w:rsid w:val="45423C48"/>
    <w:rsid w:val="45576E3F"/>
    <w:rsid w:val="456A4DC4"/>
    <w:rsid w:val="45D65FB6"/>
    <w:rsid w:val="46072613"/>
    <w:rsid w:val="460743C1"/>
    <w:rsid w:val="46116809"/>
    <w:rsid w:val="462D194E"/>
    <w:rsid w:val="463A0D99"/>
    <w:rsid w:val="466065C3"/>
    <w:rsid w:val="46625A9C"/>
    <w:rsid w:val="466A6D7A"/>
    <w:rsid w:val="468A6DA0"/>
    <w:rsid w:val="46942C61"/>
    <w:rsid w:val="46A57613"/>
    <w:rsid w:val="46C71DA3"/>
    <w:rsid w:val="46CA27EF"/>
    <w:rsid w:val="472B2331"/>
    <w:rsid w:val="47737835"/>
    <w:rsid w:val="47780E85"/>
    <w:rsid w:val="477A5EA1"/>
    <w:rsid w:val="477C7560"/>
    <w:rsid w:val="47887784"/>
    <w:rsid w:val="47923C78"/>
    <w:rsid w:val="47AB67DE"/>
    <w:rsid w:val="47F941DE"/>
    <w:rsid w:val="47FE1149"/>
    <w:rsid w:val="4812704D"/>
    <w:rsid w:val="48271072"/>
    <w:rsid w:val="48592ECE"/>
    <w:rsid w:val="489B5295"/>
    <w:rsid w:val="48B14AB8"/>
    <w:rsid w:val="48B530DB"/>
    <w:rsid w:val="48CF4FCB"/>
    <w:rsid w:val="48D27169"/>
    <w:rsid w:val="48E629B4"/>
    <w:rsid w:val="48EA3B26"/>
    <w:rsid w:val="48EC5AF0"/>
    <w:rsid w:val="49044BE8"/>
    <w:rsid w:val="491A1A16"/>
    <w:rsid w:val="492564E8"/>
    <w:rsid w:val="4947045C"/>
    <w:rsid w:val="498B6031"/>
    <w:rsid w:val="49A6562C"/>
    <w:rsid w:val="49B760FE"/>
    <w:rsid w:val="49CA7BE0"/>
    <w:rsid w:val="49FE3D2D"/>
    <w:rsid w:val="4A1A7A5A"/>
    <w:rsid w:val="4A290D23"/>
    <w:rsid w:val="4A4F27DB"/>
    <w:rsid w:val="4A825814"/>
    <w:rsid w:val="4AB5014C"/>
    <w:rsid w:val="4AD7664F"/>
    <w:rsid w:val="4ADF0B6A"/>
    <w:rsid w:val="4AED164E"/>
    <w:rsid w:val="4AF3575B"/>
    <w:rsid w:val="4B000E81"/>
    <w:rsid w:val="4B5C5665"/>
    <w:rsid w:val="4B7E5126"/>
    <w:rsid w:val="4B965A38"/>
    <w:rsid w:val="4BA93DB7"/>
    <w:rsid w:val="4BB9165F"/>
    <w:rsid w:val="4BD765E4"/>
    <w:rsid w:val="4C0D64AA"/>
    <w:rsid w:val="4C115F9A"/>
    <w:rsid w:val="4C2F01CE"/>
    <w:rsid w:val="4C34693E"/>
    <w:rsid w:val="4C5440D8"/>
    <w:rsid w:val="4C5B0FC3"/>
    <w:rsid w:val="4C5E0AB3"/>
    <w:rsid w:val="4C793B3F"/>
    <w:rsid w:val="4CC76658"/>
    <w:rsid w:val="4CDA20FA"/>
    <w:rsid w:val="4CF66DF3"/>
    <w:rsid w:val="4CFD207A"/>
    <w:rsid w:val="4D292E6F"/>
    <w:rsid w:val="4D4C13F4"/>
    <w:rsid w:val="4D6C6DD6"/>
    <w:rsid w:val="4D77007F"/>
    <w:rsid w:val="4D8A380D"/>
    <w:rsid w:val="4DBF5A18"/>
    <w:rsid w:val="4DC112FA"/>
    <w:rsid w:val="4DCC61F1"/>
    <w:rsid w:val="4DE865C1"/>
    <w:rsid w:val="4E0C72F2"/>
    <w:rsid w:val="4E1517BE"/>
    <w:rsid w:val="4E3D0D86"/>
    <w:rsid w:val="4E501F60"/>
    <w:rsid w:val="4E54216E"/>
    <w:rsid w:val="4E5E123E"/>
    <w:rsid w:val="4E6600F8"/>
    <w:rsid w:val="4E710F72"/>
    <w:rsid w:val="4E8D1A3B"/>
    <w:rsid w:val="4EB77DA0"/>
    <w:rsid w:val="4EF6663B"/>
    <w:rsid w:val="4F351F9F"/>
    <w:rsid w:val="4F50502B"/>
    <w:rsid w:val="4F530D5B"/>
    <w:rsid w:val="4F895E47"/>
    <w:rsid w:val="4F92495E"/>
    <w:rsid w:val="4F9A62A6"/>
    <w:rsid w:val="4FC82799"/>
    <w:rsid w:val="4FE25CD5"/>
    <w:rsid w:val="4FE87012"/>
    <w:rsid w:val="4FF82EA6"/>
    <w:rsid w:val="50131BB5"/>
    <w:rsid w:val="502A762A"/>
    <w:rsid w:val="5043693E"/>
    <w:rsid w:val="50446212"/>
    <w:rsid w:val="504A214A"/>
    <w:rsid w:val="50572182"/>
    <w:rsid w:val="5086682B"/>
    <w:rsid w:val="50903205"/>
    <w:rsid w:val="510D11A2"/>
    <w:rsid w:val="511068BC"/>
    <w:rsid w:val="51200F34"/>
    <w:rsid w:val="512E314A"/>
    <w:rsid w:val="5144471C"/>
    <w:rsid w:val="514601C0"/>
    <w:rsid w:val="515E5940"/>
    <w:rsid w:val="51F17F8E"/>
    <w:rsid w:val="52075749"/>
    <w:rsid w:val="521876B7"/>
    <w:rsid w:val="521C2FA3"/>
    <w:rsid w:val="52293911"/>
    <w:rsid w:val="522B7AAC"/>
    <w:rsid w:val="528D299D"/>
    <w:rsid w:val="52A80CDA"/>
    <w:rsid w:val="52AD62F0"/>
    <w:rsid w:val="52D41ACF"/>
    <w:rsid w:val="52D43055"/>
    <w:rsid w:val="53310501"/>
    <w:rsid w:val="534558E3"/>
    <w:rsid w:val="534722A1"/>
    <w:rsid w:val="534C3D5B"/>
    <w:rsid w:val="534C55F6"/>
    <w:rsid w:val="535B5D4C"/>
    <w:rsid w:val="536270DB"/>
    <w:rsid w:val="539179C0"/>
    <w:rsid w:val="53BA0CC6"/>
    <w:rsid w:val="53CD6261"/>
    <w:rsid w:val="541D65A2"/>
    <w:rsid w:val="543353B6"/>
    <w:rsid w:val="54346889"/>
    <w:rsid w:val="543547EF"/>
    <w:rsid w:val="543C5B7E"/>
    <w:rsid w:val="546B1FBF"/>
    <w:rsid w:val="548B2661"/>
    <w:rsid w:val="54917F20"/>
    <w:rsid w:val="54DA3199"/>
    <w:rsid w:val="54F26DDE"/>
    <w:rsid w:val="553E2582"/>
    <w:rsid w:val="55473C7A"/>
    <w:rsid w:val="555927A3"/>
    <w:rsid w:val="55853555"/>
    <w:rsid w:val="55B31221"/>
    <w:rsid w:val="55E71B19"/>
    <w:rsid w:val="55F61D5C"/>
    <w:rsid w:val="560D7D53"/>
    <w:rsid w:val="562C3D29"/>
    <w:rsid w:val="56486A5C"/>
    <w:rsid w:val="56A86E18"/>
    <w:rsid w:val="56A95021"/>
    <w:rsid w:val="56B0015D"/>
    <w:rsid w:val="56CF2CD9"/>
    <w:rsid w:val="57076A7F"/>
    <w:rsid w:val="57081D47"/>
    <w:rsid w:val="572442B2"/>
    <w:rsid w:val="573B211D"/>
    <w:rsid w:val="57570C2B"/>
    <w:rsid w:val="57732F37"/>
    <w:rsid w:val="578B08CD"/>
    <w:rsid w:val="578F0202"/>
    <w:rsid w:val="57AA2DFF"/>
    <w:rsid w:val="57D4474E"/>
    <w:rsid w:val="57E96693"/>
    <w:rsid w:val="57EF2F07"/>
    <w:rsid w:val="5818245E"/>
    <w:rsid w:val="58333158"/>
    <w:rsid w:val="583F508E"/>
    <w:rsid w:val="583F5C3D"/>
    <w:rsid w:val="584E7C2E"/>
    <w:rsid w:val="588B2C30"/>
    <w:rsid w:val="58AD704A"/>
    <w:rsid w:val="58B3511A"/>
    <w:rsid w:val="58BC0C88"/>
    <w:rsid w:val="58C4140A"/>
    <w:rsid w:val="593C217C"/>
    <w:rsid w:val="595F67B0"/>
    <w:rsid w:val="59640086"/>
    <w:rsid w:val="599B3347"/>
    <w:rsid w:val="59A96766"/>
    <w:rsid w:val="59B47F65"/>
    <w:rsid w:val="59C06909"/>
    <w:rsid w:val="59C12681"/>
    <w:rsid w:val="59D37FF2"/>
    <w:rsid w:val="59DB1995"/>
    <w:rsid w:val="59F44805"/>
    <w:rsid w:val="59FE5684"/>
    <w:rsid w:val="5A1153B7"/>
    <w:rsid w:val="5A437FB8"/>
    <w:rsid w:val="5A722A86"/>
    <w:rsid w:val="5AB07361"/>
    <w:rsid w:val="5AD207FD"/>
    <w:rsid w:val="5AFC1BC3"/>
    <w:rsid w:val="5B3E042E"/>
    <w:rsid w:val="5B4A6DD2"/>
    <w:rsid w:val="5B547A26"/>
    <w:rsid w:val="5B7344A1"/>
    <w:rsid w:val="5BA34735"/>
    <w:rsid w:val="5BA81D4B"/>
    <w:rsid w:val="5BCF7902"/>
    <w:rsid w:val="5BDC19F5"/>
    <w:rsid w:val="5BFB1E7B"/>
    <w:rsid w:val="5C447CC6"/>
    <w:rsid w:val="5C662ADD"/>
    <w:rsid w:val="5C8F6A67"/>
    <w:rsid w:val="5C9A78E6"/>
    <w:rsid w:val="5CA92C03"/>
    <w:rsid w:val="5CD252D1"/>
    <w:rsid w:val="5CE3722B"/>
    <w:rsid w:val="5D04216F"/>
    <w:rsid w:val="5D2673CB"/>
    <w:rsid w:val="5D494E68"/>
    <w:rsid w:val="5D614775"/>
    <w:rsid w:val="5D681792"/>
    <w:rsid w:val="5D9E6F62"/>
    <w:rsid w:val="5DB05323"/>
    <w:rsid w:val="5DD72473"/>
    <w:rsid w:val="5E0C4A22"/>
    <w:rsid w:val="5E14474F"/>
    <w:rsid w:val="5E2356B9"/>
    <w:rsid w:val="5E2733FB"/>
    <w:rsid w:val="5E2C305D"/>
    <w:rsid w:val="5E317DD6"/>
    <w:rsid w:val="5E393F58"/>
    <w:rsid w:val="5E4E4E2C"/>
    <w:rsid w:val="5E59238C"/>
    <w:rsid w:val="5E5F0DE7"/>
    <w:rsid w:val="5E65238C"/>
    <w:rsid w:val="5E675135"/>
    <w:rsid w:val="5E6862DE"/>
    <w:rsid w:val="5E744166"/>
    <w:rsid w:val="5EBB3B43"/>
    <w:rsid w:val="5ECB0255"/>
    <w:rsid w:val="5ED54B8F"/>
    <w:rsid w:val="5F3118E6"/>
    <w:rsid w:val="5F463B4F"/>
    <w:rsid w:val="5F530CA3"/>
    <w:rsid w:val="5F622211"/>
    <w:rsid w:val="5F6516EF"/>
    <w:rsid w:val="5FA647F3"/>
    <w:rsid w:val="5FA840C8"/>
    <w:rsid w:val="5FC8476A"/>
    <w:rsid w:val="5FED40A0"/>
    <w:rsid w:val="60340051"/>
    <w:rsid w:val="60357220"/>
    <w:rsid w:val="60583D40"/>
    <w:rsid w:val="60605AA3"/>
    <w:rsid w:val="606C77EB"/>
    <w:rsid w:val="60802A6A"/>
    <w:rsid w:val="608269B1"/>
    <w:rsid w:val="60BD3836"/>
    <w:rsid w:val="60BF5B6D"/>
    <w:rsid w:val="60CE7B5E"/>
    <w:rsid w:val="60D12493"/>
    <w:rsid w:val="60D3214C"/>
    <w:rsid w:val="61002057"/>
    <w:rsid w:val="613876CD"/>
    <w:rsid w:val="6167329B"/>
    <w:rsid w:val="61806E13"/>
    <w:rsid w:val="61C171DF"/>
    <w:rsid w:val="61FE533F"/>
    <w:rsid w:val="621974FF"/>
    <w:rsid w:val="62316FCC"/>
    <w:rsid w:val="623634BE"/>
    <w:rsid w:val="624B51DE"/>
    <w:rsid w:val="62570027"/>
    <w:rsid w:val="62740781"/>
    <w:rsid w:val="62812433"/>
    <w:rsid w:val="6287090C"/>
    <w:rsid w:val="62AE3673"/>
    <w:rsid w:val="62D11B87"/>
    <w:rsid w:val="62DF1972"/>
    <w:rsid w:val="63451432"/>
    <w:rsid w:val="6348093C"/>
    <w:rsid w:val="635D79AD"/>
    <w:rsid w:val="637071A4"/>
    <w:rsid w:val="638A11E8"/>
    <w:rsid w:val="63952BB5"/>
    <w:rsid w:val="63C90AB0"/>
    <w:rsid w:val="63D58838"/>
    <w:rsid w:val="63ED0C43"/>
    <w:rsid w:val="63F127F8"/>
    <w:rsid w:val="640E3183"/>
    <w:rsid w:val="64727D27"/>
    <w:rsid w:val="647677A3"/>
    <w:rsid w:val="648B165B"/>
    <w:rsid w:val="64BB183B"/>
    <w:rsid w:val="64C51278"/>
    <w:rsid w:val="64E03A6A"/>
    <w:rsid w:val="64F16511"/>
    <w:rsid w:val="654D0AED"/>
    <w:rsid w:val="659770B8"/>
    <w:rsid w:val="65B51384"/>
    <w:rsid w:val="65BA2DA7"/>
    <w:rsid w:val="65BD4645"/>
    <w:rsid w:val="65BE32AB"/>
    <w:rsid w:val="65E839E4"/>
    <w:rsid w:val="65FE0295"/>
    <w:rsid w:val="65FF4C5D"/>
    <w:rsid w:val="6646463A"/>
    <w:rsid w:val="66855E91"/>
    <w:rsid w:val="669435F8"/>
    <w:rsid w:val="669E6224"/>
    <w:rsid w:val="671369EA"/>
    <w:rsid w:val="67281F92"/>
    <w:rsid w:val="674308C5"/>
    <w:rsid w:val="67660967"/>
    <w:rsid w:val="679A69EC"/>
    <w:rsid w:val="67B81568"/>
    <w:rsid w:val="67F75851"/>
    <w:rsid w:val="68106CAE"/>
    <w:rsid w:val="682229B3"/>
    <w:rsid w:val="682C428E"/>
    <w:rsid w:val="682E5386"/>
    <w:rsid w:val="6833299C"/>
    <w:rsid w:val="683D0086"/>
    <w:rsid w:val="68703041"/>
    <w:rsid w:val="68A63589"/>
    <w:rsid w:val="68B65425"/>
    <w:rsid w:val="68BA4E6C"/>
    <w:rsid w:val="68DA4C11"/>
    <w:rsid w:val="68DE0B5A"/>
    <w:rsid w:val="69024E07"/>
    <w:rsid w:val="691E5DDF"/>
    <w:rsid w:val="69531548"/>
    <w:rsid w:val="696F3EA8"/>
    <w:rsid w:val="698E2580"/>
    <w:rsid w:val="69FA067F"/>
    <w:rsid w:val="6A0500BE"/>
    <w:rsid w:val="6A097FAB"/>
    <w:rsid w:val="6A274783"/>
    <w:rsid w:val="6A2E5B11"/>
    <w:rsid w:val="6A3053E5"/>
    <w:rsid w:val="6A7C6309"/>
    <w:rsid w:val="6AAB47A3"/>
    <w:rsid w:val="6AAC21BB"/>
    <w:rsid w:val="6ABC5EF0"/>
    <w:rsid w:val="6AD379C8"/>
    <w:rsid w:val="6ADE12E5"/>
    <w:rsid w:val="6AE83767"/>
    <w:rsid w:val="6AFF300A"/>
    <w:rsid w:val="6B344587"/>
    <w:rsid w:val="6B39102E"/>
    <w:rsid w:val="6B657311"/>
    <w:rsid w:val="6B701591"/>
    <w:rsid w:val="6BA37E39"/>
    <w:rsid w:val="6BF07522"/>
    <w:rsid w:val="6BF80185"/>
    <w:rsid w:val="6C0F54CE"/>
    <w:rsid w:val="6C20148A"/>
    <w:rsid w:val="6C234445"/>
    <w:rsid w:val="6C384A25"/>
    <w:rsid w:val="6C536FB9"/>
    <w:rsid w:val="6C634657"/>
    <w:rsid w:val="6C922387"/>
    <w:rsid w:val="6CED268C"/>
    <w:rsid w:val="6D1C0045"/>
    <w:rsid w:val="6D677756"/>
    <w:rsid w:val="6DAA3701"/>
    <w:rsid w:val="6DBB590E"/>
    <w:rsid w:val="6E063ACF"/>
    <w:rsid w:val="6E1674B4"/>
    <w:rsid w:val="6E192634"/>
    <w:rsid w:val="6E6C4E5A"/>
    <w:rsid w:val="6E8126B3"/>
    <w:rsid w:val="6ECD7108"/>
    <w:rsid w:val="6EDF5705"/>
    <w:rsid w:val="6EEDA4E6"/>
    <w:rsid w:val="6EEE3AC1"/>
    <w:rsid w:val="6EF07839"/>
    <w:rsid w:val="6EF222D7"/>
    <w:rsid w:val="6EFB6D71"/>
    <w:rsid w:val="6F4B4A6F"/>
    <w:rsid w:val="6F542B22"/>
    <w:rsid w:val="6F986B5B"/>
    <w:rsid w:val="6FA7614A"/>
    <w:rsid w:val="6FC860C0"/>
    <w:rsid w:val="6FCC3E02"/>
    <w:rsid w:val="6FD66A2F"/>
    <w:rsid w:val="6FD74555"/>
    <w:rsid w:val="6FDC2C82"/>
    <w:rsid w:val="6FE7341D"/>
    <w:rsid w:val="6FEC1DAE"/>
    <w:rsid w:val="6FEC2C30"/>
    <w:rsid w:val="70253512"/>
    <w:rsid w:val="702F4391"/>
    <w:rsid w:val="70304222"/>
    <w:rsid w:val="70331E42"/>
    <w:rsid w:val="70565E33"/>
    <w:rsid w:val="70756248"/>
    <w:rsid w:val="70904E30"/>
    <w:rsid w:val="70950EAB"/>
    <w:rsid w:val="70E4517B"/>
    <w:rsid w:val="710B095A"/>
    <w:rsid w:val="711200BC"/>
    <w:rsid w:val="7118268E"/>
    <w:rsid w:val="711C18F3"/>
    <w:rsid w:val="7150636D"/>
    <w:rsid w:val="716B26F1"/>
    <w:rsid w:val="71BA2D55"/>
    <w:rsid w:val="71D022E5"/>
    <w:rsid w:val="72001538"/>
    <w:rsid w:val="7249173A"/>
    <w:rsid w:val="72650185"/>
    <w:rsid w:val="72726E74"/>
    <w:rsid w:val="729B6549"/>
    <w:rsid w:val="72E90827"/>
    <w:rsid w:val="733C1A06"/>
    <w:rsid w:val="73503238"/>
    <w:rsid w:val="73797DFD"/>
    <w:rsid w:val="739301F4"/>
    <w:rsid w:val="7393154C"/>
    <w:rsid w:val="739773B0"/>
    <w:rsid w:val="739B3BA2"/>
    <w:rsid w:val="73A330CC"/>
    <w:rsid w:val="74055B35"/>
    <w:rsid w:val="740F42BD"/>
    <w:rsid w:val="74277859"/>
    <w:rsid w:val="744E3D02"/>
    <w:rsid w:val="74AC5FB0"/>
    <w:rsid w:val="74D77AC4"/>
    <w:rsid w:val="74F3598D"/>
    <w:rsid w:val="74FB5E70"/>
    <w:rsid w:val="752C0E9F"/>
    <w:rsid w:val="755F74C6"/>
    <w:rsid w:val="757545F4"/>
    <w:rsid w:val="75947170"/>
    <w:rsid w:val="75AB270C"/>
    <w:rsid w:val="75D4756D"/>
    <w:rsid w:val="75F42B2A"/>
    <w:rsid w:val="75F76E90"/>
    <w:rsid w:val="76085468"/>
    <w:rsid w:val="76097421"/>
    <w:rsid w:val="760E39C1"/>
    <w:rsid w:val="76120095"/>
    <w:rsid w:val="76293C9F"/>
    <w:rsid w:val="762F3EA4"/>
    <w:rsid w:val="76742AFE"/>
    <w:rsid w:val="76A80FFB"/>
    <w:rsid w:val="76B64EC4"/>
    <w:rsid w:val="76BA1206"/>
    <w:rsid w:val="76C52E93"/>
    <w:rsid w:val="76E209D0"/>
    <w:rsid w:val="76E37882"/>
    <w:rsid w:val="76FC1EF8"/>
    <w:rsid w:val="774C5935"/>
    <w:rsid w:val="77724D2A"/>
    <w:rsid w:val="77DD2DE5"/>
    <w:rsid w:val="77F46F1D"/>
    <w:rsid w:val="781E4F51"/>
    <w:rsid w:val="7829359C"/>
    <w:rsid w:val="78340796"/>
    <w:rsid w:val="7861169B"/>
    <w:rsid w:val="78830F81"/>
    <w:rsid w:val="78B638A1"/>
    <w:rsid w:val="78C84655"/>
    <w:rsid w:val="79052133"/>
    <w:rsid w:val="790B3713"/>
    <w:rsid w:val="79442C5B"/>
    <w:rsid w:val="798E63E8"/>
    <w:rsid w:val="79BF22E2"/>
    <w:rsid w:val="79C45B4A"/>
    <w:rsid w:val="79D264B9"/>
    <w:rsid w:val="79E14298"/>
    <w:rsid w:val="7A1F7224"/>
    <w:rsid w:val="7A266805"/>
    <w:rsid w:val="7A3E0D52"/>
    <w:rsid w:val="7A481B54"/>
    <w:rsid w:val="7A567B59"/>
    <w:rsid w:val="7A6115EB"/>
    <w:rsid w:val="7A886B78"/>
    <w:rsid w:val="7A8C7092"/>
    <w:rsid w:val="7A8F43AA"/>
    <w:rsid w:val="7A9C509C"/>
    <w:rsid w:val="7AAD2A82"/>
    <w:rsid w:val="7ABB0250"/>
    <w:rsid w:val="7ACB4E68"/>
    <w:rsid w:val="7AFD2C1C"/>
    <w:rsid w:val="7AFD7566"/>
    <w:rsid w:val="7B7F7F7B"/>
    <w:rsid w:val="7BE14791"/>
    <w:rsid w:val="7BFE17E7"/>
    <w:rsid w:val="7C055747"/>
    <w:rsid w:val="7C18217D"/>
    <w:rsid w:val="7C255BAD"/>
    <w:rsid w:val="7C4D62CB"/>
    <w:rsid w:val="7C5C03CB"/>
    <w:rsid w:val="7C5E5DE2"/>
    <w:rsid w:val="7C8141C6"/>
    <w:rsid w:val="7CA7697A"/>
    <w:rsid w:val="7CB86CE9"/>
    <w:rsid w:val="7CBC0D5A"/>
    <w:rsid w:val="7CF06E24"/>
    <w:rsid w:val="7D012C11"/>
    <w:rsid w:val="7D0F17D2"/>
    <w:rsid w:val="7D272678"/>
    <w:rsid w:val="7D2863F0"/>
    <w:rsid w:val="7D513B99"/>
    <w:rsid w:val="7D52346D"/>
    <w:rsid w:val="7D650342"/>
    <w:rsid w:val="7DB02DB5"/>
    <w:rsid w:val="7DBB6DBF"/>
    <w:rsid w:val="7DCB64BA"/>
    <w:rsid w:val="7DEC0537"/>
    <w:rsid w:val="7E01736D"/>
    <w:rsid w:val="7E0806FB"/>
    <w:rsid w:val="7E41162F"/>
    <w:rsid w:val="7E755665"/>
    <w:rsid w:val="7EA74C7A"/>
    <w:rsid w:val="7EAD12A3"/>
    <w:rsid w:val="7EF90044"/>
    <w:rsid w:val="7F5B485B"/>
    <w:rsid w:val="7FA579A7"/>
    <w:rsid w:val="7FB16B71"/>
    <w:rsid w:val="7FB265FC"/>
    <w:rsid w:val="7FD4460D"/>
    <w:rsid w:val="7FDB0476"/>
    <w:rsid w:val="BA4FD01E"/>
    <w:rsid w:val="EC69B708"/>
    <w:rsid w:val="FEDF85CA"/>
    <w:rsid w:val="FF3AE9B3"/>
    <w:rsid w:val="FFEA99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kern w:val="2"/>
      <w:sz w:val="21"/>
      <w:szCs w:val="24"/>
      <w:lang w:val="en-US" w:eastAsia="zh-CN" w:bidi="ar-SA"/>
    </w:rPr>
  </w:style>
  <w:style w:type="paragraph" w:styleId="5">
    <w:name w:val="heading 1"/>
    <w:basedOn w:val="1"/>
    <w:next w:val="1"/>
    <w:link w:val="41"/>
    <w:qFormat/>
    <w:uiPriority w:val="9"/>
    <w:pPr>
      <w:keepNext/>
      <w:keepLines/>
      <w:spacing w:line="360" w:lineRule="auto"/>
      <w:jc w:val="left"/>
      <w:outlineLvl w:val="0"/>
    </w:pPr>
    <w:rPr>
      <w:rFonts w:eastAsia="仿宋"/>
      <w:b/>
      <w:bCs/>
      <w:kern w:val="44"/>
      <w:sz w:val="28"/>
      <w:szCs w:val="44"/>
    </w:rPr>
  </w:style>
  <w:style w:type="paragraph" w:styleId="6">
    <w:name w:val="heading 2"/>
    <w:basedOn w:val="1"/>
    <w:next w:val="1"/>
    <w:link w:val="30"/>
    <w:qFormat/>
    <w:uiPriority w:val="9"/>
    <w:pPr>
      <w:keepNext/>
      <w:keepLines/>
      <w:spacing w:line="360" w:lineRule="auto"/>
      <w:outlineLvl w:val="1"/>
    </w:pPr>
    <w:rPr>
      <w:rFonts w:ascii="Cambria" w:hAnsi="Cambria" w:eastAsia="仿宋"/>
      <w:bCs/>
      <w:kern w:val="0"/>
      <w:sz w:val="28"/>
      <w:szCs w:val="32"/>
    </w:rPr>
  </w:style>
  <w:style w:type="paragraph" w:styleId="7">
    <w:name w:val="heading 3"/>
    <w:basedOn w:val="1"/>
    <w:next w:val="1"/>
    <w:link w:val="33"/>
    <w:qFormat/>
    <w:uiPriority w:val="0"/>
    <w:pPr>
      <w:keepNext/>
      <w:keepLines/>
      <w:spacing w:before="260" w:after="260" w:line="413" w:lineRule="auto"/>
      <w:outlineLvl w:val="2"/>
    </w:pPr>
    <w:rPr>
      <w:rFonts w:eastAsia="宋体"/>
      <w:b/>
      <w:bCs/>
      <w:kern w:val="0"/>
      <w:sz w:val="32"/>
      <w:szCs w:val="32"/>
    </w:rPr>
  </w:style>
  <w:style w:type="paragraph" w:styleId="8">
    <w:name w:val="heading 4"/>
    <w:basedOn w:val="1"/>
    <w:next w:val="1"/>
    <w:link w:val="28"/>
    <w:qFormat/>
    <w:uiPriority w:val="9"/>
    <w:pPr>
      <w:keepNext/>
      <w:keepLines/>
      <w:spacing w:line="360" w:lineRule="auto"/>
      <w:ind w:left="200" w:leftChars="200"/>
      <w:outlineLvl w:val="3"/>
    </w:pPr>
    <w:rPr>
      <w:rFonts w:ascii="Cambria" w:hAnsi="Cambria" w:eastAsia="仿宋"/>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rFonts w:ascii="Times New Roman" w:hAnsi="Times New Roman"/>
      <w:szCs w:val="24"/>
    </w:rPr>
  </w:style>
  <w:style w:type="paragraph" w:styleId="3">
    <w:name w:val="Body Text"/>
    <w:basedOn w:val="1"/>
    <w:next w:val="4"/>
    <w:unhideWhenUsed/>
    <w:qFormat/>
    <w:uiPriority w:val="99"/>
    <w:pPr>
      <w:autoSpaceDE w:val="0"/>
      <w:autoSpaceDN w:val="0"/>
      <w:adjustRightInd w:val="0"/>
      <w:ind w:left="214"/>
      <w:jc w:val="left"/>
    </w:pPr>
    <w:rPr>
      <w:rFonts w:ascii="Arial Unicode MS" w:eastAsia="Arial Unicode MS" w:cs="Arial Unicode MS"/>
      <w:kern w:val="0"/>
      <w:sz w:val="24"/>
    </w:rPr>
  </w:style>
  <w:style w:type="paragraph" w:customStyle="1" w:styleId="4">
    <w:name w:val="Default"/>
    <w:qFormat/>
    <w:uiPriority w:val="0"/>
    <w:pPr>
      <w:widowControl w:val="0"/>
      <w:autoSpaceDE w:val="0"/>
      <w:autoSpaceDN w:val="0"/>
      <w:adjustRightInd w:val="0"/>
    </w:pPr>
    <w:rPr>
      <w:rFonts w:ascii="仿宋^....." w:hAnsi="等线" w:eastAsia="仿宋^....." w:cs="仿宋^....."/>
      <w:color w:val="000000"/>
      <w:sz w:val="24"/>
      <w:szCs w:val="24"/>
      <w:lang w:val="en-US" w:eastAsia="zh-CN" w:bidi="ar-SA"/>
    </w:rPr>
  </w:style>
  <w:style w:type="paragraph" w:styleId="9">
    <w:name w:val="Normal Indent"/>
    <w:basedOn w:val="1"/>
    <w:qFormat/>
    <w:uiPriority w:val="0"/>
    <w:pPr>
      <w:ind w:firstLine="420" w:firstLineChars="200"/>
    </w:pPr>
    <w:rPr>
      <w:rFonts w:ascii="宋体" w:hAnsi="宋体"/>
    </w:rPr>
  </w:style>
  <w:style w:type="paragraph" w:styleId="10">
    <w:name w:val="Document Map"/>
    <w:basedOn w:val="1"/>
    <w:link w:val="48"/>
    <w:semiHidden/>
    <w:unhideWhenUsed/>
    <w:qFormat/>
    <w:uiPriority w:val="99"/>
    <w:rPr>
      <w:rFonts w:ascii="宋体" w:eastAsia="宋体"/>
      <w:sz w:val="18"/>
      <w:szCs w:val="18"/>
    </w:rPr>
  </w:style>
  <w:style w:type="paragraph" w:styleId="11">
    <w:name w:val="annotation text"/>
    <w:basedOn w:val="1"/>
    <w:link w:val="37"/>
    <w:unhideWhenUsed/>
    <w:qFormat/>
    <w:uiPriority w:val="0"/>
    <w:pPr>
      <w:jc w:val="left"/>
    </w:pPr>
    <w:rPr>
      <w:rFonts w:eastAsia="宋体"/>
    </w:rPr>
  </w:style>
  <w:style w:type="paragraph" w:styleId="12">
    <w:name w:val="toc 3"/>
    <w:basedOn w:val="1"/>
    <w:next w:val="1"/>
    <w:unhideWhenUsed/>
    <w:qFormat/>
    <w:uiPriority w:val="39"/>
    <w:pPr>
      <w:ind w:left="840" w:leftChars="400"/>
    </w:pPr>
  </w:style>
  <w:style w:type="paragraph" w:styleId="13">
    <w:name w:val="Date"/>
    <w:basedOn w:val="1"/>
    <w:next w:val="1"/>
    <w:link w:val="32"/>
    <w:unhideWhenUsed/>
    <w:qFormat/>
    <w:uiPriority w:val="99"/>
    <w:pPr>
      <w:ind w:left="100" w:leftChars="2500"/>
    </w:pPr>
    <w:rPr>
      <w:rFonts w:eastAsia="宋体"/>
      <w:kern w:val="0"/>
      <w:sz w:val="20"/>
    </w:rPr>
  </w:style>
  <w:style w:type="paragraph" w:styleId="14">
    <w:name w:val="Balloon Text"/>
    <w:basedOn w:val="1"/>
    <w:link w:val="38"/>
    <w:unhideWhenUsed/>
    <w:qFormat/>
    <w:uiPriority w:val="99"/>
    <w:rPr>
      <w:rFonts w:eastAsia="宋体"/>
      <w:kern w:val="0"/>
      <w:sz w:val="18"/>
      <w:szCs w:val="18"/>
    </w:rPr>
  </w:style>
  <w:style w:type="paragraph" w:styleId="15">
    <w:name w:val="footer"/>
    <w:basedOn w:val="1"/>
    <w:link w:val="40"/>
    <w:unhideWhenUsed/>
    <w:qFormat/>
    <w:uiPriority w:val="99"/>
    <w:pPr>
      <w:tabs>
        <w:tab w:val="center" w:pos="4153"/>
        <w:tab w:val="right" w:pos="8306"/>
      </w:tabs>
    </w:pPr>
    <w:rPr>
      <w:rFonts w:eastAsia="宋体"/>
      <w:kern w:val="0"/>
      <w:sz w:val="18"/>
      <w:szCs w:val="18"/>
    </w:rPr>
  </w:style>
  <w:style w:type="paragraph" w:styleId="16">
    <w:name w:val="header"/>
    <w:basedOn w:val="1"/>
    <w:link w:val="36"/>
    <w:unhideWhenUsed/>
    <w:qFormat/>
    <w:uiPriority w:val="99"/>
    <w:pPr>
      <w:pBdr>
        <w:bottom w:val="single" w:color="auto" w:sz="6" w:space="1"/>
      </w:pBdr>
      <w:tabs>
        <w:tab w:val="center" w:pos="4153"/>
        <w:tab w:val="right" w:pos="8306"/>
      </w:tabs>
      <w:jc w:val="center"/>
    </w:pPr>
    <w:rPr>
      <w:rFonts w:eastAsia="宋体"/>
      <w:kern w:val="0"/>
      <w:sz w:val="18"/>
      <w:szCs w:val="18"/>
    </w:rPr>
  </w:style>
  <w:style w:type="paragraph" w:styleId="17">
    <w:name w:val="toc 1"/>
    <w:basedOn w:val="1"/>
    <w:next w:val="1"/>
    <w:unhideWhenUsed/>
    <w:qFormat/>
    <w:uiPriority w:val="39"/>
  </w:style>
  <w:style w:type="paragraph" w:styleId="18">
    <w:name w:val="Subtitle"/>
    <w:basedOn w:val="1"/>
    <w:next w:val="1"/>
    <w:qFormat/>
    <w:uiPriority w:val="11"/>
    <w:pPr>
      <w:spacing w:before="120" w:line="360" w:lineRule="auto"/>
      <w:ind w:left="200" w:leftChars="200"/>
      <w:jc w:val="left"/>
      <w:outlineLvl w:val="2"/>
    </w:pPr>
    <w:rPr>
      <w:rFonts w:ascii="Cambria" w:hAnsi="Cambria" w:eastAsia="黑体"/>
      <w:b/>
      <w:bCs/>
      <w:kern w:val="28"/>
      <w:sz w:val="24"/>
      <w:szCs w:val="32"/>
    </w:rPr>
  </w:style>
  <w:style w:type="paragraph" w:styleId="19">
    <w:name w:val="toc 2"/>
    <w:basedOn w:val="1"/>
    <w:next w:val="1"/>
    <w:unhideWhenUsed/>
    <w:qFormat/>
    <w:uiPriority w:val="39"/>
    <w:pPr>
      <w:ind w:left="420" w:leftChars="200"/>
    </w:pPr>
  </w:style>
  <w:style w:type="paragraph" w:styleId="2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kern w:val="0"/>
      <w:sz w:val="24"/>
    </w:rPr>
  </w:style>
  <w:style w:type="paragraph" w:styleId="21">
    <w:name w:val="Title"/>
    <w:basedOn w:val="18"/>
    <w:next w:val="1"/>
    <w:link w:val="29"/>
    <w:qFormat/>
    <w:uiPriority w:val="0"/>
  </w:style>
  <w:style w:type="paragraph" w:styleId="22">
    <w:name w:val="annotation subject"/>
    <w:basedOn w:val="11"/>
    <w:next w:val="11"/>
    <w:link w:val="31"/>
    <w:unhideWhenUsed/>
    <w:qFormat/>
    <w:uiPriority w:val="99"/>
    <w:rPr>
      <w:b/>
      <w:bCs/>
    </w:rPr>
  </w:style>
  <w:style w:type="table" w:styleId="24">
    <w:name w:val="Table Grid"/>
    <w:basedOn w:val="23"/>
    <w:qFormat/>
    <w:uiPriority w:val="39"/>
    <w:rPr>
      <w:rFonts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Hyperlink"/>
    <w:unhideWhenUsed/>
    <w:qFormat/>
    <w:uiPriority w:val="99"/>
    <w:rPr>
      <w:color w:val="0000FF"/>
      <w:u w:val="single"/>
    </w:rPr>
  </w:style>
  <w:style w:type="character" w:styleId="27">
    <w:name w:val="annotation reference"/>
    <w:unhideWhenUsed/>
    <w:qFormat/>
    <w:uiPriority w:val="0"/>
    <w:rPr>
      <w:sz w:val="21"/>
      <w:szCs w:val="21"/>
    </w:rPr>
  </w:style>
  <w:style w:type="character" w:customStyle="1" w:styleId="28">
    <w:name w:val="标题 4 字符"/>
    <w:link w:val="8"/>
    <w:qFormat/>
    <w:uiPriority w:val="9"/>
    <w:rPr>
      <w:rFonts w:ascii="Cambria" w:hAnsi="Cambria" w:eastAsia="仿宋" w:cs="Times New Roman"/>
      <w:b/>
      <w:bCs/>
      <w:sz w:val="28"/>
      <w:szCs w:val="28"/>
    </w:rPr>
  </w:style>
  <w:style w:type="character" w:customStyle="1" w:styleId="29">
    <w:name w:val="标题 字符"/>
    <w:link w:val="21"/>
    <w:qFormat/>
    <w:uiPriority w:val="0"/>
    <w:rPr>
      <w:rFonts w:ascii="Cambria" w:hAnsi="Cambria" w:eastAsia="黑体" w:cs="Times New Roman"/>
      <w:b/>
      <w:bCs/>
      <w:kern w:val="28"/>
      <w:sz w:val="24"/>
      <w:szCs w:val="32"/>
    </w:rPr>
  </w:style>
  <w:style w:type="character" w:customStyle="1" w:styleId="30">
    <w:name w:val="标题 2 字符"/>
    <w:link w:val="6"/>
    <w:qFormat/>
    <w:uiPriority w:val="9"/>
    <w:rPr>
      <w:rFonts w:ascii="Cambria" w:hAnsi="Cambria" w:eastAsia="仿宋" w:cs="Times New Roman"/>
      <w:bCs/>
      <w:sz w:val="28"/>
      <w:szCs w:val="32"/>
    </w:rPr>
  </w:style>
  <w:style w:type="character" w:customStyle="1" w:styleId="31">
    <w:name w:val="批注主题 字符"/>
    <w:link w:val="22"/>
    <w:semiHidden/>
    <w:qFormat/>
    <w:uiPriority w:val="99"/>
    <w:rPr>
      <w:rFonts w:ascii="Times New Roman" w:hAnsi="Times New Roman" w:eastAsia="宋体" w:cs="Times New Roman"/>
      <w:b/>
      <w:bCs/>
      <w:kern w:val="2"/>
      <w:sz w:val="21"/>
      <w:szCs w:val="24"/>
    </w:rPr>
  </w:style>
  <w:style w:type="character" w:customStyle="1" w:styleId="32">
    <w:name w:val="日期 字符"/>
    <w:link w:val="13"/>
    <w:semiHidden/>
    <w:qFormat/>
    <w:uiPriority w:val="99"/>
    <w:rPr>
      <w:rFonts w:ascii="Times New Roman" w:hAnsi="Times New Roman" w:eastAsia="宋体" w:cs="Times New Roman"/>
      <w:szCs w:val="24"/>
    </w:rPr>
  </w:style>
  <w:style w:type="character" w:customStyle="1" w:styleId="33">
    <w:name w:val="标题 3 字符"/>
    <w:link w:val="7"/>
    <w:qFormat/>
    <w:uiPriority w:val="0"/>
    <w:rPr>
      <w:rFonts w:ascii="Times New Roman" w:hAnsi="Times New Roman" w:eastAsia="宋体" w:cs="Times New Roman"/>
      <w:b/>
      <w:bCs/>
      <w:sz w:val="32"/>
      <w:szCs w:val="32"/>
    </w:rPr>
  </w:style>
  <w:style w:type="character" w:customStyle="1" w:styleId="34">
    <w:name w:val="so-ask-best"/>
    <w:basedOn w:val="25"/>
    <w:qFormat/>
    <w:uiPriority w:val="0"/>
  </w:style>
  <w:style w:type="character" w:customStyle="1" w:styleId="35">
    <w:name w:val="页脚 字符"/>
    <w:qFormat/>
    <w:uiPriority w:val="99"/>
  </w:style>
  <w:style w:type="character" w:customStyle="1" w:styleId="36">
    <w:name w:val="页眉 字符"/>
    <w:link w:val="16"/>
    <w:semiHidden/>
    <w:qFormat/>
    <w:uiPriority w:val="99"/>
    <w:rPr>
      <w:rFonts w:ascii="Times New Roman" w:hAnsi="Times New Roman" w:eastAsia="宋体" w:cs="Times New Roman"/>
      <w:sz w:val="18"/>
      <w:szCs w:val="18"/>
    </w:rPr>
  </w:style>
  <w:style w:type="character" w:customStyle="1" w:styleId="37">
    <w:name w:val="批注文字 字符"/>
    <w:link w:val="11"/>
    <w:qFormat/>
    <w:uiPriority w:val="0"/>
    <w:rPr>
      <w:rFonts w:ascii="Times New Roman" w:hAnsi="Times New Roman" w:eastAsia="宋体" w:cs="Times New Roman"/>
      <w:kern w:val="2"/>
      <w:sz w:val="21"/>
      <w:szCs w:val="24"/>
    </w:rPr>
  </w:style>
  <w:style w:type="character" w:customStyle="1" w:styleId="38">
    <w:name w:val="批注框文本 字符"/>
    <w:link w:val="14"/>
    <w:semiHidden/>
    <w:qFormat/>
    <w:uiPriority w:val="99"/>
    <w:rPr>
      <w:rFonts w:ascii="Times New Roman" w:hAnsi="Times New Roman" w:eastAsia="宋体" w:cs="Times New Roman"/>
      <w:sz w:val="18"/>
      <w:szCs w:val="18"/>
    </w:rPr>
  </w:style>
  <w:style w:type="character" w:customStyle="1" w:styleId="39">
    <w:name w:val="apple-converted-space"/>
    <w:basedOn w:val="25"/>
    <w:qFormat/>
    <w:uiPriority w:val="0"/>
  </w:style>
  <w:style w:type="character" w:customStyle="1" w:styleId="40">
    <w:name w:val="页脚 字符1"/>
    <w:link w:val="15"/>
    <w:qFormat/>
    <w:uiPriority w:val="99"/>
    <w:rPr>
      <w:rFonts w:ascii="Times New Roman" w:hAnsi="Times New Roman" w:eastAsia="宋体" w:cs="Times New Roman"/>
      <w:sz w:val="18"/>
      <w:szCs w:val="18"/>
    </w:rPr>
  </w:style>
  <w:style w:type="character" w:customStyle="1" w:styleId="41">
    <w:name w:val="标题 1 字符"/>
    <w:link w:val="5"/>
    <w:qFormat/>
    <w:uiPriority w:val="9"/>
    <w:rPr>
      <w:rFonts w:ascii="Times New Roman" w:hAnsi="Times New Roman" w:eastAsia="仿宋" w:cs="Times New Roman"/>
      <w:b/>
      <w:bCs/>
      <w:kern w:val="44"/>
      <w:sz w:val="28"/>
      <w:szCs w:val="44"/>
    </w:rPr>
  </w:style>
  <w:style w:type="paragraph" w:styleId="42">
    <w:name w:val="List Paragraph"/>
    <w:basedOn w:val="1"/>
    <w:qFormat/>
    <w:uiPriority w:val="34"/>
    <w:pPr>
      <w:ind w:firstLine="200" w:firstLineChars="200"/>
    </w:pPr>
    <w:rPr>
      <w:rFonts w:ascii="Calibri" w:hAnsi="Calibri"/>
      <w:szCs w:val="22"/>
    </w:rPr>
  </w:style>
  <w:style w:type="paragraph" w:customStyle="1" w:styleId="43">
    <w:name w:val="TOC 标题1"/>
    <w:basedOn w:val="5"/>
    <w:next w:val="1"/>
    <w:unhideWhenUsed/>
    <w:qFormat/>
    <w:uiPriority w:val="39"/>
    <w:pPr>
      <w:widowControl/>
      <w:spacing w:before="480" w:line="276" w:lineRule="auto"/>
      <w:outlineLvl w:val="9"/>
    </w:pPr>
    <w:rPr>
      <w:rFonts w:ascii="Cambria" w:hAnsi="Cambria" w:eastAsia="宋体"/>
      <w:color w:val="365F91"/>
      <w:kern w:val="0"/>
      <w:szCs w:val="28"/>
    </w:rPr>
  </w:style>
  <w:style w:type="paragraph" w:customStyle="1" w:styleId="44">
    <w:name w:val="x_msoplain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TOC 标题2"/>
    <w:basedOn w:val="5"/>
    <w:next w:val="1"/>
    <w:unhideWhenUsed/>
    <w:qFormat/>
    <w:uiPriority w:val="39"/>
    <w:pPr>
      <w:spacing w:before="340" w:after="330" w:line="578" w:lineRule="auto"/>
      <w:jc w:val="both"/>
      <w:outlineLvl w:val="9"/>
    </w:pPr>
    <w:rPr>
      <w:rFonts w:eastAsia="宋体"/>
      <w:sz w:val="44"/>
    </w:rPr>
  </w:style>
  <w:style w:type="paragraph" w:customStyle="1" w:styleId="46">
    <w:name w:val="列出段落1"/>
    <w:basedOn w:val="1"/>
    <w:qFormat/>
    <w:uiPriority w:val="34"/>
    <w:pPr>
      <w:ind w:firstLine="420" w:firstLineChars="200"/>
    </w:pPr>
  </w:style>
  <w:style w:type="table" w:customStyle="1" w:styleId="47">
    <w:name w:val="网格型2"/>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文档结构图 字符"/>
    <w:basedOn w:val="25"/>
    <w:link w:val="10"/>
    <w:semiHidden/>
    <w:qFormat/>
    <w:uiPriority w:val="99"/>
    <w:rPr>
      <w:rFonts w:ascii="宋体" w:hAnsi="Times New Roman" w:eastAsia="宋体"/>
      <w:kern w:val="2"/>
      <w:sz w:val="18"/>
      <w:szCs w:val="18"/>
    </w:rPr>
  </w:style>
  <w:style w:type="paragraph" w:customStyle="1" w:styleId="49">
    <w:name w:val="修订1"/>
    <w:hidden/>
    <w:semiHidden/>
    <w:qFormat/>
    <w:uiPriority w:val="99"/>
    <w:rPr>
      <w:rFonts w:ascii="Times New Roman" w:hAnsi="Times New Roman" w:eastAsia="等线" w:cs="Times New Roman"/>
      <w:kern w:val="2"/>
      <w:sz w:val="21"/>
      <w:szCs w:val="24"/>
      <w:lang w:val="en-US" w:eastAsia="zh-CN" w:bidi="ar-SA"/>
    </w:rPr>
  </w:style>
  <w:style w:type="paragraph" w:customStyle="1" w:styleId="50">
    <w:name w:val="Table Paragraph"/>
    <w:basedOn w:val="1"/>
    <w:qFormat/>
    <w:uiPriority w:val="1"/>
  </w:style>
  <w:style w:type="table" w:customStyle="1" w:styleId="51">
    <w:name w:val="Table Normal"/>
    <w:semiHidden/>
    <w:unhideWhenUsed/>
    <w:qFormat/>
    <w:uiPriority w:val="2"/>
    <w:tblPr>
      <w:tblCellMar>
        <w:top w:w="0" w:type="dxa"/>
        <w:left w:w="0" w:type="dxa"/>
        <w:bottom w:w="0" w:type="dxa"/>
        <w:right w:w="0" w:type="dxa"/>
      </w:tblCellMar>
    </w:tblPr>
  </w:style>
  <w:style w:type="paragraph" w:customStyle="1" w:styleId="52">
    <w:name w:val="Heading 2"/>
    <w:basedOn w:val="1"/>
    <w:qFormat/>
    <w:uiPriority w:val="1"/>
    <w:pPr>
      <w:ind w:left="894"/>
      <w:outlineLvl w:val="2"/>
    </w:pPr>
    <w:rPr>
      <w:b/>
      <w:bCs/>
      <w:sz w:val="28"/>
      <w:szCs w:val="28"/>
    </w:rPr>
  </w:style>
  <w:style w:type="paragraph" w:customStyle="1" w:styleId="53">
    <w:name w:val="样式 标题 1 + 段前: 0.5 行 段后: 0.5 行"/>
    <w:basedOn w:val="5"/>
    <w:qFormat/>
    <w:uiPriority w:val="0"/>
    <w:pPr>
      <w:widowControl/>
      <w:spacing w:before="156" w:after="156" w:line="360" w:lineRule="auto"/>
    </w:pPr>
    <w:rPr>
      <w:rFonts w:cs="宋体"/>
      <w:bCs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emf"/><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38</Pages>
  <Words>17596</Words>
  <Characters>19378</Characters>
  <Lines>276</Lines>
  <Paragraphs>77</Paragraphs>
  <TotalTime>16</TotalTime>
  <ScaleCrop>false</ScaleCrop>
  <LinksUpToDate>false</LinksUpToDate>
  <CharactersWithSpaces>19545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2020-09-25T16:43:00Z</dcterms:created>
  <dc:creator>ssong</dc:creator>
  <cp:lastModifiedBy>uos</cp:lastModifiedBy>
  <cp:lastPrinted>2020-09-24T16:35:00Z</cp:lastPrinted>
  <dcterms:modified xsi:type="dcterms:W3CDTF">2024-12-09T17:46:41Z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2B8E9386E02C42F480FBE42A392EFD9F_13</vt:lpwstr>
  </property>
</Properties>
</file>