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2023年全国职业院校技能大赛河南省选拔赛</w:t>
      </w:r>
    </w:p>
    <w:p>
      <w:pPr>
        <w:spacing w:after="156" w:afterLines="50"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视觉艺术设计赛项竞赛实施方案</w:t>
      </w:r>
    </w:p>
    <w:p>
      <w:pPr>
        <w:pStyle w:val="28"/>
        <w:keepNext w:val="0"/>
        <w:keepLines w:val="0"/>
        <w:widowControl w:val="0"/>
        <w:spacing w:before="0" w:after="0"/>
        <w:ind w:firstLine="720" w:firstLineChars="200"/>
        <w:rPr>
          <w:rFonts w:ascii="黑体" w:hAnsi="黑体" w:eastAsia="黑体" w:cs="黑体"/>
          <w:b w:val="0"/>
          <w:color w:val="000000"/>
          <w:kern w:val="2"/>
          <w:sz w:val="36"/>
          <w:szCs w:val="36"/>
        </w:rPr>
      </w:pPr>
    </w:p>
    <w:p>
      <w:pPr>
        <w:pStyle w:val="28"/>
        <w:keepNext w:val="0"/>
        <w:keepLines w:val="0"/>
        <w:pageBreakBefore w:val="0"/>
        <w:widowControl w:val="0"/>
        <w:kinsoku/>
        <w:wordWrap/>
        <w:overflowPunct/>
        <w:topLinePunct w:val="0"/>
        <w:bidi w:val="0"/>
        <w:snapToGri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一、赛项名称</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赛项名称：视觉艺术设计</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赛项组别：高职组</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专业大类：文化艺术大类</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主办单位：河南省教育厅</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承办单位：许昌职业技术学院</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仿宋" w:hAnsi="仿宋" w:eastAsia="仿宋" w:cs="宋体"/>
          <w:kern w:val="0"/>
          <w:sz w:val="30"/>
          <w:szCs w:val="30"/>
        </w:rPr>
      </w:pPr>
      <w:r>
        <w:rPr>
          <w:rFonts w:hint="eastAsia" w:ascii="仿宋" w:hAnsi="仿宋" w:eastAsia="仿宋" w:cs="宋体"/>
          <w:kern w:val="0"/>
          <w:sz w:val="30"/>
          <w:szCs w:val="30"/>
        </w:rPr>
        <w:t>报到及推荐住宿地点：另行通知</w:t>
      </w:r>
    </w:p>
    <w:p>
      <w:pPr>
        <w:pStyle w:val="28"/>
        <w:keepNext w:val="0"/>
        <w:keepLines w:val="0"/>
        <w:pageBreakBefore w:val="0"/>
        <w:widowControl w:val="0"/>
        <w:kinsoku/>
        <w:wordWrap/>
        <w:overflowPunct/>
        <w:topLinePunct w:val="0"/>
        <w:bidi w:val="0"/>
        <w:snapToGri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二、竞赛目的</w:t>
      </w:r>
    </w:p>
    <w:p>
      <w:pPr>
        <w:pStyle w:val="3"/>
        <w:keepNext w:val="0"/>
        <w:keepLines w:val="0"/>
        <w:pageBreakBefore w:val="0"/>
        <w:widowControl w:val="0"/>
        <w:kinsoku/>
        <w:wordWrap/>
        <w:overflowPunct/>
        <w:topLinePunct w:val="0"/>
        <w:bidi w:val="0"/>
        <w:snapToGrid/>
        <w:spacing w:line="560" w:lineRule="exact"/>
        <w:ind w:firstLine="600" w:firstLineChars="200"/>
        <w:textAlignment w:val="auto"/>
        <w:rPr>
          <w:rFonts w:ascii="仿宋" w:hAnsi="仿宋" w:eastAsia="仿宋" w:cs="仿宋_GB2312"/>
          <w:sz w:val="30"/>
          <w:szCs w:val="30"/>
        </w:rPr>
      </w:pPr>
      <w:r>
        <w:rPr>
          <w:rFonts w:hint="eastAsia" w:ascii="仿宋" w:hAnsi="仿宋" w:eastAsia="仿宋"/>
          <w:sz w:val="30"/>
          <w:szCs w:val="30"/>
          <w:lang w:val="en-US"/>
        </w:rPr>
        <w:t>视觉艺术设计</w:t>
      </w:r>
      <w:r>
        <w:rPr>
          <w:rFonts w:hint="eastAsia" w:ascii="仿宋" w:hAnsi="仿宋" w:eastAsia="仿宋"/>
          <w:sz w:val="30"/>
          <w:szCs w:val="30"/>
        </w:rPr>
        <w:t>赛项，以培养服务</w:t>
      </w:r>
      <w:r>
        <w:rPr>
          <w:rFonts w:hint="eastAsia" w:ascii="仿宋" w:hAnsi="仿宋" w:eastAsia="仿宋" w:cs="仿宋_GB2312"/>
          <w:sz w:val="30"/>
          <w:szCs w:val="30"/>
        </w:rPr>
        <w:t>国家发展战略，对接创意设计产业以及文化强国建设现代化产业，促进视觉艺术设计相关专业在人才培养过程中，职普融通、产教融合、科教融汇，将专业设计人才培养与经济社会发展紧密结合，产教协同育人，通过以赛促学、以赛促教、以赛促建、以赛促改，以赛促融，引领专业建设工作的开展和教学改革的深化，实现视觉艺术设计人才的全面发展，使培养质量显著提升。通过赛项的开展，加强区域间、院校间的交流，整体推动高职视觉艺术设计相关专业的均衡发展，促进人才培养工作良性发展。</w:t>
      </w:r>
    </w:p>
    <w:p>
      <w:pPr>
        <w:pStyle w:val="28"/>
        <w:keepNext w:val="0"/>
        <w:keepLines w:val="0"/>
        <w:pageBreakBefore w:val="0"/>
        <w:widowControl w:val="0"/>
        <w:kinsoku/>
        <w:wordWrap/>
        <w:overflowPunct/>
        <w:topLinePunct w:val="0"/>
        <w:bidi w:val="0"/>
        <w:snapToGri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三、参赛资格</w:t>
      </w:r>
    </w:p>
    <w:p>
      <w:pPr>
        <w:pStyle w:val="3"/>
        <w:keepNext w:val="0"/>
        <w:keepLines w:val="0"/>
        <w:pageBreakBefore w:val="0"/>
        <w:widowControl w:val="0"/>
        <w:kinsoku/>
        <w:wordWrap/>
        <w:overflowPunct/>
        <w:topLinePunct w:val="0"/>
        <w:bidi w:val="0"/>
        <w:snapToGrid/>
        <w:spacing w:line="560" w:lineRule="exact"/>
        <w:ind w:firstLine="600" w:firstLineChars="200"/>
        <w:textAlignment w:val="auto"/>
        <w:rPr>
          <w:rFonts w:ascii="仿宋" w:hAnsi="仿宋" w:eastAsia="仿宋" w:cs="仿宋_GB2312"/>
          <w:sz w:val="30"/>
          <w:szCs w:val="30"/>
          <w:lang w:val="en-US"/>
        </w:rPr>
      </w:pPr>
      <w:r>
        <w:rPr>
          <w:rFonts w:hint="eastAsia" w:ascii="仿宋" w:hAnsi="仿宋" w:eastAsia="仿宋" w:cs="仿宋_GB2312"/>
          <w:sz w:val="30"/>
          <w:szCs w:val="30"/>
          <w:lang w:val="en-US"/>
        </w:rPr>
        <w:t>1.参考2023年国赛赛项规程要求，本次竞赛为个人赛。以学校为单位组队参赛，每校限报1个代表队。</w:t>
      </w:r>
    </w:p>
    <w:p>
      <w:pPr>
        <w:pStyle w:val="3"/>
        <w:keepNext w:val="0"/>
        <w:keepLines w:val="0"/>
        <w:pageBreakBefore w:val="0"/>
        <w:widowControl w:val="0"/>
        <w:kinsoku/>
        <w:wordWrap/>
        <w:overflowPunct/>
        <w:topLinePunct w:val="0"/>
        <w:bidi w:val="0"/>
        <w:snapToGrid/>
        <w:spacing w:line="560" w:lineRule="exact"/>
        <w:ind w:firstLine="600" w:firstLineChars="200"/>
        <w:jc w:val="both"/>
        <w:textAlignment w:val="auto"/>
        <w:rPr>
          <w:rFonts w:hint="eastAsia" w:ascii="仿宋" w:hAnsi="仿宋" w:eastAsia="仿宋" w:cs="仿宋"/>
          <w:kern w:val="2"/>
          <w:sz w:val="30"/>
          <w:szCs w:val="30"/>
          <w:lang w:val="en-US" w:bidi="ar-SA"/>
        </w:rPr>
      </w:pPr>
      <w:r>
        <w:rPr>
          <w:rFonts w:hint="eastAsia" w:ascii="仿宋" w:hAnsi="仿宋" w:eastAsia="仿宋" w:cs="仿宋_GB2312"/>
          <w:sz w:val="30"/>
          <w:szCs w:val="30"/>
          <w:lang w:val="en-US"/>
        </w:rPr>
        <w:t xml:space="preserve">2. </w:t>
      </w:r>
      <w:r>
        <w:rPr>
          <w:rFonts w:hint="eastAsia" w:ascii="仿宋" w:hAnsi="仿宋" w:eastAsia="仿宋" w:cs="楷体"/>
          <w:kern w:val="2"/>
          <w:sz w:val="30"/>
          <w:szCs w:val="30"/>
          <w:lang w:val="en-US" w:bidi="ar-SA"/>
        </w:rPr>
        <w:t>全日制普通高等职业院校本、专科在校生、五年制高职四至五年级在校生（以报名时的学籍信息为准）。已经在国赛中获得过一等奖的选手不得参加同项目比赛</w:t>
      </w:r>
      <w:r>
        <w:rPr>
          <w:rFonts w:hint="eastAsia" w:ascii="仿宋" w:hAnsi="仿宋" w:eastAsia="仿宋" w:cs="仿宋"/>
          <w:kern w:val="2"/>
          <w:sz w:val="30"/>
          <w:szCs w:val="30"/>
          <w:lang w:val="en-US" w:bidi="ar-SA"/>
        </w:rPr>
        <w:t>。</w:t>
      </w:r>
    </w:p>
    <w:p>
      <w:pPr>
        <w:pStyle w:val="3"/>
        <w:keepNext w:val="0"/>
        <w:keepLines w:val="0"/>
        <w:pageBreakBefore w:val="0"/>
        <w:widowControl w:val="0"/>
        <w:kinsoku/>
        <w:wordWrap/>
        <w:overflowPunct/>
        <w:topLinePunct w:val="0"/>
        <w:bidi w:val="0"/>
        <w:snapToGrid/>
        <w:spacing w:line="560" w:lineRule="exact"/>
        <w:ind w:firstLine="600" w:firstLineChars="200"/>
        <w:textAlignment w:val="auto"/>
        <w:rPr>
          <w:rFonts w:ascii="仿宋" w:hAnsi="仿宋" w:eastAsia="仿宋" w:cs="仿宋_GB2312"/>
          <w:sz w:val="30"/>
          <w:szCs w:val="30"/>
          <w:lang w:val="en-US"/>
        </w:rPr>
      </w:pPr>
      <w:r>
        <w:rPr>
          <w:rFonts w:hint="eastAsia" w:ascii="仿宋" w:hAnsi="仿宋" w:eastAsia="仿宋" w:cs="仿宋_GB2312"/>
          <w:sz w:val="30"/>
          <w:szCs w:val="30"/>
          <w:lang w:val="en-US"/>
        </w:rPr>
        <w:t>3.在往届全国职业院校技能大赛高职组竞赛中获得一等奖的选手，不再参加同一项目同一组别的省级竞赛。</w:t>
      </w:r>
    </w:p>
    <w:p>
      <w:pPr>
        <w:pStyle w:val="28"/>
        <w:keepNext w:val="0"/>
        <w:keepLines w:val="0"/>
        <w:pageBreakBefore w:val="0"/>
        <w:widowControl w:val="0"/>
        <w:kinsoku/>
        <w:wordWrap/>
        <w:overflowPunct/>
        <w:topLinePunct w:val="0"/>
        <w:bidi w:val="0"/>
        <w:snapToGri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四、参赛报名</w:t>
      </w:r>
    </w:p>
    <w:p>
      <w:pPr>
        <w:pStyle w:val="3"/>
        <w:keepNext w:val="0"/>
        <w:keepLines w:val="0"/>
        <w:pageBreakBefore w:val="0"/>
        <w:widowControl w:val="0"/>
        <w:kinsoku/>
        <w:wordWrap/>
        <w:overflowPunct/>
        <w:topLinePunct w:val="0"/>
        <w:bidi w:val="0"/>
        <w:snapToGrid/>
        <w:spacing w:line="560" w:lineRule="exact"/>
        <w:ind w:firstLine="600" w:firstLineChars="200"/>
        <w:jc w:val="both"/>
        <w:textAlignment w:val="auto"/>
        <w:rPr>
          <w:rFonts w:ascii="仿宋" w:hAnsi="仿宋" w:eastAsia="仿宋" w:cs="仿宋_GB2312"/>
          <w:color w:val="000000" w:themeColor="text1"/>
          <w:sz w:val="30"/>
          <w:szCs w:val="30"/>
          <w:lang w:val="en-US"/>
          <w14:textFill>
            <w14:solidFill>
              <w14:schemeClr w14:val="tx1"/>
            </w14:solidFill>
          </w14:textFill>
        </w:rPr>
      </w:pPr>
      <w:r>
        <w:rPr>
          <w:rFonts w:hint="eastAsia" w:ascii="仿宋" w:hAnsi="仿宋" w:eastAsia="仿宋" w:cs="仿宋_GB2312"/>
          <w:color w:val="000000" w:themeColor="text1"/>
          <w:sz w:val="30"/>
          <w:szCs w:val="30"/>
          <w:lang w:val="en-US"/>
          <w14:textFill>
            <w14:solidFill>
              <w14:schemeClr w14:val="tx1"/>
            </w14:solidFill>
          </w14:textFill>
        </w:rPr>
        <w:t>1.参赛院校须于5月18日前登录河南省高职院校技能大赛报名系统（http://39.105.49.188，按要求填报并提交参赛信息。</w:t>
      </w:r>
    </w:p>
    <w:p>
      <w:pPr>
        <w:pStyle w:val="3"/>
        <w:keepNext w:val="0"/>
        <w:keepLines w:val="0"/>
        <w:pageBreakBefore w:val="0"/>
        <w:widowControl w:val="0"/>
        <w:kinsoku/>
        <w:wordWrap/>
        <w:overflowPunct/>
        <w:topLinePunct w:val="0"/>
        <w:bidi w:val="0"/>
        <w:snapToGrid/>
        <w:spacing w:line="560" w:lineRule="exact"/>
        <w:ind w:firstLine="600" w:firstLineChars="200"/>
        <w:jc w:val="both"/>
        <w:textAlignment w:val="auto"/>
        <w:rPr>
          <w:rFonts w:ascii="仿宋" w:hAnsi="仿宋" w:eastAsia="仿宋" w:cs="仿宋_GB2312"/>
          <w:color w:val="000000" w:themeColor="text1"/>
          <w:sz w:val="30"/>
          <w:szCs w:val="30"/>
          <w:lang w:val="en-US"/>
          <w14:textFill>
            <w14:solidFill>
              <w14:schemeClr w14:val="tx1"/>
            </w14:solidFill>
          </w14:textFill>
        </w:rPr>
      </w:pPr>
      <w:r>
        <w:rPr>
          <w:rFonts w:hint="eastAsia" w:ascii="仿宋" w:hAnsi="仿宋" w:eastAsia="仿宋" w:cs="仿宋_GB2312"/>
          <w:color w:val="000000" w:themeColor="text1"/>
          <w:sz w:val="30"/>
          <w:szCs w:val="30"/>
          <w:lang w:val="en-US"/>
          <w14:textFill>
            <w14:solidFill>
              <w14:schemeClr w14:val="tx1"/>
            </w14:solidFill>
          </w14:textFill>
        </w:rPr>
        <w:t>2.各参赛校以学校为单位注册报名平台，专人负责报名工作。（技术支持：张玺，电话：19837739696）。</w:t>
      </w:r>
    </w:p>
    <w:p>
      <w:pPr>
        <w:pStyle w:val="3"/>
        <w:keepNext w:val="0"/>
        <w:keepLines w:val="0"/>
        <w:pageBreakBefore w:val="0"/>
        <w:widowControl w:val="0"/>
        <w:kinsoku/>
        <w:wordWrap/>
        <w:overflowPunct/>
        <w:topLinePunct w:val="0"/>
        <w:bidi w:val="0"/>
        <w:snapToGrid/>
        <w:spacing w:line="560" w:lineRule="exact"/>
        <w:ind w:firstLine="600" w:firstLineChars="200"/>
        <w:jc w:val="both"/>
        <w:textAlignment w:val="auto"/>
        <w:rPr>
          <w:rFonts w:ascii="仿宋" w:hAnsi="仿宋" w:eastAsia="仿宋" w:cs="仿宋_GB2312"/>
          <w:color w:val="000000" w:themeColor="text1"/>
          <w:sz w:val="30"/>
          <w:szCs w:val="30"/>
          <w:lang w:val="en-US"/>
          <w14:textFill>
            <w14:solidFill>
              <w14:schemeClr w14:val="tx1"/>
            </w14:solidFill>
          </w14:textFill>
        </w:rPr>
      </w:pPr>
      <w:r>
        <w:rPr>
          <w:rFonts w:hint="eastAsia" w:ascii="仿宋" w:hAnsi="仿宋" w:eastAsia="仿宋" w:cs="仿宋_GB2312"/>
          <w:color w:val="000000" w:themeColor="text1"/>
          <w:sz w:val="30"/>
          <w:szCs w:val="30"/>
          <w:lang w:val="en-US"/>
          <w14:textFill>
            <w14:solidFill>
              <w14:schemeClr w14:val="tx1"/>
            </w14:solidFill>
          </w14:textFill>
        </w:rPr>
        <w:t>3.提交报名信息后，参赛院校从系统导出报名表、赛项汇总表，连同参赛选手身份证复印件、学信网“教育部学籍在线验证报告”或省招办录取名册复印件各1份并加盖学校公章报送或邮寄至承办学校（许昌职业技术学院）。</w:t>
      </w:r>
      <w:r>
        <w:rPr>
          <w:rFonts w:hint="eastAsia" w:ascii="仿宋" w:hAnsi="仿宋" w:eastAsia="仿宋" w:cs="仿宋_GB2312"/>
          <w:sz w:val="30"/>
          <w:szCs w:val="30"/>
          <w:lang w:val="en-US"/>
        </w:rPr>
        <w:t>纸质报名材料接收截止时间为5月18日</w:t>
      </w:r>
      <w:r>
        <w:rPr>
          <w:rFonts w:hint="eastAsia" w:ascii="仿宋" w:hAnsi="仿宋" w:eastAsia="仿宋" w:cs="仿宋_GB2312"/>
          <w:color w:val="000000" w:themeColor="text1"/>
          <w:sz w:val="30"/>
          <w:szCs w:val="30"/>
          <w:lang w:val="en-US"/>
          <w14:textFill>
            <w14:solidFill>
              <w14:schemeClr w14:val="tx1"/>
            </w14:solidFill>
          </w14:textFill>
        </w:rPr>
        <w:t>，以邮戳时间为准。邮寄地址：河南省许昌市新兴东路4336号许昌职业技术学院教务处，邮编：461000；联系人：杨继德；联系电话：18503749562。</w:t>
      </w:r>
    </w:p>
    <w:p>
      <w:pPr>
        <w:pStyle w:val="3"/>
        <w:keepNext w:val="0"/>
        <w:keepLines w:val="0"/>
        <w:pageBreakBefore w:val="0"/>
        <w:widowControl w:val="0"/>
        <w:kinsoku/>
        <w:wordWrap/>
        <w:overflowPunct/>
        <w:topLinePunct w:val="0"/>
        <w:bidi w:val="0"/>
        <w:snapToGrid/>
        <w:spacing w:line="560" w:lineRule="exact"/>
        <w:ind w:firstLine="600" w:firstLineChars="200"/>
        <w:jc w:val="both"/>
        <w:textAlignment w:val="auto"/>
        <w:rPr>
          <w:rFonts w:ascii="仿宋" w:hAnsi="仿宋" w:eastAsia="仿宋" w:cs="仿宋_GB2312"/>
          <w:color w:val="000000" w:themeColor="text1"/>
          <w:sz w:val="30"/>
          <w:szCs w:val="30"/>
          <w:lang w:val="en-US"/>
          <w14:textFill>
            <w14:solidFill>
              <w14:schemeClr w14:val="tx1"/>
            </w14:solidFill>
          </w14:textFill>
        </w:rPr>
      </w:pPr>
      <w:r>
        <w:rPr>
          <w:rFonts w:hint="eastAsia" w:ascii="仿宋" w:hAnsi="仿宋" w:eastAsia="仿宋" w:cs="仿宋_GB2312"/>
          <w:color w:val="000000" w:themeColor="text1"/>
          <w:sz w:val="30"/>
          <w:szCs w:val="30"/>
          <w:lang w:val="en-US"/>
          <w14:textFill>
            <w14:solidFill>
              <w14:schemeClr w14:val="tx1"/>
            </w14:solidFill>
          </w14:textFill>
        </w:rPr>
        <w:t>4.承办学校收到纸质报名材料，按省赛的要求认真审核参赛选手和指导教师资格，审核通过报名成功。</w:t>
      </w:r>
    </w:p>
    <w:p>
      <w:pPr>
        <w:pStyle w:val="28"/>
        <w:keepNext w:val="0"/>
        <w:keepLines w:val="0"/>
        <w:pageBreakBefore w:val="0"/>
        <w:widowControl w:val="0"/>
        <w:kinsoku/>
        <w:wordWrap/>
        <w:overflowPunct/>
        <w:topLinePunct w:val="0"/>
        <w:bidi w:val="0"/>
        <w:snapToGri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五、竞赛日程</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楷体" w:hAnsi="楷体" w:eastAsia="楷体" w:cs="楷体"/>
          <w:sz w:val="30"/>
          <w:szCs w:val="30"/>
        </w:rPr>
      </w:pPr>
      <w:r>
        <w:rPr>
          <w:rFonts w:hint="eastAsia" w:ascii="楷体" w:hAnsi="楷体" w:eastAsia="楷体" w:cs="楷体"/>
          <w:sz w:val="30"/>
          <w:szCs w:val="30"/>
        </w:rPr>
        <w:t>（一)比赛时间、地点</w:t>
      </w:r>
    </w:p>
    <w:p>
      <w:pPr>
        <w:pStyle w:val="6"/>
        <w:keepNext w:val="0"/>
        <w:keepLines w:val="0"/>
        <w:pageBreakBefore w:val="0"/>
        <w:widowControl w:val="0"/>
        <w:kinsoku/>
        <w:wordWrap/>
        <w:overflowPunct/>
        <w:topLinePunct w:val="0"/>
        <w:bidi w:val="0"/>
        <w:snapToGrid/>
        <w:spacing w:line="560" w:lineRule="exact"/>
        <w:ind w:left="0" w:firstLine="600" w:firstLineChars="200"/>
        <w:textAlignment w:val="auto"/>
        <w:rPr>
          <w:rFonts w:ascii="仿宋" w:hAnsi="仿宋" w:eastAsia="仿宋" w:cs="仿宋"/>
          <w:sz w:val="30"/>
          <w:szCs w:val="30"/>
        </w:rPr>
      </w:pPr>
      <w:r>
        <w:rPr>
          <w:rFonts w:hint="eastAsia" w:ascii="仿宋" w:hAnsi="仿宋" w:eastAsia="仿宋" w:cs="仿宋"/>
          <w:sz w:val="30"/>
          <w:szCs w:val="30"/>
        </w:rPr>
        <w:t>2023年5月21日报到，2023年5月22日为竞赛时间。竞赛地点为：许昌职业技术学院。</w:t>
      </w:r>
    </w:p>
    <w:p>
      <w:pPr>
        <w:keepNext w:val="0"/>
        <w:keepLines w:val="0"/>
        <w:pageBreakBefore w:val="0"/>
        <w:widowControl w:val="0"/>
        <w:shd w:val="clear" w:color="auto" w:fill="FFFFFF"/>
        <w:kinsoku/>
        <w:wordWrap/>
        <w:overflowPunct/>
        <w:topLinePunct w:val="0"/>
        <w:bidi w:val="0"/>
        <w:adjustRightInd w:val="0"/>
        <w:snapToGrid/>
        <w:spacing w:line="560" w:lineRule="exact"/>
        <w:ind w:firstLine="600" w:firstLineChars="200"/>
        <w:textAlignment w:val="auto"/>
        <w:rPr>
          <w:rFonts w:ascii="仿宋_GB2312" w:hAnsi="仿宋_GB2312" w:eastAsia="仿宋_GB2312" w:cs="仿宋_GB2312"/>
          <w:sz w:val="30"/>
          <w:szCs w:val="30"/>
        </w:rPr>
      </w:pPr>
      <w:r>
        <w:rPr>
          <w:rFonts w:hint="eastAsia" w:ascii="仿宋" w:hAnsi="仿宋" w:eastAsia="仿宋" w:cs="仿宋"/>
          <w:color w:val="000000"/>
          <w:sz w:val="30"/>
          <w:szCs w:val="30"/>
        </w:rPr>
        <w:t>设置两个模块，在180分钟内完成，共计180分钟。</w:t>
      </w:r>
    </w:p>
    <w:p>
      <w:pPr>
        <w:keepNext w:val="0"/>
        <w:keepLines w:val="0"/>
        <w:pageBreakBefore w:val="0"/>
        <w:widowControl w:val="0"/>
        <w:kinsoku/>
        <w:wordWrap/>
        <w:overflowPunct/>
        <w:topLinePunct w:val="0"/>
        <w:bidi w:val="0"/>
        <w:snapToGrid/>
        <w:spacing w:line="560" w:lineRule="exact"/>
        <w:ind w:firstLine="600" w:firstLineChars="200"/>
        <w:jc w:val="left"/>
        <w:textAlignment w:val="auto"/>
        <w:rPr>
          <w:rFonts w:ascii="楷体" w:hAnsi="楷体" w:eastAsia="楷体" w:cs="楷体"/>
          <w:sz w:val="30"/>
          <w:szCs w:val="30"/>
        </w:rPr>
      </w:pPr>
      <w:r>
        <w:rPr>
          <w:rFonts w:hint="eastAsia" w:ascii="楷体" w:hAnsi="楷体" w:eastAsia="楷体" w:cs="楷体"/>
          <w:sz w:val="30"/>
          <w:szCs w:val="30"/>
        </w:rPr>
        <w:t>（二）竞赛日程表</w:t>
      </w:r>
    </w:p>
    <w:p>
      <w:pPr>
        <w:pStyle w:val="6"/>
        <w:keepNext w:val="0"/>
        <w:keepLines w:val="0"/>
        <w:pageBreakBefore w:val="0"/>
        <w:widowControl w:val="0"/>
        <w:kinsoku/>
        <w:wordWrap/>
        <w:overflowPunct/>
        <w:topLinePunct w:val="0"/>
        <w:bidi w:val="0"/>
        <w:snapToGrid/>
        <w:spacing w:line="560" w:lineRule="exact"/>
        <w:ind w:left="0" w:firstLine="600" w:firstLineChars="200"/>
        <w:textAlignment w:val="auto"/>
        <w:rPr>
          <w:rFonts w:ascii="仿宋" w:hAnsi="仿宋" w:eastAsia="仿宋"/>
          <w:color w:val="000000"/>
          <w:sz w:val="30"/>
          <w:szCs w:val="30"/>
        </w:rPr>
      </w:pPr>
      <w:r>
        <w:rPr>
          <w:rFonts w:hint="eastAsia" w:ascii="仿宋" w:hAnsi="仿宋" w:eastAsia="仿宋" w:cstheme="minorBidi"/>
          <w:sz w:val="30"/>
          <w:szCs w:val="30"/>
        </w:rPr>
        <w:t>本项赛事持续进行两天，选手第一天上午报道，下午召开赛前说明会和场次抽签活动、并安排选手熟悉赛场；第二天进行比赛</w:t>
      </w:r>
      <w:r>
        <w:rPr>
          <w:rFonts w:hint="eastAsia" w:ascii="仿宋" w:hAnsi="仿宋" w:eastAsia="仿宋"/>
          <w:color w:val="000000"/>
          <w:sz w:val="30"/>
          <w:szCs w:val="30"/>
        </w:rPr>
        <w:t>。比赛时间进度如下图所示。</w:t>
      </w:r>
    </w:p>
    <w:tbl>
      <w:tblPr>
        <w:tblStyle w:val="11"/>
        <w:tblW w:w="9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0"/>
        <w:gridCol w:w="2261"/>
        <w:gridCol w:w="5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Align w:val="center"/>
          </w:tcPr>
          <w:p>
            <w:pPr>
              <w:jc w:val="center"/>
              <w:rPr>
                <w:rStyle w:val="23"/>
                <w:rFonts w:hint="eastAsia" w:ascii="方正黑体_GBK" w:hAnsi="方正黑体_GBK" w:eastAsia="方正黑体_GBK" w:cs="方正黑体_GBK"/>
                <w:bCs/>
                <w:sz w:val="24"/>
              </w:rPr>
            </w:pPr>
            <w:r>
              <w:rPr>
                <w:rStyle w:val="23"/>
                <w:rFonts w:hint="eastAsia" w:ascii="方正黑体_GBK" w:hAnsi="方正黑体_GBK" w:eastAsia="方正黑体_GBK" w:cs="方正黑体_GBK"/>
                <w:bCs/>
                <w:sz w:val="24"/>
              </w:rPr>
              <w:t>日程</w:t>
            </w:r>
          </w:p>
        </w:tc>
        <w:tc>
          <w:tcPr>
            <w:tcW w:w="2261" w:type="dxa"/>
            <w:vAlign w:val="center"/>
          </w:tcPr>
          <w:p>
            <w:pPr>
              <w:jc w:val="center"/>
              <w:rPr>
                <w:rStyle w:val="23"/>
                <w:rFonts w:hint="eastAsia" w:ascii="方正黑体_GBK" w:hAnsi="方正黑体_GBK" w:eastAsia="方正黑体_GBK" w:cs="方正黑体_GBK"/>
                <w:bCs/>
                <w:sz w:val="24"/>
              </w:rPr>
            </w:pPr>
            <w:r>
              <w:rPr>
                <w:rStyle w:val="23"/>
                <w:rFonts w:hint="eastAsia" w:ascii="方正黑体_GBK" w:hAnsi="方正黑体_GBK" w:eastAsia="方正黑体_GBK" w:cs="方正黑体_GBK"/>
                <w:bCs/>
                <w:sz w:val="24"/>
              </w:rPr>
              <w:t>时间</w:t>
            </w:r>
          </w:p>
        </w:tc>
        <w:tc>
          <w:tcPr>
            <w:tcW w:w="5591" w:type="dxa"/>
            <w:vAlign w:val="center"/>
          </w:tcPr>
          <w:p>
            <w:pPr>
              <w:jc w:val="center"/>
              <w:rPr>
                <w:rStyle w:val="23"/>
                <w:rFonts w:hint="eastAsia" w:ascii="方正黑体_GBK" w:hAnsi="方正黑体_GBK" w:eastAsia="方正黑体_GBK" w:cs="方正黑体_GBK"/>
                <w:bCs/>
                <w:sz w:val="24"/>
              </w:rPr>
            </w:pPr>
            <w:r>
              <w:rPr>
                <w:rStyle w:val="23"/>
                <w:rFonts w:hint="eastAsia" w:ascii="方正黑体_GBK" w:hAnsi="方正黑体_GBK" w:eastAsia="方正黑体_GBK" w:cs="方正黑体_GBK"/>
                <w:bCs/>
                <w:sz w:val="24"/>
              </w:rPr>
              <w:t>具体安排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Merge w:val="restart"/>
            <w:vAlign w:val="center"/>
          </w:tcPr>
          <w:p>
            <w:pPr>
              <w:snapToGrid w:val="0"/>
              <w:jc w:val="center"/>
              <w:rPr>
                <w:rStyle w:val="23"/>
                <w:rFonts w:ascii="仿宋_GB2312" w:hAnsi="仿宋_GB2312" w:eastAsia="仿宋_GB2312"/>
                <w:sz w:val="24"/>
              </w:rPr>
            </w:pPr>
            <w:r>
              <w:rPr>
                <w:rStyle w:val="23"/>
                <w:rFonts w:hint="eastAsia" w:ascii="仿宋_GB2312" w:hAnsi="仿宋_GB2312" w:eastAsia="仿宋_GB2312"/>
                <w:sz w:val="24"/>
              </w:rPr>
              <w:t>5月21日</w:t>
            </w:r>
          </w:p>
        </w:tc>
        <w:tc>
          <w:tcPr>
            <w:tcW w:w="2261" w:type="dxa"/>
            <w:vAlign w:val="center"/>
          </w:tcPr>
          <w:p>
            <w:pPr>
              <w:snapToGrid w:val="0"/>
              <w:jc w:val="center"/>
              <w:rPr>
                <w:rStyle w:val="23"/>
                <w:rFonts w:ascii="仿宋_GB2312" w:hAnsi="仿宋_GB2312" w:eastAsia="仿宋_GB2312"/>
                <w:sz w:val="24"/>
              </w:rPr>
            </w:pPr>
            <w:r>
              <w:rPr>
                <w:rStyle w:val="23"/>
                <w:rFonts w:ascii="仿宋_GB2312" w:hAnsi="仿宋_GB2312" w:eastAsia="仿宋_GB2312"/>
                <w:sz w:val="24"/>
              </w:rPr>
              <w:t>8:00-14:00</w:t>
            </w:r>
          </w:p>
        </w:tc>
        <w:tc>
          <w:tcPr>
            <w:tcW w:w="5591" w:type="dxa"/>
            <w:vAlign w:val="center"/>
          </w:tcPr>
          <w:p>
            <w:pPr>
              <w:snapToGrid w:val="0"/>
              <w:jc w:val="center"/>
              <w:rPr>
                <w:rStyle w:val="23"/>
                <w:rFonts w:ascii="仿宋_GB2312" w:hAnsi="仿宋_GB2312" w:eastAsia="仿宋_GB2312"/>
                <w:sz w:val="24"/>
              </w:rPr>
            </w:pPr>
            <w:r>
              <w:rPr>
                <w:rStyle w:val="23"/>
                <w:rFonts w:ascii="仿宋_GB2312" w:hAnsi="仿宋_GB2312" w:eastAsia="仿宋_GB2312"/>
                <w:sz w:val="24"/>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Merge w:val="continue"/>
            <w:vAlign w:val="center"/>
          </w:tcPr>
          <w:p>
            <w:pPr>
              <w:snapToGrid w:val="0"/>
              <w:jc w:val="center"/>
              <w:rPr>
                <w:rStyle w:val="23"/>
                <w:rFonts w:ascii="仿宋_GB2312" w:hAnsi="仿宋_GB2312" w:eastAsia="仿宋_GB2312"/>
                <w:sz w:val="24"/>
              </w:rPr>
            </w:pPr>
          </w:p>
        </w:tc>
        <w:tc>
          <w:tcPr>
            <w:tcW w:w="2261" w:type="dxa"/>
            <w:vAlign w:val="center"/>
          </w:tcPr>
          <w:p>
            <w:pPr>
              <w:snapToGrid w:val="0"/>
              <w:jc w:val="center"/>
              <w:rPr>
                <w:rStyle w:val="23"/>
                <w:rFonts w:ascii="仿宋_GB2312" w:hAnsi="仿宋_GB2312" w:eastAsia="仿宋_GB2312"/>
                <w:sz w:val="24"/>
              </w:rPr>
            </w:pPr>
            <w:r>
              <w:rPr>
                <w:rStyle w:val="23"/>
                <w:rFonts w:ascii="仿宋_GB2312" w:hAnsi="仿宋_GB2312" w:eastAsia="仿宋_GB2312"/>
                <w:sz w:val="24"/>
              </w:rPr>
              <w:t>1</w:t>
            </w:r>
            <w:r>
              <w:rPr>
                <w:rStyle w:val="23"/>
                <w:rFonts w:hint="eastAsia" w:ascii="仿宋_GB2312" w:hAnsi="仿宋_GB2312" w:eastAsia="仿宋_GB2312"/>
                <w:sz w:val="24"/>
              </w:rPr>
              <w:t>5</w:t>
            </w:r>
            <w:r>
              <w:rPr>
                <w:rStyle w:val="23"/>
                <w:rFonts w:ascii="仿宋_GB2312" w:hAnsi="仿宋_GB2312" w:eastAsia="仿宋_GB2312"/>
                <w:sz w:val="24"/>
              </w:rPr>
              <w:t>:30-1</w:t>
            </w:r>
            <w:r>
              <w:rPr>
                <w:rStyle w:val="23"/>
                <w:rFonts w:hint="eastAsia" w:ascii="仿宋_GB2312" w:hAnsi="仿宋_GB2312" w:eastAsia="仿宋_GB2312"/>
                <w:sz w:val="24"/>
              </w:rPr>
              <w:t>6</w:t>
            </w:r>
            <w:r>
              <w:rPr>
                <w:rStyle w:val="23"/>
                <w:rFonts w:ascii="仿宋_GB2312" w:hAnsi="仿宋_GB2312" w:eastAsia="仿宋_GB2312"/>
                <w:sz w:val="24"/>
              </w:rPr>
              <w:t>:00</w:t>
            </w:r>
          </w:p>
        </w:tc>
        <w:tc>
          <w:tcPr>
            <w:tcW w:w="5591" w:type="dxa"/>
            <w:vAlign w:val="center"/>
          </w:tcPr>
          <w:p>
            <w:pPr>
              <w:snapToGrid w:val="0"/>
              <w:rPr>
                <w:rStyle w:val="23"/>
                <w:rFonts w:ascii="仿宋_GB2312" w:hAnsi="仿宋_GB2312" w:eastAsia="仿宋_GB2312"/>
                <w:sz w:val="24"/>
              </w:rPr>
            </w:pPr>
            <w:r>
              <w:rPr>
                <w:rStyle w:val="23"/>
                <w:rFonts w:ascii="仿宋_GB2312" w:hAnsi="仿宋_GB2312" w:eastAsia="仿宋_GB2312"/>
                <w:sz w:val="24"/>
              </w:rPr>
              <w:t>承办校领导、各参赛队领队、指导教师、参赛选手参加开赛式。</w:t>
            </w:r>
          </w:p>
          <w:p>
            <w:pPr>
              <w:snapToGrid w:val="0"/>
              <w:rPr>
                <w:rStyle w:val="23"/>
                <w:rFonts w:ascii="仿宋_GB2312" w:hAnsi="仿宋_GB2312" w:eastAsia="仿宋_GB2312"/>
                <w:sz w:val="24"/>
              </w:rPr>
            </w:pPr>
            <w:r>
              <w:rPr>
                <w:rStyle w:val="23"/>
                <w:rFonts w:ascii="仿宋_GB2312" w:hAnsi="仿宋_GB2312" w:eastAsia="仿宋_GB2312"/>
                <w:sz w:val="24"/>
              </w:rPr>
              <w:t>观察员、嘉宾、观摩教师和企业代表参加开赛式。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Merge w:val="continue"/>
            <w:vAlign w:val="center"/>
          </w:tcPr>
          <w:p>
            <w:pPr>
              <w:snapToGrid w:val="0"/>
              <w:jc w:val="center"/>
              <w:rPr>
                <w:rStyle w:val="23"/>
                <w:rFonts w:ascii="仿宋_GB2312" w:hAnsi="仿宋_GB2312" w:eastAsia="仿宋_GB2312"/>
                <w:sz w:val="24"/>
              </w:rPr>
            </w:pPr>
          </w:p>
        </w:tc>
        <w:tc>
          <w:tcPr>
            <w:tcW w:w="2261" w:type="dxa"/>
            <w:vMerge w:val="restart"/>
            <w:vAlign w:val="center"/>
          </w:tcPr>
          <w:p>
            <w:pPr>
              <w:snapToGrid w:val="0"/>
              <w:jc w:val="center"/>
              <w:rPr>
                <w:rStyle w:val="23"/>
                <w:rFonts w:ascii="仿宋_GB2312" w:hAnsi="仿宋_GB2312" w:eastAsia="仿宋_GB2312"/>
                <w:sz w:val="24"/>
              </w:rPr>
            </w:pPr>
            <w:r>
              <w:rPr>
                <w:rStyle w:val="23"/>
                <w:rFonts w:ascii="仿宋_GB2312" w:hAnsi="仿宋_GB2312" w:eastAsia="仿宋_GB2312"/>
                <w:sz w:val="24"/>
              </w:rPr>
              <w:t>1</w:t>
            </w:r>
            <w:r>
              <w:rPr>
                <w:rStyle w:val="23"/>
                <w:rFonts w:hint="eastAsia" w:ascii="仿宋_GB2312" w:hAnsi="仿宋_GB2312" w:eastAsia="仿宋_GB2312"/>
                <w:sz w:val="24"/>
              </w:rPr>
              <w:t>6</w:t>
            </w:r>
            <w:r>
              <w:rPr>
                <w:rStyle w:val="23"/>
                <w:rFonts w:ascii="仿宋_GB2312" w:hAnsi="仿宋_GB2312" w:eastAsia="仿宋_GB2312"/>
                <w:sz w:val="24"/>
              </w:rPr>
              <w:t>:00-1</w:t>
            </w:r>
            <w:r>
              <w:rPr>
                <w:rStyle w:val="23"/>
                <w:rFonts w:hint="eastAsia" w:ascii="仿宋_GB2312" w:hAnsi="仿宋_GB2312" w:eastAsia="仿宋_GB2312"/>
                <w:sz w:val="24"/>
              </w:rPr>
              <w:t>7</w:t>
            </w:r>
            <w:r>
              <w:rPr>
                <w:rStyle w:val="23"/>
                <w:rFonts w:ascii="仿宋_GB2312" w:hAnsi="仿宋_GB2312" w:eastAsia="仿宋_GB2312"/>
                <w:sz w:val="24"/>
              </w:rPr>
              <w:t>:00</w:t>
            </w:r>
          </w:p>
        </w:tc>
        <w:tc>
          <w:tcPr>
            <w:tcW w:w="5591" w:type="dxa"/>
            <w:vAlign w:val="center"/>
          </w:tcPr>
          <w:p>
            <w:pPr>
              <w:snapToGrid w:val="0"/>
              <w:rPr>
                <w:rStyle w:val="23"/>
                <w:rFonts w:ascii="仿宋_GB2312" w:hAnsi="仿宋_GB2312" w:eastAsia="仿宋_GB2312"/>
                <w:sz w:val="24"/>
              </w:rPr>
            </w:pPr>
            <w:r>
              <w:rPr>
                <w:rStyle w:val="23"/>
                <w:rFonts w:ascii="仿宋_GB2312" w:hAnsi="仿宋_GB2312" w:eastAsia="仿宋_GB2312"/>
                <w:sz w:val="24"/>
              </w:rPr>
              <w:t>领队会及角色抽签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Merge w:val="continue"/>
            <w:vAlign w:val="center"/>
          </w:tcPr>
          <w:p>
            <w:pPr>
              <w:snapToGrid w:val="0"/>
              <w:jc w:val="center"/>
              <w:rPr>
                <w:rStyle w:val="23"/>
                <w:rFonts w:ascii="仿宋_GB2312" w:hAnsi="仿宋_GB2312" w:eastAsia="仿宋_GB2312"/>
                <w:sz w:val="24"/>
              </w:rPr>
            </w:pPr>
          </w:p>
        </w:tc>
        <w:tc>
          <w:tcPr>
            <w:tcW w:w="2261" w:type="dxa"/>
            <w:vMerge w:val="continue"/>
            <w:vAlign w:val="center"/>
          </w:tcPr>
          <w:p>
            <w:pPr>
              <w:snapToGrid w:val="0"/>
              <w:jc w:val="center"/>
              <w:rPr>
                <w:rStyle w:val="23"/>
                <w:rFonts w:ascii="仿宋_GB2312" w:hAnsi="仿宋_GB2312" w:eastAsia="仿宋_GB2312"/>
                <w:sz w:val="24"/>
              </w:rPr>
            </w:pPr>
          </w:p>
        </w:tc>
        <w:tc>
          <w:tcPr>
            <w:tcW w:w="5591" w:type="dxa"/>
            <w:vAlign w:val="center"/>
          </w:tcPr>
          <w:p>
            <w:pPr>
              <w:snapToGrid w:val="0"/>
              <w:rPr>
                <w:rStyle w:val="23"/>
                <w:rFonts w:ascii="仿宋_GB2312" w:hAnsi="仿宋_GB2312" w:eastAsia="仿宋_GB2312"/>
                <w:sz w:val="24"/>
              </w:rPr>
            </w:pPr>
            <w:r>
              <w:rPr>
                <w:rStyle w:val="23"/>
                <w:rFonts w:ascii="仿宋_GB2312" w:hAnsi="仿宋_GB2312" w:eastAsia="仿宋_GB2312"/>
                <w:sz w:val="24"/>
              </w:rPr>
              <w:t>裁判会议</w:t>
            </w:r>
            <w:r>
              <w:rPr>
                <w:rStyle w:val="23"/>
                <w:rFonts w:hint="eastAsia" w:ascii="仿宋_GB2312" w:hAnsi="仿宋_GB2312" w:eastAsia="仿宋_GB2312"/>
                <w:sz w:val="24"/>
              </w:rPr>
              <w:t>，</w:t>
            </w:r>
            <w:r>
              <w:rPr>
                <w:rStyle w:val="23"/>
                <w:rFonts w:ascii="仿宋_GB2312" w:hAnsi="仿宋_GB2312" w:eastAsia="仿宋_GB2312"/>
                <w:sz w:val="24"/>
              </w:rPr>
              <w:t>行业组织领导、专家、裁判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Merge w:val="continue"/>
            <w:vAlign w:val="center"/>
          </w:tcPr>
          <w:p>
            <w:pPr>
              <w:snapToGrid w:val="0"/>
              <w:jc w:val="center"/>
              <w:rPr>
                <w:rStyle w:val="23"/>
                <w:rFonts w:ascii="仿宋_GB2312" w:hAnsi="仿宋_GB2312" w:eastAsia="仿宋_GB2312"/>
                <w:sz w:val="24"/>
              </w:rPr>
            </w:pPr>
          </w:p>
        </w:tc>
        <w:tc>
          <w:tcPr>
            <w:tcW w:w="2261" w:type="dxa"/>
            <w:vAlign w:val="center"/>
          </w:tcPr>
          <w:p>
            <w:pPr>
              <w:snapToGrid w:val="0"/>
              <w:jc w:val="center"/>
              <w:rPr>
                <w:rStyle w:val="23"/>
                <w:rFonts w:ascii="仿宋_GB2312" w:hAnsi="仿宋_GB2312" w:eastAsia="仿宋_GB2312"/>
                <w:sz w:val="24"/>
              </w:rPr>
            </w:pPr>
            <w:r>
              <w:rPr>
                <w:rStyle w:val="23"/>
                <w:rFonts w:ascii="仿宋_GB2312" w:hAnsi="仿宋_GB2312" w:eastAsia="仿宋_GB2312"/>
                <w:sz w:val="24"/>
              </w:rPr>
              <w:t>1</w:t>
            </w:r>
            <w:r>
              <w:rPr>
                <w:rStyle w:val="23"/>
                <w:rFonts w:hint="eastAsia" w:ascii="仿宋_GB2312" w:hAnsi="仿宋_GB2312" w:eastAsia="仿宋_GB2312"/>
                <w:sz w:val="24"/>
              </w:rPr>
              <w:t>7</w:t>
            </w:r>
            <w:r>
              <w:rPr>
                <w:rStyle w:val="23"/>
                <w:rFonts w:ascii="仿宋_GB2312" w:hAnsi="仿宋_GB2312" w:eastAsia="仿宋_GB2312"/>
                <w:sz w:val="24"/>
              </w:rPr>
              <w:t>:00-17:</w:t>
            </w:r>
            <w:r>
              <w:rPr>
                <w:rStyle w:val="23"/>
                <w:rFonts w:hint="eastAsia" w:ascii="仿宋_GB2312" w:hAnsi="仿宋_GB2312" w:eastAsia="仿宋_GB2312"/>
                <w:sz w:val="24"/>
              </w:rPr>
              <w:t>3</w:t>
            </w:r>
            <w:r>
              <w:rPr>
                <w:rStyle w:val="23"/>
                <w:rFonts w:ascii="仿宋_GB2312" w:hAnsi="仿宋_GB2312" w:eastAsia="仿宋_GB2312"/>
                <w:sz w:val="24"/>
              </w:rPr>
              <w:t>0</w:t>
            </w:r>
          </w:p>
        </w:tc>
        <w:tc>
          <w:tcPr>
            <w:tcW w:w="5591" w:type="dxa"/>
            <w:vAlign w:val="center"/>
          </w:tcPr>
          <w:p>
            <w:pPr>
              <w:snapToGrid w:val="0"/>
              <w:rPr>
                <w:rStyle w:val="23"/>
                <w:rFonts w:ascii="仿宋_GB2312" w:hAnsi="仿宋_GB2312" w:eastAsia="仿宋_GB2312"/>
                <w:sz w:val="24"/>
              </w:rPr>
            </w:pPr>
            <w:r>
              <w:rPr>
                <w:rStyle w:val="23"/>
                <w:rFonts w:ascii="仿宋_GB2312" w:hAnsi="仿宋_GB2312" w:eastAsia="仿宋_GB2312"/>
                <w:sz w:val="24"/>
              </w:rPr>
              <w:t>各参赛队领队、指导教师、参赛选手参观赛场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Merge w:val="restart"/>
            <w:vAlign w:val="center"/>
          </w:tcPr>
          <w:p>
            <w:pPr>
              <w:snapToGrid w:val="0"/>
              <w:jc w:val="center"/>
              <w:rPr>
                <w:rStyle w:val="23"/>
                <w:rFonts w:ascii="仿宋_GB2312" w:hAnsi="仿宋_GB2312" w:eastAsia="仿宋_GB2312"/>
                <w:sz w:val="24"/>
              </w:rPr>
            </w:pPr>
            <w:r>
              <w:rPr>
                <w:rStyle w:val="23"/>
                <w:rFonts w:hint="eastAsia" w:ascii="仿宋_GB2312" w:hAnsi="仿宋_GB2312" w:eastAsia="仿宋_GB2312"/>
                <w:sz w:val="24"/>
              </w:rPr>
              <w:t>5月22日</w:t>
            </w:r>
          </w:p>
        </w:tc>
        <w:tc>
          <w:tcPr>
            <w:tcW w:w="2261" w:type="dxa"/>
            <w:vAlign w:val="center"/>
          </w:tcPr>
          <w:p>
            <w:pPr>
              <w:snapToGrid w:val="0"/>
              <w:jc w:val="center"/>
              <w:rPr>
                <w:rStyle w:val="23"/>
                <w:rFonts w:ascii="仿宋_GB2312" w:hAnsi="仿宋_GB2312" w:eastAsia="仿宋_GB2312"/>
                <w:sz w:val="24"/>
              </w:rPr>
            </w:pPr>
            <w:r>
              <w:rPr>
                <w:rStyle w:val="23"/>
                <w:rFonts w:hint="eastAsia" w:ascii="仿宋_GB2312" w:hAnsi="仿宋_GB2312" w:eastAsia="仿宋_GB2312"/>
                <w:sz w:val="24"/>
              </w:rPr>
              <w:t>8:00-8</w:t>
            </w:r>
            <w:r>
              <w:rPr>
                <w:rStyle w:val="23"/>
                <w:rFonts w:ascii="仿宋_GB2312" w:hAnsi="仿宋_GB2312" w:eastAsia="仿宋_GB2312"/>
                <w:sz w:val="24"/>
              </w:rPr>
              <w:t>:</w:t>
            </w:r>
            <w:r>
              <w:rPr>
                <w:rStyle w:val="23"/>
                <w:rFonts w:hint="eastAsia" w:ascii="仿宋_GB2312" w:hAnsi="仿宋_GB2312" w:eastAsia="仿宋_GB2312"/>
                <w:sz w:val="24"/>
              </w:rPr>
              <w:t>2</w:t>
            </w:r>
            <w:r>
              <w:rPr>
                <w:rStyle w:val="23"/>
                <w:rFonts w:ascii="仿宋_GB2312" w:hAnsi="仿宋_GB2312" w:eastAsia="仿宋_GB2312"/>
                <w:sz w:val="24"/>
              </w:rPr>
              <w:t>0</w:t>
            </w:r>
          </w:p>
        </w:tc>
        <w:tc>
          <w:tcPr>
            <w:tcW w:w="5591" w:type="dxa"/>
            <w:vAlign w:val="center"/>
          </w:tcPr>
          <w:p>
            <w:pPr>
              <w:snapToGrid w:val="0"/>
              <w:rPr>
                <w:rStyle w:val="23"/>
                <w:rFonts w:ascii="仿宋_GB2312" w:hAnsi="仿宋_GB2312" w:eastAsia="仿宋_GB2312"/>
                <w:sz w:val="24"/>
              </w:rPr>
            </w:pPr>
            <w:r>
              <w:rPr>
                <w:rStyle w:val="23"/>
                <w:rFonts w:ascii="仿宋_GB2312" w:hAnsi="仿宋_GB2312" w:eastAsia="仿宋_GB2312"/>
                <w:sz w:val="24"/>
              </w:rPr>
              <w:t>参赛选手安检、身份确认、进行加密检录</w:t>
            </w:r>
            <w:r>
              <w:rPr>
                <w:rFonts w:hint="eastAsia" w:ascii="仿宋_GB2312" w:hAnsi="仿宋_GB2312" w:eastAsia="仿宋_GB2312" w:cs="仿宋_GB2312"/>
                <w:sz w:val="24"/>
              </w:rPr>
              <w:t>（1次加密）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Merge w:val="continue"/>
            <w:vAlign w:val="center"/>
          </w:tcPr>
          <w:p>
            <w:pPr>
              <w:snapToGrid w:val="0"/>
              <w:jc w:val="center"/>
              <w:rPr>
                <w:rStyle w:val="23"/>
                <w:rFonts w:ascii="仿宋_GB2312" w:hAnsi="仿宋_GB2312" w:eastAsia="仿宋_GB2312"/>
                <w:sz w:val="24"/>
              </w:rPr>
            </w:pPr>
          </w:p>
        </w:tc>
        <w:tc>
          <w:tcPr>
            <w:tcW w:w="2261" w:type="dxa"/>
            <w:vAlign w:val="center"/>
          </w:tcPr>
          <w:p>
            <w:pPr>
              <w:snapToGrid w:val="0"/>
              <w:jc w:val="center"/>
              <w:rPr>
                <w:rStyle w:val="23"/>
                <w:rFonts w:ascii="仿宋_GB2312" w:hAnsi="仿宋_GB2312" w:eastAsia="仿宋_GB2312"/>
                <w:sz w:val="24"/>
              </w:rPr>
            </w:pPr>
            <w:r>
              <w:rPr>
                <w:rFonts w:hint="eastAsia" w:ascii="仿宋_GB2312" w:hAnsi="仿宋_GB2312" w:eastAsia="仿宋_GB2312" w:cs="仿宋_GB2312"/>
                <w:sz w:val="24"/>
              </w:rPr>
              <w:t>8:20-8:45</w:t>
            </w:r>
          </w:p>
        </w:tc>
        <w:tc>
          <w:tcPr>
            <w:tcW w:w="5591" w:type="dxa"/>
            <w:vAlign w:val="center"/>
          </w:tcPr>
          <w:p>
            <w:pPr>
              <w:snapToGrid w:val="0"/>
              <w:rPr>
                <w:rStyle w:val="23"/>
                <w:rFonts w:ascii="仿宋_GB2312" w:hAnsi="仿宋_GB2312" w:eastAsia="仿宋_GB2312"/>
                <w:sz w:val="24"/>
              </w:rPr>
            </w:pPr>
            <w:r>
              <w:rPr>
                <w:rFonts w:hint="eastAsia" w:ascii="仿宋_GB2312" w:hAnsi="仿宋_GB2312" w:eastAsia="仿宋_GB2312" w:cs="仿宋_GB2312"/>
                <w:sz w:val="24"/>
              </w:rPr>
              <w:t>分赛场抽取座位号（2次加密）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Merge w:val="continue"/>
            <w:vAlign w:val="center"/>
          </w:tcPr>
          <w:p>
            <w:pPr>
              <w:snapToGrid w:val="0"/>
              <w:jc w:val="center"/>
              <w:rPr>
                <w:rStyle w:val="23"/>
                <w:rFonts w:ascii="仿宋_GB2312" w:hAnsi="仿宋_GB2312" w:eastAsia="仿宋_GB2312"/>
                <w:sz w:val="24"/>
              </w:rPr>
            </w:pPr>
          </w:p>
        </w:tc>
        <w:tc>
          <w:tcPr>
            <w:tcW w:w="2261" w:type="dxa"/>
            <w:vAlign w:val="center"/>
          </w:tcPr>
          <w:p>
            <w:pPr>
              <w:snapToGrid w:val="0"/>
              <w:jc w:val="center"/>
              <w:rPr>
                <w:rStyle w:val="23"/>
                <w:rFonts w:ascii="仿宋_GB2312" w:hAnsi="仿宋_GB2312" w:eastAsia="仿宋_GB2312"/>
                <w:sz w:val="24"/>
              </w:rPr>
            </w:pPr>
            <w:r>
              <w:rPr>
                <w:rStyle w:val="23"/>
                <w:rFonts w:hint="eastAsia" w:ascii="仿宋_GB2312" w:hAnsi="仿宋_GB2312" w:eastAsia="仿宋_GB2312"/>
                <w:sz w:val="24"/>
              </w:rPr>
              <w:t>9</w:t>
            </w:r>
            <w:r>
              <w:rPr>
                <w:rStyle w:val="23"/>
                <w:rFonts w:ascii="仿宋_GB2312" w:hAnsi="仿宋_GB2312" w:eastAsia="仿宋_GB2312"/>
                <w:sz w:val="24"/>
              </w:rPr>
              <w:t>:</w:t>
            </w:r>
            <w:r>
              <w:rPr>
                <w:rStyle w:val="23"/>
                <w:rFonts w:hint="eastAsia" w:ascii="仿宋_GB2312" w:hAnsi="仿宋_GB2312" w:eastAsia="仿宋_GB2312"/>
                <w:sz w:val="24"/>
              </w:rPr>
              <w:t>00</w:t>
            </w:r>
            <w:r>
              <w:rPr>
                <w:rStyle w:val="23"/>
                <w:rFonts w:ascii="仿宋_GB2312" w:hAnsi="仿宋_GB2312" w:eastAsia="仿宋_GB2312"/>
                <w:sz w:val="24"/>
              </w:rPr>
              <w:t>-9:</w:t>
            </w:r>
            <w:r>
              <w:rPr>
                <w:rStyle w:val="23"/>
                <w:rFonts w:hint="eastAsia" w:ascii="仿宋_GB2312" w:hAnsi="仿宋_GB2312" w:eastAsia="仿宋_GB2312"/>
                <w:sz w:val="24"/>
              </w:rPr>
              <w:t>30</w:t>
            </w:r>
          </w:p>
        </w:tc>
        <w:tc>
          <w:tcPr>
            <w:tcW w:w="5591"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基础模块竞赛</w:t>
            </w:r>
          </w:p>
          <w:p>
            <w:pPr>
              <w:snapToGrid w:val="0"/>
              <w:rPr>
                <w:rStyle w:val="23"/>
                <w:rFonts w:ascii="仿宋_GB2312" w:hAnsi="仿宋_GB2312" w:eastAsia="仿宋_GB2312"/>
                <w:sz w:val="24"/>
              </w:rPr>
            </w:pPr>
            <w:r>
              <w:rPr>
                <w:rFonts w:hint="eastAsia" w:ascii="仿宋_GB2312" w:hAnsi="仿宋_GB2312" w:eastAsia="仿宋_GB2312" w:cs="仿宋_GB2312"/>
                <w:sz w:val="24"/>
              </w:rPr>
              <w:t>（基础模块、应用设计模块时间可打通）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Merge w:val="continue"/>
            <w:vAlign w:val="center"/>
          </w:tcPr>
          <w:p>
            <w:pPr>
              <w:snapToGrid w:val="0"/>
              <w:jc w:val="center"/>
              <w:rPr>
                <w:rStyle w:val="23"/>
                <w:rFonts w:ascii="仿宋_GB2312" w:hAnsi="仿宋_GB2312" w:eastAsia="仿宋_GB2312"/>
                <w:sz w:val="24"/>
              </w:rPr>
            </w:pPr>
          </w:p>
        </w:tc>
        <w:tc>
          <w:tcPr>
            <w:tcW w:w="2261" w:type="dxa"/>
            <w:vAlign w:val="center"/>
          </w:tcPr>
          <w:p>
            <w:pPr>
              <w:snapToGrid w:val="0"/>
              <w:jc w:val="center"/>
              <w:rPr>
                <w:rStyle w:val="23"/>
                <w:rFonts w:ascii="仿宋_GB2312" w:hAnsi="仿宋_GB2312" w:eastAsia="仿宋_GB2312"/>
                <w:sz w:val="24"/>
              </w:rPr>
            </w:pPr>
            <w:r>
              <w:rPr>
                <w:rFonts w:hint="eastAsia" w:ascii="仿宋_GB2312" w:hAnsi="仿宋_GB2312" w:eastAsia="仿宋_GB2312" w:cs="仿宋_GB2312"/>
                <w:sz w:val="24"/>
              </w:rPr>
              <w:t>9:30-12:00</w:t>
            </w:r>
          </w:p>
        </w:tc>
        <w:tc>
          <w:tcPr>
            <w:tcW w:w="5591" w:type="dxa"/>
            <w:vAlign w:val="center"/>
          </w:tcPr>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应用设计模块竞赛</w:t>
            </w:r>
          </w:p>
          <w:p>
            <w:pPr>
              <w:snapToGrid w:val="0"/>
              <w:rPr>
                <w:rStyle w:val="23"/>
                <w:rFonts w:ascii="仿宋_GB2312" w:hAnsi="仿宋_GB2312" w:eastAsia="仿宋_GB2312"/>
                <w:sz w:val="24"/>
              </w:rPr>
            </w:pPr>
            <w:r>
              <w:rPr>
                <w:rFonts w:hint="eastAsia" w:ascii="仿宋_GB2312" w:hAnsi="仿宋_GB2312" w:eastAsia="仿宋_GB2312" w:cs="仿宋_GB2312"/>
                <w:sz w:val="24"/>
              </w:rPr>
              <w:t>（基础模块、应用设计模块时间可打通）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Merge w:val="continue"/>
            <w:vAlign w:val="center"/>
          </w:tcPr>
          <w:p>
            <w:pPr>
              <w:snapToGrid w:val="0"/>
              <w:jc w:val="center"/>
              <w:rPr>
                <w:rStyle w:val="23"/>
                <w:rFonts w:ascii="仿宋_GB2312" w:hAnsi="仿宋_GB2312" w:eastAsia="仿宋_GB2312"/>
                <w:sz w:val="24"/>
              </w:rPr>
            </w:pPr>
          </w:p>
        </w:tc>
        <w:tc>
          <w:tcPr>
            <w:tcW w:w="2261" w:type="dxa"/>
            <w:vAlign w:val="center"/>
          </w:tcPr>
          <w:p>
            <w:pPr>
              <w:snapToGrid w:val="0"/>
              <w:jc w:val="center"/>
              <w:rPr>
                <w:rStyle w:val="23"/>
                <w:rFonts w:ascii="仿宋_GB2312" w:hAnsi="仿宋_GB2312" w:eastAsia="仿宋_GB2312"/>
                <w:sz w:val="24"/>
              </w:rPr>
            </w:pPr>
            <w:r>
              <w:rPr>
                <w:rStyle w:val="23"/>
                <w:rFonts w:ascii="仿宋_GB2312" w:hAnsi="仿宋_GB2312" w:eastAsia="仿宋_GB2312"/>
                <w:sz w:val="24"/>
              </w:rPr>
              <w:t>1</w:t>
            </w:r>
            <w:r>
              <w:rPr>
                <w:rStyle w:val="23"/>
                <w:rFonts w:hint="eastAsia" w:ascii="仿宋_GB2312" w:hAnsi="仿宋_GB2312" w:eastAsia="仿宋_GB2312"/>
                <w:sz w:val="24"/>
              </w:rPr>
              <w:t>2</w:t>
            </w:r>
            <w:r>
              <w:rPr>
                <w:rStyle w:val="23"/>
                <w:rFonts w:ascii="仿宋_GB2312" w:hAnsi="仿宋_GB2312" w:eastAsia="仿宋_GB2312"/>
                <w:sz w:val="24"/>
              </w:rPr>
              <w:t>:00-1</w:t>
            </w:r>
            <w:r>
              <w:rPr>
                <w:rStyle w:val="23"/>
                <w:rFonts w:hint="eastAsia" w:ascii="仿宋_GB2312" w:hAnsi="仿宋_GB2312" w:eastAsia="仿宋_GB2312"/>
                <w:sz w:val="24"/>
              </w:rPr>
              <w:t>3</w:t>
            </w:r>
            <w:r>
              <w:rPr>
                <w:rStyle w:val="23"/>
                <w:rFonts w:ascii="仿宋_GB2312" w:hAnsi="仿宋_GB2312" w:eastAsia="仿宋_GB2312"/>
                <w:sz w:val="24"/>
              </w:rPr>
              <w:t>:</w:t>
            </w:r>
            <w:r>
              <w:rPr>
                <w:rStyle w:val="23"/>
                <w:rFonts w:hint="eastAsia" w:ascii="仿宋_GB2312" w:hAnsi="仿宋_GB2312" w:eastAsia="仿宋_GB2312"/>
                <w:sz w:val="24"/>
              </w:rPr>
              <w:t>0</w:t>
            </w:r>
            <w:r>
              <w:rPr>
                <w:rStyle w:val="23"/>
                <w:rFonts w:ascii="仿宋_GB2312" w:hAnsi="仿宋_GB2312" w:eastAsia="仿宋_GB2312"/>
                <w:sz w:val="24"/>
              </w:rPr>
              <w:t>0</w:t>
            </w:r>
          </w:p>
        </w:tc>
        <w:tc>
          <w:tcPr>
            <w:tcW w:w="5591" w:type="dxa"/>
            <w:vAlign w:val="center"/>
          </w:tcPr>
          <w:p>
            <w:pPr>
              <w:snapToGrid w:val="0"/>
              <w:rPr>
                <w:rStyle w:val="23"/>
                <w:rFonts w:ascii="仿宋_GB2312" w:hAnsi="仿宋_GB2312" w:eastAsia="仿宋_GB2312"/>
                <w:sz w:val="24"/>
              </w:rPr>
            </w:pPr>
            <w:r>
              <w:rPr>
                <w:rFonts w:hint="eastAsia" w:ascii="仿宋_GB2312" w:hAnsi="仿宋_GB2312" w:eastAsia="仿宋_GB2312" w:cs="仿宋_GB2312"/>
                <w:sz w:val="24"/>
              </w:rPr>
              <w:t>作品加密、午餐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Merge w:val="continue"/>
            <w:vAlign w:val="center"/>
          </w:tcPr>
          <w:p>
            <w:pPr>
              <w:snapToGrid w:val="0"/>
              <w:jc w:val="center"/>
              <w:rPr>
                <w:rStyle w:val="23"/>
                <w:rFonts w:ascii="仿宋_GB2312" w:hAnsi="仿宋_GB2312" w:eastAsia="仿宋_GB2312"/>
                <w:sz w:val="24"/>
              </w:rPr>
            </w:pPr>
          </w:p>
        </w:tc>
        <w:tc>
          <w:tcPr>
            <w:tcW w:w="2261" w:type="dxa"/>
            <w:vAlign w:val="center"/>
          </w:tcPr>
          <w:p>
            <w:pPr>
              <w:snapToGrid w:val="0"/>
              <w:jc w:val="center"/>
              <w:rPr>
                <w:rStyle w:val="23"/>
                <w:rFonts w:ascii="仿宋_GB2312" w:hAnsi="仿宋_GB2312" w:eastAsia="仿宋_GB2312"/>
                <w:sz w:val="24"/>
              </w:rPr>
            </w:pPr>
            <w:r>
              <w:rPr>
                <w:rStyle w:val="23"/>
                <w:rFonts w:ascii="仿宋_GB2312" w:hAnsi="仿宋_GB2312" w:eastAsia="仿宋_GB2312"/>
                <w:sz w:val="24"/>
              </w:rPr>
              <w:t>1</w:t>
            </w:r>
            <w:r>
              <w:rPr>
                <w:rStyle w:val="23"/>
                <w:rFonts w:hint="eastAsia" w:ascii="仿宋_GB2312" w:hAnsi="仿宋_GB2312" w:eastAsia="仿宋_GB2312"/>
                <w:sz w:val="24"/>
              </w:rPr>
              <w:t>3</w:t>
            </w:r>
            <w:r>
              <w:rPr>
                <w:rStyle w:val="23"/>
                <w:rFonts w:ascii="仿宋_GB2312" w:hAnsi="仿宋_GB2312" w:eastAsia="仿宋_GB2312"/>
                <w:sz w:val="24"/>
              </w:rPr>
              <w:t>:</w:t>
            </w:r>
            <w:r>
              <w:rPr>
                <w:rStyle w:val="23"/>
                <w:rFonts w:hint="eastAsia" w:ascii="仿宋_GB2312" w:hAnsi="仿宋_GB2312" w:eastAsia="仿宋_GB2312"/>
                <w:sz w:val="24"/>
              </w:rPr>
              <w:t>3</w:t>
            </w:r>
            <w:r>
              <w:rPr>
                <w:rStyle w:val="23"/>
                <w:rFonts w:ascii="仿宋_GB2312" w:hAnsi="仿宋_GB2312" w:eastAsia="仿宋_GB2312"/>
                <w:sz w:val="24"/>
              </w:rPr>
              <w:t>0-1</w:t>
            </w:r>
            <w:r>
              <w:rPr>
                <w:rStyle w:val="23"/>
                <w:rFonts w:hint="eastAsia" w:ascii="仿宋_GB2312" w:hAnsi="仿宋_GB2312" w:eastAsia="仿宋_GB2312"/>
                <w:sz w:val="24"/>
              </w:rPr>
              <w:t>7</w:t>
            </w:r>
            <w:r>
              <w:rPr>
                <w:rStyle w:val="23"/>
                <w:rFonts w:ascii="仿宋_GB2312" w:hAnsi="仿宋_GB2312" w:eastAsia="仿宋_GB2312"/>
                <w:sz w:val="24"/>
              </w:rPr>
              <w:t>:</w:t>
            </w:r>
            <w:r>
              <w:rPr>
                <w:rStyle w:val="23"/>
                <w:rFonts w:hint="eastAsia" w:ascii="仿宋_GB2312" w:hAnsi="仿宋_GB2312" w:eastAsia="仿宋_GB2312"/>
                <w:sz w:val="24"/>
              </w:rPr>
              <w:t>3</w:t>
            </w:r>
            <w:r>
              <w:rPr>
                <w:rStyle w:val="23"/>
                <w:rFonts w:ascii="仿宋_GB2312" w:hAnsi="仿宋_GB2312" w:eastAsia="仿宋_GB2312"/>
                <w:sz w:val="24"/>
              </w:rPr>
              <w:t>0</w:t>
            </w:r>
          </w:p>
        </w:tc>
        <w:tc>
          <w:tcPr>
            <w:tcW w:w="5591" w:type="dxa"/>
            <w:vAlign w:val="center"/>
          </w:tcPr>
          <w:p>
            <w:pPr>
              <w:snapToGrid w:val="0"/>
              <w:rPr>
                <w:rStyle w:val="23"/>
                <w:rFonts w:ascii="仿宋_GB2312" w:hAnsi="仿宋_GB2312" w:eastAsia="仿宋_GB2312"/>
                <w:sz w:val="24"/>
              </w:rPr>
            </w:pPr>
            <w:r>
              <w:rPr>
                <w:rFonts w:hint="eastAsia" w:ascii="仿宋_GB2312" w:hAnsi="仿宋_GB2312" w:eastAsia="仿宋_GB2312" w:cs="仿宋_GB2312"/>
                <w:sz w:val="24"/>
              </w:rPr>
              <w:t>成绩评定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Merge w:val="continue"/>
            <w:vAlign w:val="center"/>
          </w:tcPr>
          <w:p>
            <w:pPr>
              <w:snapToGrid w:val="0"/>
              <w:jc w:val="center"/>
              <w:rPr>
                <w:rStyle w:val="23"/>
                <w:rFonts w:ascii="仿宋_GB2312" w:hAnsi="仿宋_GB2312" w:eastAsia="仿宋_GB2312"/>
                <w:sz w:val="24"/>
              </w:rPr>
            </w:pPr>
          </w:p>
        </w:tc>
        <w:tc>
          <w:tcPr>
            <w:tcW w:w="2261" w:type="dxa"/>
            <w:vAlign w:val="center"/>
          </w:tcPr>
          <w:p>
            <w:pPr>
              <w:snapToGrid w:val="0"/>
              <w:jc w:val="center"/>
              <w:rPr>
                <w:rStyle w:val="23"/>
                <w:rFonts w:ascii="仿宋_GB2312" w:hAnsi="仿宋_GB2312" w:eastAsia="仿宋_GB2312"/>
                <w:sz w:val="24"/>
              </w:rPr>
            </w:pPr>
            <w:r>
              <w:rPr>
                <w:rStyle w:val="23"/>
                <w:rFonts w:hint="eastAsia" w:ascii="仿宋_GB2312" w:hAnsi="仿宋_GB2312" w:eastAsia="仿宋_GB2312"/>
                <w:sz w:val="24"/>
              </w:rPr>
              <w:t>18:00-19:00</w:t>
            </w:r>
          </w:p>
        </w:tc>
        <w:tc>
          <w:tcPr>
            <w:tcW w:w="5591" w:type="dxa"/>
            <w:vAlign w:val="center"/>
          </w:tcPr>
          <w:p>
            <w:pPr>
              <w:snapToGrid w:val="0"/>
              <w:rPr>
                <w:rFonts w:ascii="仿宋_GB2312" w:hAnsi="仿宋_GB2312" w:eastAsia="仿宋_GB2312" w:cs="仿宋_GB2312"/>
                <w:sz w:val="24"/>
              </w:rPr>
            </w:pPr>
            <w:r>
              <w:rPr>
                <w:rFonts w:hint="eastAsia" w:ascii="仿宋_GB2312" w:hAnsi="仿宋_GB2312" w:eastAsia="仿宋_GB2312" w:cs="仿宋_GB2312"/>
                <w:sz w:val="24"/>
              </w:rPr>
              <w:t>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200" w:type="dxa"/>
            <w:vMerge w:val="continue"/>
            <w:vAlign w:val="center"/>
          </w:tcPr>
          <w:p>
            <w:pPr>
              <w:snapToGrid w:val="0"/>
              <w:jc w:val="center"/>
              <w:rPr>
                <w:rStyle w:val="23"/>
                <w:rFonts w:ascii="仿宋_GB2312" w:hAnsi="仿宋_GB2312" w:eastAsia="仿宋_GB2312"/>
                <w:sz w:val="24"/>
              </w:rPr>
            </w:pPr>
          </w:p>
        </w:tc>
        <w:tc>
          <w:tcPr>
            <w:tcW w:w="2261" w:type="dxa"/>
            <w:vAlign w:val="center"/>
          </w:tcPr>
          <w:p>
            <w:pPr>
              <w:snapToGrid w:val="0"/>
              <w:jc w:val="center"/>
              <w:rPr>
                <w:rStyle w:val="23"/>
                <w:rFonts w:ascii="仿宋_GB2312" w:hAnsi="仿宋_GB2312" w:eastAsia="仿宋_GB2312"/>
                <w:sz w:val="24"/>
              </w:rPr>
            </w:pPr>
            <w:r>
              <w:rPr>
                <w:rStyle w:val="23"/>
                <w:rFonts w:hint="eastAsia" w:ascii="仿宋_GB2312" w:hAnsi="仿宋_GB2312" w:eastAsia="仿宋_GB2312"/>
                <w:sz w:val="24"/>
              </w:rPr>
              <w:t>19：00-20:00</w:t>
            </w:r>
          </w:p>
        </w:tc>
        <w:tc>
          <w:tcPr>
            <w:tcW w:w="5591" w:type="dxa"/>
            <w:vAlign w:val="center"/>
          </w:tcPr>
          <w:p>
            <w:pPr>
              <w:snapToGrid w:val="0"/>
              <w:rPr>
                <w:rStyle w:val="23"/>
                <w:rFonts w:ascii="仿宋_GB2312" w:hAnsi="仿宋_GB2312" w:eastAsia="仿宋_GB2312"/>
                <w:sz w:val="24"/>
              </w:rPr>
            </w:pPr>
            <w:r>
              <w:rPr>
                <w:rStyle w:val="23"/>
                <w:rFonts w:hint="eastAsia" w:ascii="仿宋_GB2312" w:hAnsi="仿宋_GB2312" w:eastAsia="仿宋_GB2312"/>
                <w:sz w:val="24"/>
              </w:rPr>
              <w:t>成绩</w:t>
            </w:r>
            <w:r>
              <w:rPr>
                <w:rStyle w:val="23"/>
                <w:rFonts w:ascii="仿宋_GB2312" w:hAnsi="仿宋_GB2312" w:eastAsia="仿宋_GB2312"/>
                <w:sz w:val="24"/>
              </w:rPr>
              <w:t>公示</w:t>
            </w:r>
          </w:p>
        </w:tc>
      </w:tr>
    </w:tbl>
    <w:p>
      <w:pPr>
        <w:pStyle w:val="28"/>
        <w:keepNext w:val="0"/>
        <w:keepLines w:val="0"/>
        <w:pageBreakBefore w:val="0"/>
        <w:widowControl w:val="0"/>
        <w:kinsoku/>
        <w:wordWrap/>
        <w:overflowPunct/>
        <w:topLinePunct w:val="0"/>
        <w:bidi w:val="0"/>
        <w:adjustRightInd/>
        <w:snapToGrid/>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六、竞赛内容</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ascii="楷体" w:hAnsi="楷体" w:eastAsia="楷体" w:cs="楷体"/>
          <w:sz w:val="30"/>
          <w:szCs w:val="30"/>
        </w:rPr>
      </w:pPr>
      <w:r>
        <w:rPr>
          <w:rFonts w:hint="eastAsia" w:ascii="楷体" w:hAnsi="楷体" w:eastAsia="楷体" w:cs="楷体"/>
          <w:sz w:val="30"/>
          <w:szCs w:val="30"/>
        </w:rPr>
        <w:t>（一）赛项考查的技术技能和涵盖的职业典型工作任务</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1.赛项考查的技术技能：设计创意、图形设计、图像处理、标志设计、版面设计、文案撰写、品牌形象视觉设计、宣传册设计、广告设计、包装设计、新媒体视觉设计、界面设计。</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2.职业典型工作任务：标志设计、图形图像处理、版面设计、品牌识别系统设计、书籍设计、广告文案撰写、广告设计、包装设计、新媒体视觉设计、界面设计。</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ascii="楷体" w:hAnsi="楷体" w:eastAsia="楷体" w:cs="楷体"/>
          <w:sz w:val="30"/>
          <w:szCs w:val="30"/>
        </w:rPr>
      </w:pPr>
      <w:r>
        <w:rPr>
          <w:rFonts w:hint="eastAsia" w:ascii="楷体" w:hAnsi="楷体" w:eastAsia="楷体" w:cs="楷体"/>
          <w:sz w:val="30"/>
          <w:szCs w:val="30"/>
        </w:rPr>
        <w:t>（二）专业核心能力与职业综合能力</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1.信息设计：合理分析目标市场，形成辅助品牌建设的整体创意规划；设计风格突出、内涵丰富，易识、易记、易做的形象标识；选用并设计适用的标准字和辅助字体；合理规划色彩系统；设计开发应用图形或形象。</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2.广告设计：针对目标市场，分析确定主题并进行合理创意；创新设计与主题匹配、符合制作要求的平面、立体或多媒体形象；结合项目设计符合制作要求的不同类型的广告。</w:t>
      </w:r>
    </w:p>
    <w:p>
      <w:pPr>
        <w:pStyle w:val="3"/>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仿宋" w:hAnsi="仿宋" w:eastAsia="仿宋" w:cs="仿宋"/>
          <w:kern w:val="2"/>
          <w:sz w:val="30"/>
          <w:szCs w:val="30"/>
          <w:lang w:val="en-US" w:bidi="ar-SA"/>
        </w:rPr>
      </w:pPr>
      <w:r>
        <w:rPr>
          <w:rFonts w:hint="eastAsia" w:ascii="仿宋" w:hAnsi="仿宋" w:eastAsia="仿宋" w:cs="仿宋"/>
          <w:kern w:val="2"/>
          <w:sz w:val="30"/>
          <w:szCs w:val="30"/>
          <w:lang w:val="en-US" w:bidi="ar-SA"/>
        </w:rPr>
        <w:t>3.编辑设计：针对目标市场，在考虑成本的基础上，进行整体创意构思；合理设计书籍结构；设计书籍封面；对文字信息进行层次化处理；对复杂信息进行创意图表设计；完成纸质成书制作；整体设计信息的数字化呈现形式。</w:t>
      </w:r>
    </w:p>
    <w:p>
      <w:pPr>
        <w:pStyle w:val="3"/>
        <w:keepNext w:val="0"/>
        <w:keepLines w:val="0"/>
        <w:pageBreakBefore w:val="0"/>
        <w:widowControl w:val="0"/>
        <w:kinsoku/>
        <w:wordWrap/>
        <w:overflowPunct/>
        <w:topLinePunct w:val="0"/>
        <w:bidi w:val="0"/>
        <w:adjustRightInd/>
        <w:snapToGrid/>
        <w:spacing w:line="560" w:lineRule="exact"/>
        <w:ind w:firstLine="600" w:firstLineChars="200"/>
        <w:textAlignment w:val="auto"/>
        <w:rPr>
          <w:rFonts w:ascii="仿宋" w:hAnsi="仿宋" w:eastAsia="仿宋" w:cs="仿宋"/>
          <w:kern w:val="2"/>
          <w:sz w:val="30"/>
          <w:szCs w:val="30"/>
          <w:lang w:val="en-US" w:bidi="ar-SA"/>
        </w:rPr>
      </w:pPr>
      <w:r>
        <w:rPr>
          <w:rFonts w:hint="eastAsia" w:ascii="仿宋" w:hAnsi="仿宋" w:eastAsia="仿宋" w:cs="仿宋"/>
          <w:kern w:val="2"/>
          <w:sz w:val="30"/>
          <w:szCs w:val="30"/>
          <w:lang w:val="en-US" w:bidi="ar-SA"/>
        </w:rPr>
        <w:t>4.包装设计：分析确定设计项目产品的营销策略，整体创意形成包装风格；针对绿色环保、设计开发符合成本要求的包装结构；创新设计符合包装风格的图形；开发系列包装的整体化视觉形式；正确设置出血、折线、裁切标记、色表和对版标记。</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ascii="楷体" w:hAnsi="楷体" w:eastAsia="楷体" w:cs="楷体"/>
          <w:sz w:val="30"/>
          <w:szCs w:val="30"/>
        </w:rPr>
      </w:pPr>
      <w:r>
        <w:rPr>
          <w:rFonts w:hint="eastAsia" w:ascii="楷体" w:hAnsi="楷体" w:eastAsia="楷体" w:cs="楷体"/>
          <w:sz w:val="30"/>
          <w:szCs w:val="30"/>
        </w:rPr>
        <w:t>（三）赛项创新、创意的范围与方向</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本赛项以设计项目为载体，突出针对项目的整体设计规划并实施创新设计，杜绝抄袭，比赛现场开发适用的设计元素，突出视觉识别性及文化性，用现场设计的元素进行限定性的深入应用开发设计。</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ascii="楷体" w:hAnsi="楷体" w:eastAsia="楷体" w:cs="楷体"/>
          <w:sz w:val="30"/>
          <w:szCs w:val="30"/>
        </w:rPr>
      </w:pPr>
      <w:r>
        <w:rPr>
          <w:rFonts w:hint="eastAsia" w:ascii="楷体" w:hAnsi="楷体" w:eastAsia="楷体" w:cs="楷体"/>
          <w:sz w:val="30"/>
          <w:szCs w:val="30"/>
        </w:rPr>
        <w:t>（四）赛项内容结构与成绩比例</w:t>
      </w:r>
    </w:p>
    <w:p>
      <w:pPr>
        <w:keepNext w:val="0"/>
        <w:keepLines w:val="0"/>
        <w:pageBreakBefore w:val="0"/>
        <w:widowControl w:val="0"/>
        <w:kinsoku/>
        <w:wordWrap/>
        <w:overflowPunct/>
        <w:topLinePunct w:val="0"/>
        <w:bidi w:val="0"/>
        <w:adjustRightInd/>
        <w:snapToGrid/>
        <w:spacing w:line="56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赛项内容与具体设计项目匹配，设置为基础模块和应用设计模块。基础模块是必做部分，应用设计模块设置三个模块，依据项目的不同，三个中完成一个模块。</w:t>
      </w:r>
    </w:p>
    <w:p>
      <w:pPr>
        <w:pStyle w:val="3"/>
        <w:spacing w:line="600" w:lineRule="atLeast"/>
        <w:jc w:val="center"/>
        <w:rPr>
          <w:rFonts w:ascii="楷体" w:hAnsi="楷体" w:eastAsia="楷体" w:cs="仿宋"/>
          <w:sz w:val="28"/>
          <w:szCs w:val="28"/>
        </w:rPr>
      </w:pPr>
      <w:r>
        <w:rPr>
          <w:rFonts w:hint="eastAsia" w:ascii="楷体" w:hAnsi="楷体" w:eastAsia="楷体" w:cs="仿宋"/>
          <w:sz w:val="28"/>
          <w:szCs w:val="28"/>
        </w:rPr>
        <w:t>赛项内容结构与成绩比例</w:t>
      </w:r>
    </w:p>
    <w:tbl>
      <w:tblPr>
        <w:tblStyle w:val="11"/>
        <w:tblW w:w="5022" w:type="pct"/>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84"/>
        <w:gridCol w:w="1268"/>
        <w:gridCol w:w="3833"/>
        <w:gridCol w:w="711"/>
        <w:gridCol w:w="718"/>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654" w:type="pct"/>
            <w:gridSpan w:val="2"/>
            <w:tcMar>
              <w:top w:w="113" w:type="dxa"/>
              <w:left w:w="113" w:type="dxa"/>
              <w:bottom w:w="57" w:type="dxa"/>
              <w:right w:w="113" w:type="dxa"/>
            </w:tcMar>
            <w:vAlign w:val="center"/>
          </w:tcPr>
          <w:p>
            <w:pPr>
              <w:adjustRightInd w:val="0"/>
              <w:snapToGrid w:val="0"/>
              <w:spacing w:line="360" w:lineRule="auto"/>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模块</w:t>
            </w:r>
          </w:p>
        </w:tc>
        <w:tc>
          <w:tcPr>
            <w:tcW w:w="2077" w:type="pct"/>
            <w:tcMar>
              <w:top w:w="113" w:type="dxa"/>
              <w:left w:w="113" w:type="dxa"/>
              <w:bottom w:w="57" w:type="dxa"/>
              <w:right w:w="113" w:type="dxa"/>
            </w:tcMar>
            <w:vAlign w:val="center"/>
          </w:tcPr>
          <w:p>
            <w:pPr>
              <w:adjustRightInd w:val="0"/>
              <w:snapToGrid w:val="0"/>
              <w:spacing w:line="360" w:lineRule="auto"/>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主要内容</w:t>
            </w:r>
          </w:p>
        </w:tc>
        <w:tc>
          <w:tcPr>
            <w:tcW w:w="774" w:type="pct"/>
            <w:gridSpan w:val="2"/>
            <w:tcMar>
              <w:top w:w="113" w:type="dxa"/>
              <w:left w:w="113" w:type="dxa"/>
              <w:bottom w:w="57" w:type="dxa"/>
              <w:right w:w="113" w:type="dxa"/>
            </w:tcMar>
            <w:vAlign w:val="center"/>
          </w:tcPr>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比赛时长</w:t>
            </w:r>
          </w:p>
          <w:p>
            <w:pPr>
              <w:pStyle w:val="3"/>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（分钟）</w:t>
            </w:r>
          </w:p>
        </w:tc>
        <w:tc>
          <w:tcPr>
            <w:tcW w:w="493" w:type="pct"/>
            <w:tcMar>
              <w:top w:w="113" w:type="dxa"/>
              <w:left w:w="113" w:type="dxa"/>
              <w:bottom w:w="57" w:type="dxa"/>
              <w:right w:w="113" w:type="dxa"/>
            </w:tcMar>
            <w:vAlign w:val="center"/>
          </w:tcPr>
          <w:p>
            <w:pPr>
              <w:adjustRightInd w:val="0"/>
              <w:snapToGrid w:val="0"/>
              <w:spacing w:line="360" w:lineRule="auto"/>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7" w:type="pct"/>
            <w:tcMar>
              <w:top w:w="113" w:type="dxa"/>
              <w:left w:w="113" w:type="dxa"/>
              <w:bottom w:w="0" w:type="dxa"/>
              <w:right w:w="113" w:type="dxa"/>
            </w:tcMar>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基础模块</w:t>
            </w:r>
          </w:p>
        </w:tc>
        <w:tc>
          <w:tcPr>
            <w:tcW w:w="687" w:type="pct"/>
            <w:tcMar>
              <w:top w:w="113" w:type="dxa"/>
              <w:left w:w="113" w:type="dxa"/>
              <w:bottom w:w="0"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信息设计</w:t>
            </w:r>
          </w:p>
        </w:tc>
        <w:tc>
          <w:tcPr>
            <w:tcW w:w="2077" w:type="pct"/>
            <w:tcMar>
              <w:top w:w="113" w:type="dxa"/>
              <w:left w:w="113" w:type="dxa"/>
              <w:bottom w:w="0"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标志设计、标准字设计、标准色设计，标志与标准字的组合、辅助图形或形象设计</w:t>
            </w:r>
          </w:p>
        </w:tc>
        <w:tc>
          <w:tcPr>
            <w:tcW w:w="774" w:type="pct"/>
            <w:gridSpan w:val="2"/>
            <w:tcMar>
              <w:top w:w="113" w:type="dxa"/>
              <w:left w:w="113" w:type="dxa"/>
              <w:bottom w:w="57" w:type="dxa"/>
              <w:right w:w="113" w:type="dxa"/>
            </w:tcMar>
            <w:vAlign w:val="center"/>
          </w:tcPr>
          <w:p>
            <w:pPr>
              <w:adjustRightInd w:val="0"/>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30</w:t>
            </w:r>
            <w:bookmarkStart w:id="2" w:name="_GoBack"/>
            <w:bookmarkEnd w:id="2"/>
          </w:p>
        </w:tc>
        <w:tc>
          <w:tcPr>
            <w:tcW w:w="493" w:type="pct"/>
            <w:tcMar>
              <w:top w:w="113" w:type="dxa"/>
              <w:left w:w="113" w:type="dxa"/>
              <w:bottom w:w="57" w:type="dxa"/>
              <w:right w:w="113" w:type="dxa"/>
            </w:tcMar>
            <w:vAlign w:val="center"/>
          </w:tcPr>
          <w:p>
            <w:pPr>
              <w:adjustRightInd w:val="0"/>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7" w:type="pct"/>
            <w:vMerge w:val="restart"/>
            <w:tcMar>
              <w:top w:w="113" w:type="dxa"/>
              <w:left w:w="113" w:type="dxa"/>
              <w:bottom w:w="0" w:type="dxa"/>
              <w:right w:w="113" w:type="dxa"/>
            </w:tcMar>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应用设计模块</w:t>
            </w:r>
          </w:p>
        </w:tc>
        <w:tc>
          <w:tcPr>
            <w:tcW w:w="687" w:type="pct"/>
            <w:tcMar>
              <w:top w:w="113" w:type="dxa"/>
              <w:left w:w="113" w:type="dxa"/>
              <w:bottom w:w="0"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广告设计</w:t>
            </w:r>
          </w:p>
        </w:tc>
        <w:tc>
          <w:tcPr>
            <w:tcW w:w="2077" w:type="pct"/>
            <w:tcMar>
              <w:top w:w="113" w:type="dxa"/>
              <w:left w:w="113" w:type="dxa"/>
              <w:bottom w:w="0"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公益招贴设计、商业海报设计、活动海报设计、主视觉动态海报设计、广告文案撰写、导视系统设计、作品招贴设计</w:t>
            </w:r>
          </w:p>
        </w:tc>
        <w:tc>
          <w:tcPr>
            <w:tcW w:w="385" w:type="pct"/>
            <w:vMerge w:val="restart"/>
            <w:tcMar>
              <w:top w:w="113" w:type="dxa"/>
              <w:left w:w="113" w:type="dxa"/>
              <w:bottom w:w="57" w:type="dxa"/>
              <w:right w:w="113" w:type="dxa"/>
            </w:tcMar>
            <w:vAlign w:val="center"/>
          </w:tcPr>
          <w:p>
            <w:pPr>
              <w:adjustRightInd w:val="0"/>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随机抽取</w:t>
            </w:r>
          </w:p>
        </w:tc>
        <w:tc>
          <w:tcPr>
            <w:tcW w:w="389" w:type="pct"/>
            <w:vMerge w:val="restart"/>
            <w:tcMar>
              <w:top w:w="113" w:type="dxa"/>
              <w:left w:w="113" w:type="dxa"/>
              <w:bottom w:w="57" w:type="dxa"/>
              <w:right w:w="113" w:type="dxa"/>
            </w:tcMar>
            <w:vAlign w:val="center"/>
          </w:tcPr>
          <w:p>
            <w:pPr>
              <w:adjustRightInd w:val="0"/>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150</w:t>
            </w:r>
          </w:p>
        </w:tc>
        <w:tc>
          <w:tcPr>
            <w:tcW w:w="493" w:type="pct"/>
            <w:vMerge w:val="restart"/>
            <w:tcMar>
              <w:top w:w="113" w:type="dxa"/>
              <w:left w:w="113" w:type="dxa"/>
              <w:bottom w:w="57" w:type="dxa"/>
              <w:right w:w="113" w:type="dxa"/>
            </w:tcMar>
            <w:vAlign w:val="center"/>
          </w:tcPr>
          <w:p>
            <w:pPr>
              <w:adjustRightInd w:val="0"/>
              <w:snapToGrid w:val="0"/>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7" w:type="pct"/>
            <w:vMerge w:val="continue"/>
            <w:tcMar>
              <w:top w:w="113" w:type="dxa"/>
              <w:left w:w="113" w:type="dxa"/>
              <w:bottom w:w="0" w:type="dxa"/>
              <w:right w:w="113" w:type="dxa"/>
            </w:tcMar>
            <w:vAlign w:val="center"/>
          </w:tcPr>
          <w:p>
            <w:pPr>
              <w:spacing w:line="360" w:lineRule="auto"/>
              <w:jc w:val="left"/>
              <w:rPr>
                <w:rFonts w:ascii="仿宋_GB2312" w:hAnsi="仿宋_GB2312" w:eastAsia="仿宋_GB2312" w:cs="仿宋_GB2312"/>
                <w:sz w:val="24"/>
              </w:rPr>
            </w:pPr>
          </w:p>
        </w:tc>
        <w:tc>
          <w:tcPr>
            <w:tcW w:w="687" w:type="pct"/>
            <w:tcMar>
              <w:top w:w="113" w:type="dxa"/>
              <w:left w:w="113" w:type="dxa"/>
              <w:bottom w:w="0"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编辑设计</w:t>
            </w:r>
          </w:p>
        </w:tc>
        <w:tc>
          <w:tcPr>
            <w:tcW w:w="2077" w:type="pct"/>
            <w:tcMar>
              <w:top w:w="113" w:type="dxa"/>
              <w:left w:w="113" w:type="dxa"/>
              <w:bottom w:w="0"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封面设计、内页设计、信息图表设计、网页界面系统设计、插图设计</w:t>
            </w:r>
          </w:p>
        </w:tc>
        <w:tc>
          <w:tcPr>
            <w:tcW w:w="385" w:type="pct"/>
            <w:vMerge w:val="continue"/>
            <w:tcMar>
              <w:top w:w="113" w:type="dxa"/>
              <w:left w:w="113" w:type="dxa"/>
              <w:bottom w:w="57" w:type="dxa"/>
              <w:right w:w="113" w:type="dxa"/>
            </w:tcMar>
            <w:vAlign w:val="center"/>
          </w:tcPr>
          <w:p>
            <w:pPr>
              <w:adjustRightInd w:val="0"/>
              <w:snapToGrid w:val="0"/>
              <w:spacing w:line="360" w:lineRule="auto"/>
              <w:jc w:val="center"/>
              <w:rPr>
                <w:rFonts w:ascii="仿宋_GB2312" w:hAnsi="仿宋_GB2312" w:eastAsia="仿宋_GB2312" w:cs="仿宋_GB2312"/>
                <w:b/>
                <w:bCs/>
                <w:sz w:val="24"/>
              </w:rPr>
            </w:pPr>
          </w:p>
        </w:tc>
        <w:tc>
          <w:tcPr>
            <w:tcW w:w="389" w:type="pct"/>
            <w:vMerge w:val="continue"/>
            <w:tcMar>
              <w:top w:w="113" w:type="dxa"/>
              <w:left w:w="113" w:type="dxa"/>
              <w:bottom w:w="57" w:type="dxa"/>
              <w:right w:w="113" w:type="dxa"/>
            </w:tcMar>
            <w:vAlign w:val="center"/>
          </w:tcPr>
          <w:p>
            <w:pPr>
              <w:adjustRightInd w:val="0"/>
              <w:snapToGrid w:val="0"/>
              <w:spacing w:line="360" w:lineRule="auto"/>
              <w:jc w:val="center"/>
              <w:rPr>
                <w:rFonts w:ascii="仿宋_GB2312" w:hAnsi="仿宋_GB2312" w:eastAsia="仿宋_GB2312" w:cs="仿宋_GB2312"/>
                <w:b/>
                <w:bCs/>
                <w:sz w:val="24"/>
              </w:rPr>
            </w:pPr>
          </w:p>
        </w:tc>
        <w:tc>
          <w:tcPr>
            <w:tcW w:w="493" w:type="pct"/>
            <w:vMerge w:val="continue"/>
            <w:tcMar>
              <w:top w:w="113" w:type="dxa"/>
              <w:left w:w="113" w:type="dxa"/>
              <w:bottom w:w="57" w:type="dxa"/>
              <w:right w:w="113" w:type="dxa"/>
            </w:tcMar>
            <w:vAlign w:val="center"/>
          </w:tcPr>
          <w:p>
            <w:pPr>
              <w:adjustRightInd w:val="0"/>
              <w:snapToGrid w:val="0"/>
              <w:spacing w:line="360" w:lineRule="auto"/>
              <w:jc w:val="center"/>
              <w:rPr>
                <w:rFonts w:ascii="仿宋_GB2312" w:hAnsi="仿宋_GB2312" w:eastAsia="仿宋_GB2312" w:cs="仿宋_GB2312"/>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67" w:type="pct"/>
            <w:vMerge w:val="continue"/>
            <w:tcMar>
              <w:top w:w="113" w:type="dxa"/>
              <w:left w:w="113" w:type="dxa"/>
              <w:bottom w:w="0" w:type="dxa"/>
              <w:right w:w="113" w:type="dxa"/>
            </w:tcMar>
            <w:vAlign w:val="center"/>
          </w:tcPr>
          <w:p>
            <w:pPr>
              <w:spacing w:line="360" w:lineRule="auto"/>
              <w:jc w:val="left"/>
              <w:rPr>
                <w:rFonts w:ascii="仿宋_GB2312" w:hAnsi="仿宋_GB2312" w:eastAsia="仿宋_GB2312" w:cs="仿宋_GB2312"/>
                <w:sz w:val="24"/>
              </w:rPr>
            </w:pPr>
          </w:p>
        </w:tc>
        <w:tc>
          <w:tcPr>
            <w:tcW w:w="687" w:type="pct"/>
            <w:tcMar>
              <w:top w:w="113" w:type="dxa"/>
              <w:left w:w="113" w:type="dxa"/>
              <w:bottom w:w="0"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包装设计</w:t>
            </w:r>
          </w:p>
        </w:tc>
        <w:tc>
          <w:tcPr>
            <w:tcW w:w="2077" w:type="pct"/>
            <w:tcMar>
              <w:top w:w="113" w:type="dxa"/>
              <w:left w:w="113" w:type="dxa"/>
              <w:bottom w:w="0"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绿色包装结构设计、不同类型包装外观设计、包装造型设计、产品装潢设计</w:t>
            </w:r>
          </w:p>
        </w:tc>
        <w:tc>
          <w:tcPr>
            <w:tcW w:w="385" w:type="pct"/>
            <w:vMerge w:val="continue"/>
            <w:tcMar>
              <w:top w:w="113" w:type="dxa"/>
              <w:left w:w="113" w:type="dxa"/>
              <w:bottom w:w="57" w:type="dxa"/>
              <w:right w:w="113" w:type="dxa"/>
            </w:tcMar>
            <w:vAlign w:val="center"/>
          </w:tcPr>
          <w:p>
            <w:pPr>
              <w:adjustRightInd w:val="0"/>
              <w:snapToGrid w:val="0"/>
              <w:spacing w:line="360" w:lineRule="auto"/>
              <w:jc w:val="center"/>
              <w:rPr>
                <w:rFonts w:ascii="仿宋_GB2312" w:hAnsi="仿宋_GB2312" w:eastAsia="仿宋_GB2312" w:cs="仿宋_GB2312"/>
                <w:b/>
                <w:bCs/>
                <w:sz w:val="24"/>
              </w:rPr>
            </w:pPr>
          </w:p>
        </w:tc>
        <w:tc>
          <w:tcPr>
            <w:tcW w:w="389" w:type="pct"/>
            <w:vMerge w:val="continue"/>
            <w:tcMar>
              <w:top w:w="113" w:type="dxa"/>
              <w:left w:w="113" w:type="dxa"/>
              <w:bottom w:w="57" w:type="dxa"/>
              <w:right w:w="113" w:type="dxa"/>
            </w:tcMar>
            <w:vAlign w:val="center"/>
          </w:tcPr>
          <w:p>
            <w:pPr>
              <w:adjustRightInd w:val="0"/>
              <w:snapToGrid w:val="0"/>
              <w:spacing w:line="360" w:lineRule="auto"/>
              <w:jc w:val="center"/>
              <w:rPr>
                <w:rFonts w:ascii="仿宋_GB2312" w:hAnsi="仿宋_GB2312" w:eastAsia="仿宋_GB2312" w:cs="仿宋_GB2312"/>
                <w:b/>
                <w:bCs/>
                <w:sz w:val="24"/>
              </w:rPr>
            </w:pPr>
          </w:p>
        </w:tc>
        <w:tc>
          <w:tcPr>
            <w:tcW w:w="493" w:type="pct"/>
            <w:vMerge w:val="continue"/>
            <w:tcMar>
              <w:top w:w="113" w:type="dxa"/>
              <w:left w:w="113" w:type="dxa"/>
              <w:bottom w:w="57" w:type="dxa"/>
              <w:right w:w="113" w:type="dxa"/>
            </w:tcMar>
            <w:vAlign w:val="center"/>
          </w:tcPr>
          <w:p>
            <w:pPr>
              <w:adjustRightInd w:val="0"/>
              <w:snapToGrid w:val="0"/>
              <w:spacing w:line="360" w:lineRule="auto"/>
              <w:jc w:val="center"/>
              <w:rPr>
                <w:rFonts w:ascii="仿宋_GB2312" w:hAnsi="仿宋_GB2312" w:eastAsia="仿宋_GB2312" w:cs="仿宋_GB2312"/>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3731" w:type="pct"/>
            <w:gridSpan w:val="3"/>
            <w:tcMar>
              <w:top w:w="113" w:type="dxa"/>
              <w:left w:w="113" w:type="dxa"/>
              <w:bottom w:w="0" w:type="dxa"/>
              <w:right w:w="113" w:type="dxa"/>
            </w:tcMar>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774" w:type="pct"/>
            <w:gridSpan w:val="2"/>
            <w:tcMar>
              <w:top w:w="113" w:type="dxa"/>
              <w:left w:w="113" w:type="dxa"/>
              <w:bottom w:w="57" w:type="dxa"/>
              <w:right w:w="113" w:type="dxa"/>
            </w:tcMar>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180</w:t>
            </w:r>
          </w:p>
        </w:tc>
        <w:tc>
          <w:tcPr>
            <w:tcW w:w="493" w:type="pct"/>
            <w:tcMar>
              <w:top w:w="113" w:type="dxa"/>
              <w:left w:w="113" w:type="dxa"/>
              <w:bottom w:w="57" w:type="dxa"/>
              <w:right w:w="113" w:type="dxa"/>
            </w:tcMar>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100</w:t>
            </w:r>
          </w:p>
        </w:tc>
      </w:tr>
    </w:tbl>
    <w:p>
      <w:pPr>
        <w:pStyle w:val="28"/>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七、竞赛方式</w:t>
      </w:r>
    </w:p>
    <w:p>
      <w:pPr>
        <w:keepNext w:val="0"/>
        <w:keepLines w:val="0"/>
        <w:pageBreakBefore w:val="0"/>
        <w:widowControl w:val="0"/>
        <w:kinsoku/>
        <w:wordWrap/>
        <w:overflowPunct/>
        <w:topLinePunct w:val="0"/>
        <w:bidi w:val="0"/>
        <w:spacing w:line="560" w:lineRule="exact"/>
        <w:ind w:firstLine="600" w:firstLineChars="200"/>
        <w:jc w:val="left"/>
        <w:textAlignment w:val="auto"/>
        <w:rPr>
          <w:rFonts w:ascii="仿宋" w:hAnsi="仿宋" w:eastAsia="仿宋" w:cs="仿宋"/>
          <w:sz w:val="30"/>
          <w:szCs w:val="30"/>
        </w:rPr>
      </w:pPr>
      <w:r>
        <w:rPr>
          <w:rFonts w:hint="eastAsia" w:ascii="仿宋" w:hAnsi="仿宋" w:eastAsia="仿宋" w:cs="楷体"/>
          <w:sz w:val="30"/>
          <w:szCs w:val="30"/>
        </w:rPr>
        <w:t>（一）竞赛形式：</w:t>
      </w:r>
      <w:r>
        <w:rPr>
          <w:rFonts w:hint="eastAsia" w:ascii="仿宋" w:hAnsi="仿宋" w:eastAsia="仿宋" w:cs="仿宋"/>
          <w:sz w:val="30"/>
          <w:szCs w:val="30"/>
        </w:rPr>
        <w:t>线下比赛。</w:t>
      </w:r>
    </w:p>
    <w:p>
      <w:pPr>
        <w:pStyle w:val="3"/>
        <w:keepNext w:val="0"/>
        <w:keepLines w:val="0"/>
        <w:pageBreakBefore w:val="0"/>
        <w:widowControl w:val="0"/>
        <w:kinsoku/>
        <w:wordWrap/>
        <w:overflowPunct/>
        <w:topLinePunct w:val="0"/>
        <w:bidi w:val="0"/>
        <w:spacing w:line="560" w:lineRule="exact"/>
        <w:ind w:firstLine="600" w:firstLineChars="200"/>
        <w:jc w:val="both"/>
        <w:textAlignment w:val="auto"/>
        <w:rPr>
          <w:rFonts w:ascii="仿宋" w:hAnsi="仿宋" w:eastAsia="仿宋" w:cs="仿宋"/>
          <w:kern w:val="2"/>
          <w:sz w:val="30"/>
          <w:szCs w:val="30"/>
          <w:lang w:val="en-US" w:bidi="ar-SA"/>
        </w:rPr>
      </w:pPr>
      <w:r>
        <w:rPr>
          <w:rFonts w:hint="eastAsia" w:ascii="仿宋" w:hAnsi="仿宋" w:eastAsia="仿宋" w:cs="楷体"/>
          <w:kern w:val="2"/>
          <w:sz w:val="30"/>
          <w:szCs w:val="30"/>
          <w:lang w:val="en-US" w:bidi="ar-SA"/>
        </w:rPr>
        <w:t>（二）组队方式：</w:t>
      </w:r>
      <w:r>
        <w:rPr>
          <w:rFonts w:hint="eastAsia" w:ascii="仿宋" w:hAnsi="仿宋" w:eastAsia="仿宋" w:cs="仿宋"/>
          <w:kern w:val="2"/>
          <w:sz w:val="30"/>
          <w:szCs w:val="30"/>
          <w:lang w:val="en-US" w:bidi="ar-SA"/>
        </w:rPr>
        <w:t>个人赛，每名参赛选手配1名指导教师，须为本校在职教师。</w:t>
      </w:r>
    </w:p>
    <w:p>
      <w:pPr>
        <w:pStyle w:val="3"/>
        <w:keepNext w:val="0"/>
        <w:keepLines w:val="0"/>
        <w:pageBreakBefore w:val="0"/>
        <w:widowControl w:val="0"/>
        <w:kinsoku/>
        <w:wordWrap/>
        <w:overflowPunct/>
        <w:topLinePunct w:val="0"/>
        <w:bidi w:val="0"/>
        <w:spacing w:line="560" w:lineRule="exact"/>
        <w:ind w:firstLine="600" w:firstLineChars="200"/>
        <w:jc w:val="both"/>
        <w:textAlignment w:val="auto"/>
        <w:rPr>
          <w:rFonts w:ascii="仿宋" w:hAnsi="仿宋" w:eastAsia="仿宋" w:cs="仿宋"/>
          <w:kern w:val="2"/>
          <w:sz w:val="30"/>
          <w:szCs w:val="30"/>
          <w:lang w:val="en-US" w:bidi="ar-SA"/>
        </w:rPr>
      </w:pPr>
      <w:r>
        <w:rPr>
          <w:rFonts w:hint="eastAsia" w:ascii="仿宋" w:hAnsi="仿宋" w:eastAsia="仿宋" w:cs="楷体"/>
          <w:kern w:val="2"/>
          <w:sz w:val="30"/>
          <w:szCs w:val="30"/>
          <w:lang w:val="en-US" w:bidi="ar-SA"/>
        </w:rPr>
        <w:t>（三）报名资格：全日制普通高等职业院校本、专科在校生、五年制高职四至五年级在校生（以报名时的学籍信息为准）。已经在国赛中获得过一等奖的选手不得参加同项目比赛</w:t>
      </w:r>
      <w:r>
        <w:rPr>
          <w:rFonts w:hint="eastAsia" w:ascii="仿宋" w:hAnsi="仿宋" w:eastAsia="仿宋" w:cs="仿宋"/>
          <w:kern w:val="2"/>
          <w:sz w:val="30"/>
          <w:szCs w:val="30"/>
          <w:lang w:val="en-US" w:bidi="ar-SA"/>
        </w:rPr>
        <w:t>。</w:t>
      </w:r>
    </w:p>
    <w:p>
      <w:pPr>
        <w:keepNext w:val="0"/>
        <w:keepLines w:val="0"/>
        <w:pageBreakBefore w:val="0"/>
        <w:widowControl w:val="0"/>
        <w:kinsoku/>
        <w:wordWrap/>
        <w:overflowPunct/>
        <w:topLinePunct w:val="0"/>
        <w:bidi w:val="0"/>
        <w:snapToGrid w:val="0"/>
        <w:spacing w:line="560" w:lineRule="exact"/>
        <w:ind w:firstLine="600" w:firstLineChars="200"/>
        <w:textAlignment w:val="auto"/>
        <w:rPr>
          <w:rFonts w:ascii="仿宋" w:hAnsi="仿宋" w:eastAsia="仿宋" w:cs="仿宋"/>
          <w:sz w:val="30"/>
          <w:szCs w:val="30"/>
        </w:rPr>
      </w:pPr>
      <w:r>
        <w:rPr>
          <w:rFonts w:hint="eastAsia" w:ascii="仿宋" w:hAnsi="仿宋" w:eastAsia="仿宋" w:cs="楷体"/>
          <w:sz w:val="30"/>
          <w:szCs w:val="30"/>
        </w:rPr>
        <w:t>（四）组织机构：</w:t>
      </w:r>
      <w:r>
        <w:rPr>
          <w:rFonts w:hint="eastAsia" w:ascii="仿宋" w:hAnsi="仿宋" w:eastAsia="仿宋" w:cs="仿宋"/>
          <w:sz w:val="30"/>
          <w:szCs w:val="30"/>
        </w:rPr>
        <w:t>在河南省高等职业教育技能大赛组委会的指导下，由许昌职业技术学院牵头成立2023年全国职业院校技能大赛河南省选拔赛“视觉艺术设计”赛项执委会，下设本赛项专家组、监督组、裁判组、仲裁组等工作机构。</w:t>
      </w:r>
    </w:p>
    <w:p>
      <w:pPr>
        <w:pStyle w:val="28"/>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八、竞赛规则</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（一）赛题</w:t>
      </w:r>
    </w:p>
    <w:p>
      <w:pPr>
        <w:keepNext w:val="0"/>
        <w:keepLines w:val="0"/>
        <w:pageBreakBefore w:val="0"/>
        <w:widowControl w:val="0"/>
        <w:kinsoku/>
        <w:wordWrap/>
        <w:overflowPunct/>
        <w:topLinePunct w:val="0"/>
        <w:bidi w:val="0"/>
        <w:spacing w:line="560" w:lineRule="exact"/>
        <w:ind w:firstLine="600" w:firstLineChars="200"/>
        <w:textAlignment w:val="auto"/>
        <w:rPr>
          <w:rFonts w:hint="eastAsia" w:ascii="仿宋" w:hAnsi="仿宋" w:eastAsia="仿宋" w:cs="仿宋_GB2312"/>
          <w:color w:val="000000"/>
          <w:kern w:val="0"/>
          <w:sz w:val="30"/>
          <w:szCs w:val="30"/>
        </w:rPr>
      </w:pPr>
      <w:r>
        <w:rPr>
          <w:rFonts w:hint="eastAsia" w:ascii="仿宋" w:hAnsi="仿宋" w:eastAsia="仿宋" w:cs="仿宋_GB2312"/>
          <w:color w:val="000000"/>
          <w:kern w:val="0"/>
          <w:sz w:val="30"/>
          <w:szCs w:val="30"/>
        </w:rPr>
        <w:t>赛项专家组负责本赛项赛题的编制工作，编制工作赛前保密。</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楷体" w:hAnsi="楷体" w:eastAsia="楷体" w:cs="楷体"/>
          <w:sz w:val="30"/>
          <w:szCs w:val="30"/>
        </w:rPr>
      </w:pPr>
      <w:r>
        <w:rPr>
          <w:rFonts w:hint="eastAsia" w:ascii="楷体" w:hAnsi="楷体" w:eastAsia="楷体" w:cs="方正楷体_GBK"/>
          <w:bCs/>
          <w:sz w:val="30"/>
          <w:szCs w:val="30"/>
        </w:rPr>
        <w:t>（二）选手报名</w:t>
      </w:r>
      <w:r>
        <w:rPr>
          <w:rFonts w:hint="eastAsia" w:ascii="楷体" w:hAnsi="楷体" w:eastAsia="楷体" w:cs="楷体"/>
          <w:sz w:val="30"/>
          <w:szCs w:val="30"/>
        </w:rPr>
        <w:t xml:space="preserve"> </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1.通过“河南省高等职业院校技能大赛报名系统”报名参赛。 </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2.不符合参赛资格的学生不得参赛，一经发现即取消参赛资格，且大赛执委会有权责令其退回已经获得的有关荣誉和奖励，并予以通报。</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（三）熟悉场地</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比赛场地在比赛日前一天下午对选手开放，限定在指定区域。 </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（四）入场规则</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1.选手按规定时间准时到达赛场检录区集合。 </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2.选手须提供本人的参赛证、身份证、学生证。</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3.选手不允许携带任何通讯、存储、拍照设备、纸质材料等物品，一经发现，以作弊处理，取消比赛资格及成绩。</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4.检录第一次加密，第二次加密凭参赛编号抽取赛位号，按抽取的赛位号就位。</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（五）赛场规则</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1.选手须严格遵守竞赛规程规定的安全操作流程，防止发生安全事故。</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2.竞赛过程中接受裁判员的监督和警示。若因选手个人原因造成设备故障，裁判长有权中止比赛。</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3.选手对于认为有影响个人比赛成绩的裁判行为或设备故障等，应向指导老师反映，由指导老师按大赛制度规定进行申诉。参赛选手不得利用微信群、QQ 群、自媒体等媒介发表虚假信息和不当言论。</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楷体" w:hAnsi="楷体" w:eastAsia="楷体" w:cs="楷体"/>
          <w:sz w:val="30"/>
          <w:szCs w:val="30"/>
        </w:rPr>
      </w:pPr>
      <w:r>
        <w:rPr>
          <w:rFonts w:hint="eastAsia" w:ascii="楷体" w:hAnsi="楷体" w:eastAsia="楷体" w:cs="方正楷体_GBK"/>
          <w:bCs/>
          <w:sz w:val="30"/>
          <w:szCs w:val="30"/>
        </w:rPr>
        <w:t>（六）离场规则</w:t>
      </w:r>
      <w:r>
        <w:rPr>
          <w:rFonts w:hint="eastAsia" w:ascii="楷体" w:hAnsi="楷体" w:eastAsia="楷体" w:cs="楷体"/>
          <w:sz w:val="30"/>
          <w:szCs w:val="30"/>
        </w:rPr>
        <w:t xml:space="preserve"> </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1.选手在基础模块、应用设计模块竞赛结束后，方可离开赛场。 </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2.裁判长宣布终止比赛时，选手应停止竞赛任务的操作。竞赛任务书、图纸、赛场记录表等不能带出赛场。</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 xml:space="preserve">3.裁判长宣布终止比赛后，选手应按照提示进行作品提交，完成提交并按顺序签赛位号确认，裁判长宣布离场时，统一离开赛场。 </w:t>
      </w:r>
    </w:p>
    <w:p>
      <w:pPr>
        <w:keepNext w:val="0"/>
        <w:keepLines w:val="0"/>
        <w:pageBreakBefore w:val="0"/>
        <w:widowControl w:val="0"/>
        <w:kinsoku/>
        <w:wordWrap/>
        <w:overflowPunct/>
        <w:topLinePunct w:val="0"/>
        <w:bidi w:val="0"/>
        <w:adjustRightInd w:val="0"/>
        <w:snapToGrid w:val="0"/>
        <w:spacing w:line="560" w:lineRule="exact"/>
        <w:ind w:firstLine="600" w:firstLineChars="200"/>
        <w:textAlignment w:val="auto"/>
        <w:outlineLvl w:val="1"/>
        <w:rPr>
          <w:rFonts w:ascii="楷体" w:hAnsi="楷体" w:eastAsia="楷体" w:cs="楷体"/>
          <w:sz w:val="30"/>
          <w:szCs w:val="30"/>
        </w:rPr>
      </w:pPr>
      <w:r>
        <w:rPr>
          <w:rFonts w:hint="eastAsia" w:ascii="楷体" w:hAnsi="楷体" w:eastAsia="楷体" w:cs="方正楷体_GBK"/>
          <w:bCs/>
          <w:sz w:val="30"/>
          <w:szCs w:val="30"/>
        </w:rPr>
        <w:t>（七）成绩评定与结果公布</w:t>
      </w:r>
      <w:r>
        <w:rPr>
          <w:rFonts w:hint="eastAsia" w:ascii="楷体" w:hAnsi="楷体" w:eastAsia="楷体" w:cs="楷体"/>
          <w:sz w:val="30"/>
          <w:szCs w:val="30"/>
        </w:rPr>
        <w:t xml:space="preserve"> </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1.裁判组由现场裁判、加密裁判、评分裁判分别执裁。</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2.各裁判根据最终提交竞赛结果进行评分。</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3.比赛成绩经专人复核后，经裁判长、监督仲裁组长签字后进行公示。公示时间为2小时。</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4.赛场裁判将数据进行备份和保存，成绩单提交给大赛执委会备案。</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5.参赛代表队若对赛事有异议，可由领队按规程提出书面申诉。</w:t>
      </w:r>
    </w:p>
    <w:p>
      <w:pPr>
        <w:pStyle w:val="28"/>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九、竞赛环境</w:t>
      </w:r>
    </w:p>
    <w:p>
      <w:pPr>
        <w:keepNext w:val="0"/>
        <w:keepLines w:val="0"/>
        <w:pageBreakBefore w:val="0"/>
        <w:widowControl w:val="0"/>
        <w:kinsoku/>
        <w:wordWrap/>
        <w:overflowPunct/>
        <w:topLinePunct w:val="0"/>
        <w:bidi w:val="0"/>
        <w:spacing w:line="560" w:lineRule="exact"/>
        <w:ind w:firstLine="600" w:firstLineChars="200"/>
        <w:jc w:val="left"/>
        <w:textAlignment w:val="auto"/>
        <w:rPr>
          <w:rFonts w:ascii="楷体" w:hAnsi="楷体" w:eastAsia="楷体" w:cs="楷体"/>
          <w:sz w:val="30"/>
          <w:szCs w:val="30"/>
        </w:rPr>
      </w:pPr>
      <w:r>
        <w:rPr>
          <w:rFonts w:hint="eastAsia" w:ascii="楷体" w:hAnsi="楷体" w:eastAsia="楷体" w:cs="楷体"/>
          <w:sz w:val="30"/>
          <w:szCs w:val="30"/>
        </w:rPr>
        <w:t xml:space="preserve">（一）竞赛场地 </w:t>
      </w:r>
    </w:p>
    <w:p>
      <w:pPr>
        <w:keepNext w:val="0"/>
        <w:keepLines w:val="0"/>
        <w:pageBreakBefore w:val="0"/>
        <w:widowControl w:val="0"/>
        <w:shd w:val="clear" w:color="auto" w:fill="FFFFFF"/>
        <w:kinsoku/>
        <w:wordWrap/>
        <w:overflowPunct/>
        <w:topLinePunct w:val="0"/>
        <w:bidi w:val="0"/>
        <w:adjustRightInd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1.竞赛场地：竞赛场地分为竞赛现场、裁判员休息区、指导老师休息区、开（闭）幕式会议区、服务区。其中，竞赛现场又划分为：检录区、竞赛区、服务与技术支持区、休息区、医疗区。</w:t>
      </w:r>
    </w:p>
    <w:p>
      <w:pPr>
        <w:keepNext w:val="0"/>
        <w:keepLines w:val="0"/>
        <w:pageBreakBefore w:val="0"/>
        <w:widowControl w:val="0"/>
        <w:shd w:val="clear" w:color="auto" w:fill="FFFFFF"/>
        <w:kinsoku/>
        <w:wordWrap/>
        <w:overflowPunct/>
        <w:topLinePunct w:val="0"/>
        <w:bidi w:val="0"/>
        <w:adjustRightInd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2.各个项目赛场符合防火安全规定，防火疏散标识清晰、齐全，疏散通道畅通；赛场采光、照明和通风良好，并配有供电应急设备等。</w:t>
      </w:r>
    </w:p>
    <w:p>
      <w:pPr>
        <w:keepNext w:val="0"/>
        <w:keepLines w:val="0"/>
        <w:pageBreakBefore w:val="0"/>
        <w:widowControl w:val="0"/>
        <w:shd w:val="clear" w:color="auto" w:fill="FFFFFF"/>
        <w:kinsoku/>
        <w:wordWrap/>
        <w:overflowPunct/>
        <w:topLinePunct w:val="0"/>
        <w:bidi w:val="0"/>
        <w:adjustRightInd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3.每个比赛赛场提供与竞赛项目相关的电脑、纸质或电子版技术资料,各参赛队可以根据比赛需要使用，参赛队不需自带其它资料。</w:t>
      </w:r>
    </w:p>
    <w:p>
      <w:pPr>
        <w:keepNext w:val="0"/>
        <w:keepLines w:val="0"/>
        <w:pageBreakBefore w:val="0"/>
        <w:widowControl w:val="0"/>
        <w:shd w:val="clear" w:color="auto" w:fill="FFFFFF"/>
        <w:kinsoku/>
        <w:wordWrap/>
        <w:overflowPunct/>
        <w:topLinePunct w:val="0"/>
        <w:bidi w:val="0"/>
        <w:adjustRightInd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4.每个比赛赛场配有相应数量的清洁器具。</w:t>
      </w:r>
    </w:p>
    <w:p>
      <w:pPr>
        <w:keepNext w:val="0"/>
        <w:keepLines w:val="0"/>
        <w:pageBreakBefore w:val="0"/>
        <w:widowControl w:val="0"/>
        <w:shd w:val="clear" w:color="auto" w:fill="FFFFFF"/>
        <w:kinsoku/>
        <w:wordWrap/>
        <w:overflowPunct/>
        <w:topLinePunct w:val="0"/>
        <w:bidi w:val="0"/>
        <w:adjustRightInd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5.赛场设有保安、公安、消防、设备维修和电力抢险人员待命，以防突发事件。赛场配备医疗、生活补给站等公共服务设施，为选手和赛场人员提供服务。</w:t>
      </w:r>
    </w:p>
    <w:p>
      <w:pPr>
        <w:keepNext w:val="0"/>
        <w:keepLines w:val="0"/>
        <w:pageBreakBefore w:val="0"/>
        <w:widowControl w:val="0"/>
        <w:kinsoku/>
        <w:wordWrap/>
        <w:overflowPunct/>
        <w:topLinePunct w:val="0"/>
        <w:bidi w:val="0"/>
        <w:spacing w:line="560" w:lineRule="exact"/>
        <w:ind w:firstLine="600" w:firstLineChars="200"/>
        <w:jc w:val="left"/>
        <w:textAlignment w:val="auto"/>
        <w:rPr>
          <w:rFonts w:ascii="楷体" w:hAnsi="楷体" w:eastAsia="楷体" w:cs="楷体"/>
          <w:sz w:val="30"/>
          <w:szCs w:val="30"/>
        </w:rPr>
      </w:pPr>
      <w:r>
        <w:rPr>
          <w:rFonts w:hint="eastAsia" w:ascii="楷体" w:hAnsi="楷体" w:eastAsia="楷体" w:cs="楷体"/>
          <w:sz w:val="30"/>
          <w:szCs w:val="30"/>
        </w:rPr>
        <w:t xml:space="preserve">（二）其它场地 </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提供可容纳100人以上报告厅，作为大赛期间专题讲座与大赛点评专用场地。</w:t>
      </w:r>
    </w:p>
    <w:p>
      <w:pPr>
        <w:keepNext w:val="0"/>
        <w:keepLines w:val="0"/>
        <w:pageBreakBefore w:val="0"/>
        <w:widowControl w:val="0"/>
        <w:kinsoku/>
        <w:wordWrap/>
        <w:overflowPunct/>
        <w:topLinePunct w:val="0"/>
        <w:bidi w:val="0"/>
        <w:spacing w:line="560" w:lineRule="exact"/>
        <w:ind w:firstLine="600" w:firstLineChars="200"/>
        <w:jc w:val="left"/>
        <w:textAlignment w:val="auto"/>
        <w:rPr>
          <w:rFonts w:ascii="楷体" w:hAnsi="楷体" w:eastAsia="楷体" w:cs="楷体"/>
          <w:sz w:val="30"/>
          <w:szCs w:val="30"/>
        </w:rPr>
      </w:pPr>
      <w:r>
        <w:rPr>
          <w:rFonts w:hint="eastAsia" w:ascii="楷体" w:hAnsi="楷体" w:eastAsia="楷体" w:cs="楷体"/>
          <w:sz w:val="30"/>
          <w:szCs w:val="30"/>
        </w:rPr>
        <w:t>（三）软件环境</w:t>
      </w:r>
    </w:p>
    <w:p>
      <w:pPr>
        <w:keepNext w:val="0"/>
        <w:keepLines w:val="0"/>
        <w:pageBreakBefore w:val="0"/>
        <w:widowControl w:val="0"/>
        <w:kinsoku/>
        <w:wordWrap/>
        <w:overflowPunct/>
        <w:topLinePunct w:val="0"/>
        <w:bidi w:val="0"/>
        <w:spacing w:line="56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大赛执委会提供以下软件环境：Photoshop 2021中文版、 Illustrator 2019中文版、CorelDRAW X4 中文版、InDesign 2020中文版、After_Effects CC 2017中文版、Acrobat DC中文版、常用办公软件、图片查看软件、字库。</w:t>
      </w:r>
    </w:p>
    <w:p>
      <w:pPr>
        <w:keepNext w:val="0"/>
        <w:keepLines w:val="0"/>
        <w:pageBreakBefore w:val="0"/>
        <w:widowControl w:val="0"/>
        <w:kinsoku/>
        <w:wordWrap/>
        <w:overflowPunct/>
        <w:topLinePunct w:val="0"/>
        <w:bidi w:val="0"/>
        <w:spacing w:line="560" w:lineRule="exact"/>
        <w:ind w:firstLine="600" w:firstLineChars="200"/>
        <w:jc w:val="left"/>
        <w:textAlignment w:val="auto"/>
        <w:rPr>
          <w:rFonts w:ascii="楷体" w:hAnsi="楷体" w:eastAsia="楷体" w:cs="楷体"/>
          <w:sz w:val="30"/>
          <w:szCs w:val="30"/>
        </w:rPr>
      </w:pPr>
      <w:r>
        <w:rPr>
          <w:rFonts w:hint="eastAsia" w:ascii="楷体" w:hAnsi="楷体" w:eastAsia="楷体" w:cs="楷体"/>
          <w:sz w:val="30"/>
          <w:szCs w:val="30"/>
        </w:rPr>
        <w:t>（四）其他</w:t>
      </w:r>
    </w:p>
    <w:p>
      <w:pPr>
        <w:keepNext w:val="0"/>
        <w:keepLines w:val="0"/>
        <w:pageBreakBefore w:val="0"/>
        <w:widowControl w:val="0"/>
        <w:kinsoku/>
        <w:wordWrap/>
        <w:overflowPunct/>
        <w:topLinePunct w:val="0"/>
        <w:bidi w:val="0"/>
        <w:spacing w:line="560" w:lineRule="exact"/>
        <w:ind w:firstLine="600" w:firstLineChars="200"/>
        <w:textAlignment w:val="auto"/>
        <w:rPr>
          <w:sz w:val="30"/>
          <w:szCs w:val="30"/>
        </w:rPr>
      </w:pPr>
      <w:r>
        <w:rPr>
          <w:rFonts w:hint="eastAsia" w:ascii="仿宋" w:hAnsi="仿宋" w:eastAsia="仿宋" w:cs="仿宋"/>
          <w:sz w:val="30"/>
          <w:szCs w:val="30"/>
        </w:rPr>
        <w:t>计算机机房考试期间不能上网。局域网需断开链接，USB 设备插口用封条做封闭处理。</w:t>
      </w:r>
    </w:p>
    <w:p>
      <w:pPr>
        <w:pStyle w:val="28"/>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十、技术规范</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参照全国高等职业院校职业教育教学要求和现行国家规范标准和行业标准等执行。主要有：</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《高等职业教育专科视觉传达设计专业简介（550102）》</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《高等职业教育专科广告艺术设计专业简介（550113）》</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《高等职业教育专科包装艺术设计专业简介（550121）》</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《高等职业教育专科艺术设计专业简介（550101）》</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《高等职业教育专科数字图文信息处理技术专业简介（</w:t>
      </w:r>
      <w:r>
        <w:rPr>
          <w:rFonts w:ascii="仿宋" w:hAnsi="仿宋" w:eastAsia="仿宋"/>
          <w:sz w:val="30"/>
          <w:szCs w:val="30"/>
        </w:rPr>
        <w:t>5</w:t>
      </w:r>
      <w:r>
        <w:rPr>
          <w:rFonts w:hint="eastAsia" w:ascii="仿宋" w:hAnsi="仿宋" w:eastAsia="仿宋"/>
          <w:sz w:val="30"/>
          <w:szCs w:val="30"/>
        </w:rPr>
        <w:t>6</w:t>
      </w:r>
      <w:r>
        <w:rPr>
          <w:rFonts w:ascii="仿宋" w:hAnsi="仿宋" w:eastAsia="仿宋"/>
          <w:sz w:val="30"/>
          <w:szCs w:val="30"/>
        </w:rPr>
        <w:t>0</w:t>
      </w:r>
      <w:r>
        <w:rPr>
          <w:rFonts w:hint="eastAsia" w:ascii="仿宋" w:hAnsi="仿宋" w:eastAsia="仿宋"/>
          <w:sz w:val="30"/>
          <w:szCs w:val="30"/>
        </w:rPr>
        <w:t>1</w:t>
      </w:r>
      <w:r>
        <w:rPr>
          <w:rFonts w:ascii="仿宋" w:hAnsi="仿宋" w:eastAsia="仿宋"/>
          <w:sz w:val="30"/>
          <w:szCs w:val="30"/>
        </w:rPr>
        <w:t>0</w:t>
      </w:r>
      <w:r>
        <w:rPr>
          <w:rFonts w:hint="eastAsia" w:ascii="仿宋" w:hAnsi="仿宋" w:eastAsia="仿宋"/>
          <w:sz w:val="30"/>
          <w:szCs w:val="30"/>
        </w:rPr>
        <w:t>1）》</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sz w:val="30"/>
          <w:szCs w:val="30"/>
        </w:rPr>
      </w:pPr>
      <w:r>
        <w:rPr>
          <w:rFonts w:hint="eastAsia" w:ascii="仿宋" w:hAnsi="仿宋" w:eastAsia="仿宋"/>
          <w:sz w:val="30"/>
          <w:szCs w:val="30"/>
        </w:rPr>
        <w:t>《界面设计职业技能等级证书（</w:t>
      </w:r>
      <w:r>
        <w:rPr>
          <w:rFonts w:ascii="仿宋" w:hAnsi="仿宋" w:eastAsia="仿宋"/>
          <w:sz w:val="30"/>
          <w:szCs w:val="30"/>
        </w:rPr>
        <w:t>550002</w:t>
      </w:r>
      <w:r>
        <w:rPr>
          <w:rFonts w:hint="eastAsia" w:ascii="仿宋" w:hAnsi="仿宋" w:eastAsia="仿宋"/>
          <w:sz w:val="30"/>
          <w:szCs w:val="30"/>
        </w:rPr>
        <w:t>）》。</w:t>
      </w:r>
    </w:p>
    <w:p>
      <w:pPr>
        <w:pStyle w:val="28"/>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十一、技术平台</w:t>
      </w:r>
    </w:p>
    <w:p>
      <w:pPr>
        <w:keepNext w:val="0"/>
        <w:keepLines w:val="0"/>
        <w:pageBreakBefore w:val="0"/>
        <w:widowControl w:val="0"/>
        <w:kinsoku/>
        <w:wordWrap/>
        <w:overflowPunct/>
        <w:topLinePunct w:val="0"/>
        <w:bidi w:val="0"/>
        <w:spacing w:line="560" w:lineRule="exact"/>
        <w:ind w:firstLine="600" w:firstLineChars="200"/>
        <w:textAlignment w:val="auto"/>
        <w:rPr>
          <w:rFonts w:ascii="仿宋" w:hAnsi="仿宋" w:eastAsia="仿宋"/>
          <w:sz w:val="30"/>
          <w:szCs w:val="30"/>
        </w:rPr>
      </w:pPr>
      <w:r>
        <w:rPr>
          <w:rFonts w:ascii="仿宋" w:hAnsi="仿宋" w:eastAsia="仿宋"/>
          <w:sz w:val="30"/>
          <w:szCs w:val="30"/>
        </w:rPr>
        <w:t>计算机技术指标：预装 Win10操作系统，基本配置：CPU(i</w:t>
      </w:r>
      <w:r>
        <w:rPr>
          <w:rFonts w:hint="eastAsia" w:ascii="仿宋" w:hAnsi="仿宋" w:eastAsia="仿宋"/>
          <w:sz w:val="30"/>
          <w:szCs w:val="30"/>
        </w:rPr>
        <w:t>5</w:t>
      </w:r>
      <w:r>
        <w:rPr>
          <w:rFonts w:ascii="仿宋" w:hAnsi="仿宋" w:eastAsia="仿宋"/>
          <w:sz w:val="30"/>
          <w:szCs w:val="30"/>
        </w:rPr>
        <w:t>-</w:t>
      </w:r>
      <w:r>
        <w:rPr>
          <w:rFonts w:hint="eastAsia" w:ascii="仿宋" w:hAnsi="仿宋" w:eastAsia="仿宋"/>
          <w:sz w:val="30"/>
          <w:szCs w:val="30"/>
        </w:rPr>
        <w:t>85</w:t>
      </w:r>
      <w:r>
        <w:rPr>
          <w:rFonts w:ascii="仿宋" w:hAnsi="仿宋" w:eastAsia="仿宋"/>
          <w:sz w:val="30"/>
          <w:szCs w:val="30"/>
        </w:rPr>
        <w:t>00)、内存</w:t>
      </w:r>
      <w:r>
        <w:rPr>
          <w:rFonts w:hint="eastAsia" w:ascii="仿宋" w:hAnsi="仿宋" w:eastAsia="仿宋"/>
          <w:sz w:val="30"/>
          <w:szCs w:val="30"/>
        </w:rPr>
        <w:t>8</w:t>
      </w:r>
      <w:r>
        <w:rPr>
          <w:rFonts w:ascii="仿宋" w:hAnsi="仿宋" w:eastAsia="仿宋"/>
          <w:sz w:val="30"/>
          <w:szCs w:val="30"/>
        </w:rPr>
        <w:t>G</w:t>
      </w:r>
      <w:r>
        <w:rPr>
          <w:rFonts w:hint="eastAsia" w:ascii="仿宋" w:hAnsi="仿宋" w:eastAsia="仿宋"/>
          <w:sz w:val="30"/>
          <w:szCs w:val="30"/>
        </w:rPr>
        <w:t>B、</w:t>
      </w:r>
      <w:r>
        <w:rPr>
          <w:rFonts w:ascii="仿宋" w:hAnsi="仿宋" w:eastAsia="仿宋"/>
          <w:sz w:val="30"/>
          <w:szCs w:val="30"/>
        </w:rPr>
        <w:t xml:space="preserve"> </w:t>
      </w:r>
      <w:r>
        <w:rPr>
          <w:rFonts w:hint="eastAsia" w:ascii="仿宋" w:hAnsi="仿宋" w:eastAsia="仿宋"/>
          <w:sz w:val="30"/>
          <w:szCs w:val="30"/>
        </w:rPr>
        <w:t>机械1T</w:t>
      </w:r>
      <w:r>
        <w:rPr>
          <w:rFonts w:ascii="仿宋" w:hAnsi="仿宋" w:eastAsia="仿宋"/>
          <w:sz w:val="30"/>
          <w:szCs w:val="30"/>
        </w:rPr>
        <w:t>、独立显卡</w:t>
      </w:r>
      <w:r>
        <w:rPr>
          <w:rFonts w:hint="eastAsia" w:ascii="仿宋" w:hAnsi="仿宋" w:eastAsia="仿宋"/>
          <w:sz w:val="30"/>
          <w:szCs w:val="30"/>
        </w:rPr>
        <w:t>2GB</w:t>
      </w:r>
      <w:r>
        <w:rPr>
          <w:rFonts w:ascii="仿宋" w:hAnsi="仿宋" w:eastAsia="仿宋"/>
          <w:sz w:val="30"/>
          <w:szCs w:val="30"/>
        </w:rPr>
        <w:t>、液晶显示器</w:t>
      </w:r>
      <w:r>
        <w:rPr>
          <w:rFonts w:hint="eastAsia" w:ascii="仿宋" w:hAnsi="仿宋" w:eastAsia="仿宋"/>
          <w:sz w:val="30"/>
          <w:szCs w:val="30"/>
        </w:rPr>
        <w:t>。</w:t>
      </w:r>
    </w:p>
    <w:p>
      <w:pPr>
        <w:pStyle w:val="28"/>
        <w:keepNext w:val="0"/>
        <w:keepLines w:val="0"/>
        <w:pageBreakBefore w:val="0"/>
        <w:widowControl w:val="0"/>
        <w:kinsoku/>
        <w:wordWrap/>
        <w:overflowPunct/>
        <w:topLinePunct w:val="0"/>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十二、成绩评定</w:t>
      </w:r>
    </w:p>
    <w:p>
      <w:pPr>
        <w:keepNext w:val="0"/>
        <w:keepLines w:val="0"/>
        <w:pageBreakBefore w:val="0"/>
        <w:widowControl w:val="0"/>
        <w:kinsoku/>
        <w:wordWrap/>
        <w:overflowPunct/>
        <w:topLinePunct w:val="0"/>
        <w:bidi w:val="0"/>
        <w:spacing w:line="560" w:lineRule="exact"/>
        <w:ind w:firstLine="600" w:firstLineChars="200"/>
        <w:jc w:val="left"/>
        <w:textAlignment w:val="auto"/>
        <w:rPr>
          <w:rFonts w:ascii="楷体" w:hAnsi="楷体" w:eastAsia="楷体" w:cs="楷体"/>
          <w:sz w:val="30"/>
          <w:szCs w:val="30"/>
        </w:rPr>
      </w:pPr>
      <w:r>
        <w:rPr>
          <w:rFonts w:hint="eastAsia" w:ascii="楷体" w:hAnsi="楷体" w:eastAsia="楷体" w:cs="楷体"/>
          <w:sz w:val="30"/>
          <w:szCs w:val="30"/>
        </w:rPr>
        <w:t>（一）赛项评分标准</w:t>
      </w:r>
    </w:p>
    <w:p>
      <w:pPr>
        <w:keepNext w:val="0"/>
        <w:keepLines w:val="0"/>
        <w:pageBreakBefore w:val="0"/>
        <w:widowControl w:val="0"/>
        <w:kinsoku/>
        <w:wordWrap/>
        <w:overflowPunct/>
        <w:topLinePunct w:val="0"/>
        <w:bidi w:val="0"/>
        <w:spacing w:line="56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成绩评定必须在公开、公平、公正、独立、透明的条件下进行，赛项最终得分按百分制计算。满分100分，主观评分60分，客观评分40分。</w:t>
      </w:r>
    </w:p>
    <w:p>
      <w:pPr>
        <w:keepNext w:val="0"/>
        <w:keepLines w:val="0"/>
        <w:pageBreakBefore w:val="0"/>
        <w:widowControl w:val="0"/>
        <w:kinsoku/>
        <w:wordWrap/>
        <w:overflowPunct/>
        <w:topLinePunct w:val="0"/>
        <w:bidi w:val="0"/>
        <w:spacing w:line="560" w:lineRule="exact"/>
        <w:ind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评分标准需匹配赛项模块，根据赛项模块选择对应的评分标准。每个模块按照考核的知识点、技能点梳理出评分要点，并根据重要性原则灵活赋分。具体评分标准参考见表3。</w:t>
      </w:r>
    </w:p>
    <w:p>
      <w:pPr>
        <w:pStyle w:val="3"/>
        <w:spacing w:line="600" w:lineRule="exact"/>
        <w:jc w:val="center"/>
        <w:rPr>
          <w:rFonts w:ascii="楷体" w:hAnsi="楷体" w:eastAsia="楷体" w:cs="仿宋"/>
          <w:sz w:val="28"/>
          <w:szCs w:val="28"/>
        </w:rPr>
      </w:pPr>
      <w:r>
        <w:rPr>
          <w:rFonts w:hint="eastAsia" w:ascii="楷体" w:hAnsi="楷体" w:eastAsia="楷体" w:cs="仿宋"/>
          <w:sz w:val="28"/>
          <w:szCs w:val="28"/>
        </w:rPr>
        <w:t>表3  赛项评分标准</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4"/>
        <w:gridCol w:w="4166"/>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438" w:type="pct"/>
            <w:tcBorders>
              <w:top w:val="single" w:color="auto" w:sz="4" w:space="0"/>
            </w:tcBorders>
            <w:tcMar>
              <w:top w:w="113" w:type="dxa"/>
              <w:left w:w="113" w:type="dxa"/>
              <w:bottom w:w="57" w:type="dxa"/>
              <w:right w:w="113" w:type="dxa"/>
            </w:tcMar>
            <w:vAlign w:val="center"/>
          </w:tcPr>
          <w:p>
            <w:pPr>
              <w:spacing w:line="360" w:lineRule="auto"/>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模块</w:t>
            </w:r>
          </w:p>
        </w:tc>
        <w:tc>
          <w:tcPr>
            <w:tcW w:w="2267" w:type="pct"/>
            <w:tcBorders>
              <w:top w:val="single" w:color="auto" w:sz="4" w:space="0"/>
            </w:tcBorders>
            <w:tcMar>
              <w:top w:w="113" w:type="dxa"/>
              <w:left w:w="113" w:type="dxa"/>
              <w:bottom w:w="57" w:type="dxa"/>
              <w:right w:w="113" w:type="dxa"/>
            </w:tcMar>
            <w:vAlign w:val="center"/>
          </w:tcPr>
          <w:p>
            <w:pPr>
              <w:spacing w:line="360" w:lineRule="auto"/>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主观评价要点（60%）</w:t>
            </w:r>
          </w:p>
        </w:tc>
        <w:tc>
          <w:tcPr>
            <w:tcW w:w="2293" w:type="pct"/>
            <w:tcBorders>
              <w:top w:val="single" w:color="auto" w:sz="4" w:space="0"/>
            </w:tcBorders>
            <w:tcMar>
              <w:top w:w="113" w:type="dxa"/>
              <w:left w:w="113" w:type="dxa"/>
              <w:bottom w:w="57" w:type="dxa"/>
              <w:right w:w="113" w:type="dxa"/>
            </w:tcMar>
            <w:vAlign w:val="center"/>
          </w:tcPr>
          <w:p>
            <w:pPr>
              <w:spacing w:line="360" w:lineRule="auto"/>
              <w:jc w:val="center"/>
              <w:rPr>
                <w:rFonts w:hint="eastAsia" w:ascii="方正黑体_GBK" w:hAnsi="方正黑体_GBK" w:eastAsia="方正黑体_GBK" w:cs="方正黑体_GBK"/>
                <w:b w:val="0"/>
                <w:bCs w:val="0"/>
                <w:sz w:val="24"/>
              </w:rPr>
            </w:pPr>
            <w:r>
              <w:rPr>
                <w:rFonts w:hint="eastAsia" w:ascii="方正黑体_GBK" w:hAnsi="方正黑体_GBK" w:eastAsia="方正黑体_GBK" w:cs="方正黑体_GBK"/>
                <w:b w:val="0"/>
                <w:bCs w:val="0"/>
                <w:sz w:val="24"/>
              </w:rPr>
              <w:t>客观评价要点（40%）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7" w:hRule="atLeast"/>
          <w:jc w:val="center"/>
        </w:trPr>
        <w:tc>
          <w:tcPr>
            <w:tcW w:w="438" w:type="pct"/>
            <w:tcMar>
              <w:top w:w="113" w:type="dxa"/>
              <w:left w:w="113" w:type="dxa"/>
              <w:bottom w:w="57" w:type="dxa"/>
              <w:right w:w="113" w:type="dxa"/>
            </w:tcMar>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信息设计</w:t>
            </w:r>
          </w:p>
        </w:tc>
        <w:tc>
          <w:tcPr>
            <w:tcW w:w="2267" w:type="pct"/>
            <w:tcMar>
              <w:top w:w="113" w:type="dxa"/>
              <w:left w:w="113" w:type="dxa"/>
              <w:bottom w:w="57"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1.创意、形式、手法符合行业特征。主题突出、诉求明确、辨识度高；满足美学要求、有创意点(5分）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2.图形、字体、组合设计、绘制成熟、标准(4分）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3.标志在后期延展能满足不同媒介、材质、工艺的应用(2分）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4.文件制作精细程度(4分）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5.设计说明清晰准确（3分）</w:t>
            </w:r>
          </w:p>
        </w:tc>
        <w:tc>
          <w:tcPr>
            <w:tcW w:w="2293" w:type="pct"/>
            <w:tcMar>
              <w:top w:w="113" w:type="dxa"/>
              <w:left w:w="113" w:type="dxa"/>
              <w:bottom w:w="57"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1.文件是否包含了标志标准图形、标准字体、标准组合、标志彩色与单色效果、标志黑白效果(6分）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2.是否有辅助图形开发（2分）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3.是否有设计说明(2分）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4.所有文件是否存储在正确的文件夹内(1分）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5.所有文件存储名称、格式与要求是否正确(1分）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438" w:type="pct"/>
            <w:tcMar>
              <w:top w:w="113" w:type="dxa"/>
              <w:left w:w="113" w:type="dxa"/>
              <w:bottom w:w="57" w:type="dxa"/>
              <w:right w:w="113" w:type="dxa"/>
            </w:tcMar>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广告设计</w:t>
            </w:r>
          </w:p>
        </w:tc>
        <w:tc>
          <w:tcPr>
            <w:tcW w:w="2267" w:type="pct"/>
            <w:tcMar>
              <w:top w:w="113" w:type="dxa"/>
              <w:left w:w="113" w:type="dxa"/>
              <w:bottom w:w="57"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1.创意、形式、手法符合行业特征。主题突出、诉求明确（5分)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2.创意独特、新颖(2分）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3.画面表现有视觉冲击力，能满足美学要求（2分）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4.色彩、版式、字体使用合理（2分）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5.图形、图像、插画、字体绘制成熟、标准（3分）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6.文件制作精细程度（1分）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7.设计说明清晰准确（2分）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8.系列海报视完整度加分（1分）</w:t>
            </w:r>
          </w:p>
        </w:tc>
        <w:tc>
          <w:tcPr>
            <w:tcW w:w="2293" w:type="pct"/>
            <w:tcMar>
              <w:top w:w="113" w:type="dxa"/>
              <w:left w:w="113" w:type="dxa"/>
              <w:bottom w:w="57"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1.文件尺寸、色彩模式、分辨率是否符合印刷、制作要求(3分）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2.印前文件制作是否符合印刷、制作标准，标注是否正确（成品尺寸、纸张材质、印刷工艺）(3分）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3.设计说明是否包含了海报主题创意释义、使用场景描述、海报宣传诉求点(2分）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4.所有文件是否存储在正确的文件夹内(2分）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5.所有文件存储名称、格式与要求是否正确(2分）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38" w:type="pct"/>
            <w:tcMar>
              <w:top w:w="113" w:type="dxa"/>
              <w:left w:w="113" w:type="dxa"/>
              <w:bottom w:w="57" w:type="dxa"/>
              <w:right w:w="113" w:type="dxa"/>
            </w:tcMar>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编辑设计</w:t>
            </w:r>
          </w:p>
        </w:tc>
        <w:tc>
          <w:tcPr>
            <w:tcW w:w="2267" w:type="pct"/>
            <w:tcMar>
              <w:top w:w="113" w:type="dxa"/>
              <w:left w:w="113" w:type="dxa"/>
              <w:bottom w:w="57"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1.形式、手法符合行业特征。主题突出、诉求明确(2分）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2.设计是否独特、新颖(2分）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3.画面表现有视觉冲击力，能满足美学要求(2分）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4.色彩、版式、字体使用合理(4分）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5.图形、图像、插画、字体绘制成熟、标准(4分）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6.条理清晰、阅读顺畅(2分）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7.文件制作精细程度(2分）</w:t>
            </w:r>
          </w:p>
        </w:tc>
        <w:tc>
          <w:tcPr>
            <w:tcW w:w="2293" w:type="pct"/>
            <w:tcMar>
              <w:top w:w="113" w:type="dxa"/>
              <w:left w:w="113" w:type="dxa"/>
              <w:bottom w:w="57"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1.文件尺寸、色彩模式、分辨率是否符合印刷、制作要求(2分）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2.印前文件制作是否符合印刷、制作标准，标注是否正确（成品尺寸、纸张材质、印刷工艺）(3分）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3.设计方案是否包含了封面、封底、内页以及图文混排(3分）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4. 是否有设计说明(2分）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5.所有文件是否存储在正确的文件夹内1分）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6.所有文件存储名称、格式与要求是否正确(1分）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38" w:type="pct"/>
            <w:tcMar>
              <w:top w:w="113" w:type="dxa"/>
              <w:left w:w="113" w:type="dxa"/>
              <w:bottom w:w="57" w:type="dxa"/>
              <w:right w:w="113" w:type="dxa"/>
            </w:tcMar>
            <w:vAlign w:val="center"/>
          </w:tcPr>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sz w:val="24"/>
              </w:rPr>
              <w:t>包装设计</w:t>
            </w:r>
          </w:p>
        </w:tc>
        <w:tc>
          <w:tcPr>
            <w:tcW w:w="2267" w:type="pct"/>
            <w:tcMar>
              <w:top w:w="113" w:type="dxa"/>
              <w:left w:w="113" w:type="dxa"/>
              <w:bottom w:w="57"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1.形式、手法符合行业特征。主题突出、诉求明确、有商业卖点(4分）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2.设计独特、新颖(3分）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3.包装开合方式新颖、独特(2分）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4.画面表现有视觉冲击力，能满足美学要求(2分）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5.色彩、版式、字体使用合理(4分）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6.图形、图像、插画、字体绘制成熟、标准(3分）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7.文件制作精细程度(2分）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8.包装用到特殊印刷工艺(2分）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9.包装用到特殊印刷工艺(1分）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10.设计说明表述准确(1分）</w:t>
            </w:r>
          </w:p>
        </w:tc>
        <w:tc>
          <w:tcPr>
            <w:tcW w:w="2293" w:type="pct"/>
            <w:tcMar>
              <w:top w:w="113" w:type="dxa"/>
              <w:left w:w="113" w:type="dxa"/>
              <w:bottom w:w="57" w:type="dxa"/>
              <w:right w:w="113" w:type="dxa"/>
            </w:tcMar>
            <w:vAlign w:val="center"/>
          </w:tcPr>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1.文件尺寸、色彩模式、分辨率是否符合印刷、制作要求(3分）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2.包装成品尺寸是否能装入产品(3分）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3.印前文件制作是否符合印刷、制作标准，标注是否正确（成品尺寸、纸张材质、印刷工艺）(3分）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4.设计方案是否包含了包装盒设计、外包装袋设计、印前文件制作展开图(2分）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5.是否有设计说明(1分）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6.所有文件是否存储在正确的文件夹内(2分）</w:t>
            </w:r>
          </w:p>
          <w:p>
            <w:pPr>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7.所有文件存储名称、格式与要求是否正确(2分）</w:t>
            </w:r>
          </w:p>
        </w:tc>
      </w:tr>
    </w:tbl>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楷体" w:hAnsi="楷体" w:eastAsia="楷体" w:cs="楷体"/>
          <w:sz w:val="30"/>
          <w:szCs w:val="30"/>
        </w:rPr>
      </w:pPr>
      <w:r>
        <w:rPr>
          <w:rFonts w:hint="eastAsia" w:ascii="楷体" w:hAnsi="楷体" w:eastAsia="楷体" w:cs="楷体"/>
          <w:sz w:val="30"/>
          <w:szCs w:val="30"/>
        </w:rPr>
        <w:t>（二）赛项评分方式</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bCs/>
          <w:sz w:val="30"/>
          <w:szCs w:val="30"/>
        </w:rPr>
        <w:t>1.裁判组成员</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sz w:val="30"/>
          <w:szCs w:val="30"/>
        </w:rPr>
        <w:t>裁判长：1人；主观裁判组：4人（设组长1名）；客观裁判组：4人（设组长1名）；加密裁判：2人（由其他裁判兼任）；总计裁判：9人。</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bCs/>
          <w:sz w:val="30"/>
          <w:szCs w:val="30"/>
        </w:rPr>
        <w:t>2.裁判组成条件</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sz w:val="30"/>
          <w:szCs w:val="30"/>
        </w:rPr>
        <w:t>由河南省职业技能大赛视觉艺术设计赛项专家库抽取。</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bCs/>
          <w:sz w:val="30"/>
          <w:szCs w:val="30"/>
        </w:rPr>
        <w:t>3.评分方法</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sz w:val="30"/>
          <w:szCs w:val="30"/>
        </w:rPr>
        <w:t>（1）主观成绩由主观裁判组评分，采用先定档后打分的方式。</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sz w:val="30"/>
          <w:szCs w:val="30"/>
        </w:rPr>
        <w:t>主观裁判分两组，分别依据评分标准对全部选手所完成的作品整体评审，独立投票赋分（0-3分），基本确定作品定档顺序。对于争议作品（2人以上赋分差值大于1分的），再经充分讨论确定档次后打分，去掉最高分、最低分后，取有效分数的平均分。</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sz w:val="30"/>
          <w:szCs w:val="30"/>
        </w:rPr>
        <w:t>主观评价定档规则：</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sz w:val="30"/>
          <w:szCs w:val="30"/>
        </w:rPr>
        <w:t>A档：赋分8-9分，百分制分值50-59分</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sz w:val="30"/>
          <w:szCs w:val="30"/>
        </w:rPr>
        <w:t>B档：赋分5-7分，百分制分值40-49分</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sz w:val="30"/>
          <w:szCs w:val="30"/>
        </w:rPr>
        <w:t>C档：赋分3-4分，百分制分值30-39分</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sz w:val="30"/>
          <w:szCs w:val="30"/>
        </w:rPr>
        <w:t>D档：赋分0-2分，百分制分值20-29分</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bCs/>
          <w:sz w:val="30"/>
          <w:szCs w:val="30"/>
        </w:rPr>
        <w:t>（2）客观成绩由客观裁判组评分</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sz w:val="30"/>
          <w:szCs w:val="30"/>
        </w:rPr>
        <w:t>客观裁判对参赛队员的作品原始技术文件，依据客观评分标准，对所有选手进行判分。客观评价标准为有并正确该项计满分、无或有但错误该项计0分。如裁判评分有差异，需裁判复查后确定最终分数。</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bCs/>
          <w:sz w:val="30"/>
          <w:szCs w:val="30"/>
        </w:rPr>
      </w:pPr>
      <w:r>
        <w:rPr>
          <w:rFonts w:hint="eastAsia" w:ascii="仿宋" w:hAnsi="仿宋" w:eastAsia="仿宋" w:cs="仿宋_GB2312"/>
          <w:bCs/>
          <w:sz w:val="30"/>
          <w:szCs w:val="30"/>
        </w:rPr>
        <w:t>（3）违规行为分数判定</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sz w:val="30"/>
          <w:szCs w:val="30"/>
        </w:rPr>
        <w:t>在竞赛时段，参赛选手如出现扰乱赛场秩序、干扰裁判和监考正常工作等不文明行为的，由裁判长扣减该专项相应分数，情节严重的取消比赛资格，该专项成绩为0分。参赛选手有作弊行为的，取消比赛资格，该专项成绩为0分。</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sz w:val="30"/>
          <w:szCs w:val="30"/>
        </w:rPr>
        <w:t>参赛选手不得在竞赛作品上标注含有本参赛队信息的记号，如有发现，取消奖项评比资格。</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bCs/>
          <w:sz w:val="30"/>
          <w:szCs w:val="30"/>
        </w:rPr>
      </w:pPr>
      <w:r>
        <w:rPr>
          <w:rFonts w:hint="eastAsia" w:ascii="仿宋" w:hAnsi="仿宋" w:eastAsia="仿宋" w:cs="仿宋_GB2312"/>
          <w:bCs/>
          <w:sz w:val="30"/>
          <w:szCs w:val="30"/>
        </w:rPr>
        <w:t>4.成绩产生方法</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sz w:val="30"/>
          <w:szCs w:val="30"/>
        </w:rPr>
        <w:t>裁判长负责赛事的整体工作安排，主观裁判组负责主观成绩的定档、评分、复核，产生参赛队员的主观评价得分，得分按四舍五入保留小数点后两位；客观裁判组负责客观成绩的评分和复核，产生参赛队员的客观评价得分。由客观裁判组长和主观裁判组长汇总两项得分，相加总分即为参赛队员的最终成绩。</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bCs/>
          <w:sz w:val="30"/>
          <w:szCs w:val="30"/>
        </w:rPr>
      </w:pPr>
      <w:r>
        <w:rPr>
          <w:rFonts w:hint="eastAsia" w:ascii="仿宋" w:hAnsi="仿宋" w:eastAsia="仿宋" w:cs="仿宋_GB2312"/>
          <w:bCs/>
          <w:sz w:val="30"/>
          <w:szCs w:val="30"/>
        </w:rPr>
        <w:t>5.成绩审核方法</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sz w:val="30"/>
          <w:szCs w:val="30"/>
        </w:rPr>
        <w:t>主观评分由客观裁判组长组织审核，客观评分由客观裁判组长组织审核，汇总成绩由两位组长初审，再提交执委会专人复审，最后由裁判长、监督仲裁组长签字。</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bCs/>
          <w:sz w:val="30"/>
          <w:szCs w:val="30"/>
        </w:rPr>
      </w:pPr>
      <w:r>
        <w:rPr>
          <w:rFonts w:hint="eastAsia" w:ascii="仿宋" w:hAnsi="仿宋" w:eastAsia="仿宋" w:cs="仿宋_GB2312"/>
          <w:bCs/>
          <w:sz w:val="30"/>
          <w:szCs w:val="30"/>
        </w:rPr>
        <w:t>6.成绩公示</w:t>
      </w:r>
    </w:p>
    <w:p>
      <w:pPr>
        <w:keepNext w:val="0"/>
        <w:keepLines w:val="0"/>
        <w:pageBreakBefore w:val="0"/>
        <w:widowControl w:val="0"/>
        <w:kinsoku/>
        <w:wordWrap/>
        <w:overflowPunct/>
        <w:topLinePunct w:val="0"/>
        <w:autoSpaceDE/>
        <w:autoSpaceDN/>
        <w:bidi w:val="0"/>
        <w:spacing w:line="560" w:lineRule="exact"/>
        <w:ind w:firstLine="600" w:firstLineChars="200"/>
        <w:jc w:val="left"/>
        <w:textAlignment w:val="auto"/>
        <w:rPr>
          <w:rFonts w:ascii="仿宋" w:hAnsi="仿宋" w:eastAsia="仿宋" w:cs="仿宋_GB2312"/>
          <w:sz w:val="30"/>
          <w:szCs w:val="30"/>
        </w:rPr>
      </w:pPr>
      <w:r>
        <w:rPr>
          <w:rFonts w:hint="eastAsia" w:ascii="仿宋" w:hAnsi="仿宋" w:eastAsia="仿宋" w:cs="仿宋_GB2312"/>
          <w:sz w:val="30"/>
          <w:szCs w:val="30"/>
        </w:rPr>
        <w:t>最终成绩由裁判长、监督仲裁组长签字后进行公示，公示时间为2小时，在公示期间，对成绩有争议的参赛队，可按程序申请仲裁，由仲裁组长组织仲裁。</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十三、奖项设定</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sz w:val="30"/>
          <w:szCs w:val="30"/>
        </w:rPr>
      </w:pPr>
      <w:r>
        <w:rPr>
          <w:rFonts w:hint="eastAsia" w:ascii="仿宋" w:hAnsi="仿宋" w:eastAsia="仿宋"/>
          <w:color w:val="000000"/>
          <w:sz w:val="30"/>
          <w:szCs w:val="30"/>
        </w:rPr>
        <w:t>根据《河南省教育厅办公室关于举办2023年全国职业院校技能大赛河南省选拔赛的通知》（教职成函〔2023〕276号）要求，本次省选拔赛不设置奖项。竞赛结果进行排名，推荐参加国赛。</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十四、赛场预案</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（一）竞赛开赛前，参赛选手确认竞赛工位、现场设备等处于正常状态。</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二）竞赛过程中，参赛选手如遇设备或软件等故障应举手示意，项目裁判长、技术人员等应及时予以解决。确因非选手因素致使操作无法继续的，经项目裁判长确认，予以启用备用设备，因此所造成的时间延误，经报请裁判长批准予以延长比赛时间处理。</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（三）竞赛过程中，参赛选手如遇身体不适可求助现场医务人员予以救治，因此所造成的时间延误，不予延时。</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s="仿宋_GB2312"/>
          <w:sz w:val="30"/>
          <w:szCs w:val="30"/>
        </w:rPr>
      </w:pPr>
      <w:r>
        <w:rPr>
          <w:rFonts w:hint="eastAsia" w:ascii="仿宋" w:hAnsi="仿宋" w:eastAsia="仿宋"/>
          <w:color w:val="000000"/>
          <w:sz w:val="30"/>
          <w:szCs w:val="30"/>
        </w:rPr>
        <w:t>（四）竞赛过程中，如遇突发不可抗力事件，全体人员应立即停止竞赛，撤离至安全场所。由赛项执委会报请大赛执委会再做后续处理。</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十五、赛项安全</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赛事安全是技能竞赛一切工作顺利开展的先决条件，是赛事筹备和运行工作必须考虑的核心问题。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（一）比赛环境</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1．赛场的布置，赛场内的器材、设备，应符合国家有关安全规定。如有必要，也可进行赛场仿真模拟测试，以发现可能出现的问题。承办单位赛前须按照执委会要求排除安全隐患。</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2．赛场周围要设立警戒线，防止无关人员进入发生意外事件。比赛现场内应参照相关职业岗位的要求为选手提供必要的劳动保护。在具有危险性的操作环节，裁判员要严防选手出现错误操作。</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3．承办单位应提供保证应急预案实施的条件。对于比赛内容涉及高空作业、可能有坠物、大用电量、易发生火灾等情况的赛项，必须明确制度和预案，并配备急救人员与设施。</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4．赛项执委会须会同承办单位制定开放赛场和体验区的人员疏导方案。赛场环境中存在人员密集的区域，除了设置齐全的指示标志外，须增加引导人员，并开辟备用通道。</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5．大赛期间，承办单位须在赛场管理的关键岗位，增加力量，建立安全管理日志。</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6．参赛选手进入赛位，赛事裁判及工作人员进入竞赛场所，严禁携带通讯、照相摄录设备，禁止携带记录用具。如确有需要，由赛场统一配置、统一管理。赛项可根据需要配置安检设备对进入赛场重要部位的人员进行安检。</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（二）生活条件</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1．比赛期间，原则上由赛项执委会统一安排参赛选手和指导教师食宿。承办单位须尊重少数民族的信仰及文化，根据国家相关的民族政策，安排好少数民族选手和教师的饮食起居。</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2．比赛期间安排的住宿地应具有宾馆/住宿经营许可资质。以学校宿舍作为住宿地的，大赛期间的住宿、卫生、饮食安全等由执委会和提供宿舍的学校共同负责。</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3．大赛期间有组织的参观和观摩活动的交通安全由执委会负责。执委会和承办单位须保证比赛期间选手、指导教师和裁判员、工作人员的交通安全。</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4．各赛项的安全管理，除了可以采取必要的安全隔离措施外，应严格遵守国家相关法律法规，保护个人隐私和人身自由。</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（三）组队责任</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1．各学校组织代表队时，须安排为参赛选手购买大赛期间的人身意外伤害保险。如果因未购买保险而出现的一切后果，由参赛院校自行承担。</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2．各学校代表队组成后，须制定相关管理制度，并对所有选手、指导教师进行安全教育。</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3．各参赛队伍须加强对参与比赛人员的安全管理，实现与赛场安全管理的对接。</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（四）应急处理</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比赛期间发生意外事故，发现者应第一时间报告赛项执委会，同时采取措施避免事态扩大。赛项执委会应立即启动预案予以解决并上报大赛执委会。赛项出现重大安全问题可以停赛，是否停赛由赛项执委会决定。事后，赛项执委会应向大赛执委会报告详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（五）处罚措施</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1．因参赛队伍原因造成重大安全事故的，取消其获奖资格。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2．参赛队伍有发生重大安全事故隐患，经赛场工作人员提示、警告无效的，可取消其继续比赛的资格。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3．赛事工作人员违规的，按照相应的制度追究责任。情节恶劣并造成重大安全事故的，由司法机关追究相应法律责任。</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十六、申诉与仲裁</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1.各参赛队对不符合大赛和赛项规程规定的仪器、设备、工装、材料、物件、计算机软硬件、竞赛使用工具、用品，竞赛执裁、赛场管理、竞赛成绩，以及工作人员的不规范行为等，可向赛项仲裁组提出申诉。</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2.申诉主体为参赛队领队。</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3.申诉启动时，参赛队向赛项仲裁工作组递交领队亲笔签字同意的书面报告。书面报告应对申诉事件的现象、发生时间、涉及人员、申诉依据等进行充分、实事求是的叙述。非书面申诉不予受理。</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4.申诉应在比赛结束后2小时内向赛项仲裁工作组提出。超过时效不予受理。</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5.赛项仲裁工作组在接到申诉报告后的2小时内组织复议，并及时将复议结果以书面形式告知申诉方。申诉方对复议结果仍有异议，可由领队向仲裁委员会提出申诉。</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6.申诉方不得以任何理由拒绝接收仲裁结果，不得以任何理由采取过激行为扰乱赛场秩序。仲裁结果由申诉人签收，不能代收，如在约定时间和地点申诉人离开，视为自行放弃申诉。</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7.申诉方可随时提出放弃申诉。</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十七、竞赛观摩</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竞赛现场设置观摩区，为保证比赛的公平公正，提供现场有限定的观摩。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（一）观摩对象</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与赛项相关的企业、单位、学院、行业协会等专家、技术人员、指导教师等。</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（二）观摩方法</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观摩人员可在规定时间，以小组为单位，在赛场引导员的引导下，有序进入赛场观摩。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（三）观摩纪律</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1.观摩人员必须佩带观摩证；</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2.观摩时不得议论、交谈，并严禁与选手进行交流；</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3.观摩时不得在赛场内停留，以免影响考生比赛；</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4.观摩时不准向场内裁判及工作人员提问；</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5.观摩时禁止拍照；</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凡违反以上规定者，立即取消观摩资格。</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bookmarkStart w:id="0" w:name="_Toc383039619"/>
      <w:r>
        <w:rPr>
          <w:rFonts w:hint="eastAsia" w:ascii="黑体" w:hAnsi="黑体" w:eastAsia="黑体" w:cs="黑体"/>
          <w:b w:val="0"/>
          <w:color w:val="000000"/>
          <w:kern w:val="2"/>
          <w:sz w:val="30"/>
          <w:szCs w:val="30"/>
        </w:rPr>
        <w:t>十八、竞赛视频</w:t>
      </w:r>
      <w:bookmarkEnd w:id="0"/>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bookmarkStart w:id="1" w:name="_Toc383039620"/>
      <w:r>
        <w:rPr>
          <w:rFonts w:hint="eastAsia" w:ascii="仿宋" w:hAnsi="仿宋" w:eastAsia="仿宋"/>
          <w:color w:val="000000"/>
          <w:sz w:val="30"/>
          <w:szCs w:val="30"/>
        </w:rPr>
        <w:t>1.在赛项组委会的领导下，成立专业工作小组。</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olor w:val="000000"/>
          <w:sz w:val="30"/>
          <w:szCs w:val="30"/>
        </w:rPr>
        <w:t>2.利用多媒体技术及设备录制视频资料，记录竞赛全过程，为宣传、仲裁、资源转化提供全面的信息资料，赛后制作课程流媒体资源。</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十九、竞赛须知</w:t>
      </w:r>
      <w:bookmarkEnd w:id="1"/>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（一）参赛队须知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1．各参赛代表队要发扬良好道德风尚，听从指挥，服从裁判，不弄虚作假。如发现弄虚作假者，取消参赛资格，名次无效。</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2．参赛队名称统一使用规定的地区代表队名称，不使用学校或其他组织、团体名称；不接受跨校组队报名。</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lang w:val="en-US" w:eastAsia="zh-CN"/>
        </w:rPr>
        <w:t>3</w:t>
      </w:r>
      <w:r>
        <w:rPr>
          <w:rFonts w:hint="eastAsia" w:ascii="仿宋" w:hAnsi="仿宋" w:eastAsia="仿宋" w:cs="仿宋"/>
          <w:bCs/>
          <w:sz w:val="30"/>
          <w:szCs w:val="30"/>
        </w:rPr>
        <w:t>．参赛队按照大赛赛程安排，凭大赛组委会颁发的参赛证及标识和有效身份证件参加比赛及相关活动。</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lang w:val="en-US" w:eastAsia="zh-CN"/>
        </w:rPr>
        <w:t>4</w:t>
      </w:r>
      <w:r>
        <w:rPr>
          <w:rFonts w:hint="eastAsia" w:ascii="仿宋" w:hAnsi="仿宋" w:eastAsia="仿宋" w:cs="仿宋"/>
          <w:bCs/>
          <w:sz w:val="30"/>
          <w:szCs w:val="30"/>
        </w:rPr>
        <w:t>．参赛队员需要购买保险。</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（二）指导教师须知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1．各代表队领队要坚决执行竞赛的各项规定，加强对参赛人员的管理，做好赛前准备工作，督促选手带好证件等竞赛相关材料。</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2．竞赛过程中，除参加当场次竞赛的选手、执行裁判员、现场工作人员和经批准的人员外，领队、指导教师及其他人员一律不得进入竞赛场地。</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3．参赛代表队若对竞赛过程有异议，在规定的时间内由领队向赛项监督仲裁组提出书面报告。</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4．对申诉的仲裁结果，领队要带头服从和执行，并做好选手工作。参赛选手不得因申诉或对处理意见不服而停止竞赛，否则以弃权处理。</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sz w:val="30"/>
          <w:szCs w:val="30"/>
        </w:rPr>
      </w:pPr>
      <w:r>
        <w:rPr>
          <w:rFonts w:hint="eastAsia" w:ascii="仿宋" w:hAnsi="仿宋" w:eastAsia="仿宋" w:cs="仿宋"/>
          <w:bCs/>
          <w:sz w:val="30"/>
          <w:szCs w:val="30"/>
        </w:rPr>
        <w:t>5．指导老师应及时查看省教育厅大赛官网、竞赛QQ群、微信群有关赛项的通知和内容，认真研究和掌握本赛项竞赛的规程、技术规范和赛场要求，指导选手做好赛前的一切技术准备和竞赛准备。</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（三）参赛选手须知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1．参赛选手应按有关要求如实填报个人信息，否则取消竞赛资格。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2．参赛选手凭统一印制的参赛证和有效身份证件参加竞赛。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3．参赛选手应认真学习领会本次竞赛相关文件，自觉遵守大赛纪律，服从指挥，听从安排，文明参赛。</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4．参赛选手请勿携带与竞赛无关的电子设备、通讯设备及其他资料与用品。</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5．参赛选手应按照规定时间抵达赛场，凭参赛证、身份证件检录，按要求入场，不得迟到早退。</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6．参赛选手应按抽签结果在指定位置就座。</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7．参赛选手须在确认竞赛内容和现场设备等无误后开始竞赛。在竞赛过程中，如有疑问，参赛选手可举手示意，项目裁判长应按照有关要求及时予以答疑。如遇设备或软件等故障，参赛选手应举手示意，项目裁判长、技术人员等应及时予以解决。确因计算机软件或硬件故障，致使操作无法继续的，经项目裁判长确认，予以启用备用计算机。</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8．各参赛选手必须按规范要求操作竞赛设备。一旦出现较严重的安全事故，经裁判长批准后将立即取消其参赛资格。</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9．竞赛时间终了，选手应全体起立，结束操作。</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10．在竞赛期间，未经执委会的批准，参赛选手不得接受其他单位和个人进行的与竞赛内容相关的采访。参赛选手不得将竞赛的相关信息私自公布。</w:t>
      </w:r>
    </w:p>
    <w:p>
      <w:pPr>
        <w:keepNext w:val="0"/>
        <w:keepLines w:val="0"/>
        <w:pageBreakBefore w:val="0"/>
        <w:widowControl w:val="0"/>
        <w:shd w:val="clear" w:color="auto" w:fill="FFFFFF"/>
        <w:kinsoku/>
        <w:wordWrap/>
        <w:overflowPunct/>
        <w:topLinePunct w:val="0"/>
        <w:autoSpaceDE/>
        <w:autoSpaceDN/>
        <w:bidi w:val="0"/>
        <w:adjustRightInd w:val="0"/>
        <w:spacing w:line="560" w:lineRule="exact"/>
        <w:ind w:firstLine="603" w:firstLineChars="201"/>
        <w:textAlignment w:val="auto"/>
        <w:rPr>
          <w:rFonts w:ascii="仿宋" w:hAnsi="仿宋" w:eastAsia="仿宋"/>
          <w:color w:val="000000"/>
          <w:sz w:val="30"/>
          <w:szCs w:val="30"/>
        </w:rPr>
      </w:pPr>
      <w:r>
        <w:rPr>
          <w:rFonts w:hint="eastAsia" w:ascii="仿宋" w:hAnsi="仿宋" w:eastAsia="仿宋" w:cs="仿宋"/>
          <w:bCs/>
          <w:sz w:val="30"/>
          <w:szCs w:val="30"/>
        </w:rPr>
        <w:t>11．如遇身体不适，参赛选手可求助现场医务人员予以救治</w:t>
      </w:r>
      <w:r>
        <w:rPr>
          <w:rFonts w:hint="eastAsia" w:ascii="仿宋" w:hAnsi="仿宋" w:eastAsia="仿宋"/>
          <w:color w:val="000000"/>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outlineLvl w:val="1"/>
        <w:rPr>
          <w:rFonts w:ascii="楷体" w:hAnsi="楷体" w:eastAsia="楷体" w:cs="方正楷体_GBK"/>
          <w:bCs/>
          <w:sz w:val="30"/>
          <w:szCs w:val="30"/>
        </w:rPr>
      </w:pPr>
      <w:r>
        <w:rPr>
          <w:rFonts w:hint="eastAsia" w:ascii="楷体" w:hAnsi="楷体" w:eastAsia="楷体" w:cs="方正楷体_GBK"/>
          <w:bCs/>
          <w:sz w:val="30"/>
          <w:szCs w:val="30"/>
        </w:rPr>
        <w:t>（四）工作人员须知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1．工作人员必须统一佩戴由大赛组委会签发的相应证件，着装整齐。</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2．工作人员不得影响参赛选手比赛，不允许有影响比赛公平的行为。</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3．服从领导，听从指挥，以高度负责的精神、严肃认真的态度做好各项工作。</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4．熟悉比赛规程，认真遵守各项比赛规则和工作要求。</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5．坚守岗位，如有急事需要离开岗位时，应经领导同意，并做好工作衔接。</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s="仿宋"/>
          <w:bCs/>
          <w:sz w:val="30"/>
          <w:szCs w:val="30"/>
        </w:rPr>
      </w:pPr>
      <w:r>
        <w:rPr>
          <w:rFonts w:hint="eastAsia" w:ascii="仿宋" w:hAnsi="仿宋" w:eastAsia="仿宋" w:cs="仿宋"/>
          <w:bCs/>
          <w:sz w:val="30"/>
          <w:szCs w:val="30"/>
        </w:rPr>
        <w:t>6．严格遵守比赛纪律，如发现其他人员有违反比赛纪律的行为，应予以制止。情节严重的，应向竞赛组委会反映。</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ascii="仿宋" w:hAnsi="仿宋" w:eastAsia="仿宋"/>
          <w:color w:val="000000"/>
          <w:sz w:val="30"/>
          <w:szCs w:val="30"/>
        </w:rPr>
      </w:pPr>
      <w:r>
        <w:rPr>
          <w:rFonts w:hint="eastAsia" w:ascii="仿宋" w:hAnsi="仿宋" w:eastAsia="仿宋" w:cs="仿宋"/>
          <w:bCs/>
          <w:sz w:val="30"/>
          <w:szCs w:val="30"/>
        </w:rPr>
        <w:t>7．发扬无私奉献和团结协作的精神，提供热情、优质服务。</w:t>
      </w:r>
    </w:p>
    <w:p>
      <w:pPr>
        <w:pStyle w:val="28"/>
        <w:keepNext w:val="0"/>
        <w:keepLines w:val="0"/>
        <w:pageBreakBefore w:val="0"/>
        <w:widowControl w:val="0"/>
        <w:kinsoku/>
        <w:wordWrap/>
        <w:overflowPunct/>
        <w:topLinePunct w:val="0"/>
        <w:autoSpaceDE/>
        <w:autoSpaceDN/>
        <w:bidi w:val="0"/>
        <w:spacing w:before="0" w:after="0" w:line="560" w:lineRule="exact"/>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二十、其他</w:t>
      </w:r>
    </w:p>
    <w:p>
      <w:pPr>
        <w:keepNext w:val="0"/>
        <w:keepLines w:val="0"/>
        <w:pageBreakBefore w:val="0"/>
        <w:widowControl w:val="0"/>
        <w:kinsoku/>
        <w:wordWrap/>
        <w:overflowPunct/>
        <w:topLinePunct w:val="0"/>
        <w:autoSpaceDE/>
        <w:autoSpaceDN/>
        <w:bidi w:val="0"/>
        <w:spacing w:line="560" w:lineRule="exact"/>
        <w:ind w:firstLine="600" w:firstLineChars="200"/>
        <w:textAlignment w:val="auto"/>
        <w:rPr>
          <w:rFonts w:ascii="仿宋" w:hAnsi="仿宋" w:eastAsia="仿宋" w:cs="仿宋"/>
          <w:color w:val="000000"/>
          <w:sz w:val="30"/>
          <w:szCs w:val="30"/>
        </w:rPr>
      </w:pPr>
      <w:r>
        <w:rPr>
          <w:rFonts w:hint="eastAsia" w:ascii="仿宋" w:hAnsi="仿宋" w:eastAsia="仿宋" w:cs="仿宋"/>
          <w:color w:val="000000"/>
          <w:sz w:val="30"/>
          <w:szCs w:val="30"/>
        </w:rPr>
        <w:t>本次选拔赛不收取参赛费用与报名费用，大赛期间食宿统一安排，费用自理。</w:t>
      </w:r>
    </w:p>
    <w:p>
      <w:pPr>
        <w:spacing w:line="600" w:lineRule="exact"/>
        <w:ind w:firstLine="600" w:firstLineChars="200"/>
        <w:jc w:val="left"/>
        <w:rPr>
          <w:rFonts w:ascii="仿宋_GB2312" w:hAnsi="仿宋" w:eastAsia="仿宋_GB2312"/>
          <w:sz w:val="30"/>
          <w:szCs w:val="30"/>
        </w:rPr>
      </w:pPr>
    </w:p>
    <w:sectPr>
      <w:pgSz w:w="11906" w:h="16838"/>
      <w:pgMar w:top="1418" w:right="1474" w:bottom="1418"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2VhMmZmMDBhYTdiM2U0YmRkZGYyNDg1ZjZjNGYifQ=="/>
  </w:docVars>
  <w:rsids>
    <w:rsidRoot w:val="230744CF"/>
    <w:rsid w:val="0003264F"/>
    <w:rsid w:val="00033BFF"/>
    <w:rsid w:val="00045468"/>
    <w:rsid w:val="000467F3"/>
    <w:rsid w:val="00055E8A"/>
    <w:rsid w:val="00063DCD"/>
    <w:rsid w:val="00065213"/>
    <w:rsid w:val="00085DDB"/>
    <w:rsid w:val="0009101C"/>
    <w:rsid w:val="00093EF8"/>
    <w:rsid w:val="000B217A"/>
    <w:rsid w:val="000E033B"/>
    <w:rsid w:val="00141755"/>
    <w:rsid w:val="001472D1"/>
    <w:rsid w:val="00147D37"/>
    <w:rsid w:val="00196833"/>
    <w:rsid w:val="001A4765"/>
    <w:rsid w:val="001B468C"/>
    <w:rsid w:val="001B4AA0"/>
    <w:rsid w:val="001B7427"/>
    <w:rsid w:val="001C2523"/>
    <w:rsid w:val="001D408A"/>
    <w:rsid w:val="002055C5"/>
    <w:rsid w:val="00275F2E"/>
    <w:rsid w:val="002778B2"/>
    <w:rsid w:val="00290BC9"/>
    <w:rsid w:val="002C0FD9"/>
    <w:rsid w:val="00321586"/>
    <w:rsid w:val="00332768"/>
    <w:rsid w:val="00352C40"/>
    <w:rsid w:val="0037567D"/>
    <w:rsid w:val="00375BFC"/>
    <w:rsid w:val="003975CE"/>
    <w:rsid w:val="003C588B"/>
    <w:rsid w:val="003D2449"/>
    <w:rsid w:val="003E322E"/>
    <w:rsid w:val="003E598F"/>
    <w:rsid w:val="003E62EC"/>
    <w:rsid w:val="003F361F"/>
    <w:rsid w:val="003F5C4D"/>
    <w:rsid w:val="00402AE7"/>
    <w:rsid w:val="00421FAA"/>
    <w:rsid w:val="00435F72"/>
    <w:rsid w:val="004407E3"/>
    <w:rsid w:val="004513CB"/>
    <w:rsid w:val="00451B82"/>
    <w:rsid w:val="00464230"/>
    <w:rsid w:val="00484D0B"/>
    <w:rsid w:val="00490E53"/>
    <w:rsid w:val="00492290"/>
    <w:rsid w:val="004B6525"/>
    <w:rsid w:val="004C0CC4"/>
    <w:rsid w:val="004C7124"/>
    <w:rsid w:val="00500212"/>
    <w:rsid w:val="00514140"/>
    <w:rsid w:val="005262F7"/>
    <w:rsid w:val="005351DA"/>
    <w:rsid w:val="00555148"/>
    <w:rsid w:val="00580BB0"/>
    <w:rsid w:val="00583D2C"/>
    <w:rsid w:val="005B749D"/>
    <w:rsid w:val="005C3697"/>
    <w:rsid w:val="005E4CB5"/>
    <w:rsid w:val="005F2D29"/>
    <w:rsid w:val="005F6E68"/>
    <w:rsid w:val="006243A0"/>
    <w:rsid w:val="00632516"/>
    <w:rsid w:val="006524BB"/>
    <w:rsid w:val="00660592"/>
    <w:rsid w:val="006631C3"/>
    <w:rsid w:val="00664ACA"/>
    <w:rsid w:val="00666F46"/>
    <w:rsid w:val="00670B42"/>
    <w:rsid w:val="006861BF"/>
    <w:rsid w:val="006A6A21"/>
    <w:rsid w:val="006A7859"/>
    <w:rsid w:val="006B6678"/>
    <w:rsid w:val="006B79E7"/>
    <w:rsid w:val="006C33BC"/>
    <w:rsid w:val="006C385A"/>
    <w:rsid w:val="006C44D4"/>
    <w:rsid w:val="006E415F"/>
    <w:rsid w:val="006E585C"/>
    <w:rsid w:val="0070128A"/>
    <w:rsid w:val="00717D3B"/>
    <w:rsid w:val="007309D6"/>
    <w:rsid w:val="00735040"/>
    <w:rsid w:val="007447ED"/>
    <w:rsid w:val="0074631B"/>
    <w:rsid w:val="00757D96"/>
    <w:rsid w:val="007616D2"/>
    <w:rsid w:val="007744E3"/>
    <w:rsid w:val="00794FFF"/>
    <w:rsid w:val="007A2D66"/>
    <w:rsid w:val="007D1541"/>
    <w:rsid w:val="007D397A"/>
    <w:rsid w:val="007F295E"/>
    <w:rsid w:val="008128B1"/>
    <w:rsid w:val="00823D9B"/>
    <w:rsid w:val="0083330C"/>
    <w:rsid w:val="00845DC4"/>
    <w:rsid w:val="0085368C"/>
    <w:rsid w:val="0086672F"/>
    <w:rsid w:val="0087174E"/>
    <w:rsid w:val="00881C2F"/>
    <w:rsid w:val="00897EDA"/>
    <w:rsid w:val="008A0170"/>
    <w:rsid w:val="008B2584"/>
    <w:rsid w:val="008B33D5"/>
    <w:rsid w:val="008B3A5C"/>
    <w:rsid w:val="008C1BEB"/>
    <w:rsid w:val="008C473C"/>
    <w:rsid w:val="008E1C16"/>
    <w:rsid w:val="008F18DE"/>
    <w:rsid w:val="00901582"/>
    <w:rsid w:val="009044B4"/>
    <w:rsid w:val="009046FF"/>
    <w:rsid w:val="009258B3"/>
    <w:rsid w:val="00930D12"/>
    <w:rsid w:val="0097655D"/>
    <w:rsid w:val="0098373C"/>
    <w:rsid w:val="00987E1C"/>
    <w:rsid w:val="0099078E"/>
    <w:rsid w:val="009A43A5"/>
    <w:rsid w:val="009A7CC7"/>
    <w:rsid w:val="009B0CD3"/>
    <w:rsid w:val="009C5B55"/>
    <w:rsid w:val="009D1DB1"/>
    <w:rsid w:val="009E0A39"/>
    <w:rsid w:val="00A36110"/>
    <w:rsid w:val="00A86CB3"/>
    <w:rsid w:val="00AA07E1"/>
    <w:rsid w:val="00AA58E8"/>
    <w:rsid w:val="00AB1918"/>
    <w:rsid w:val="00AD736F"/>
    <w:rsid w:val="00AF09F5"/>
    <w:rsid w:val="00AF5839"/>
    <w:rsid w:val="00B076B0"/>
    <w:rsid w:val="00B15029"/>
    <w:rsid w:val="00B23033"/>
    <w:rsid w:val="00B23149"/>
    <w:rsid w:val="00B3271A"/>
    <w:rsid w:val="00B43EC5"/>
    <w:rsid w:val="00B55FFE"/>
    <w:rsid w:val="00B63B77"/>
    <w:rsid w:val="00B933C1"/>
    <w:rsid w:val="00BA74BA"/>
    <w:rsid w:val="00BB50B8"/>
    <w:rsid w:val="00BC4D9B"/>
    <w:rsid w:val="00BE33E7"/>
    <w:rsid w:val="00C02A59"/>
    <w:rsid w:val="00C249DA"/>
    <w:rsid w:val="00C41A39"/>
    <w:rsid w:val="00C53BF8"/>
    <w:rsid w:val="00C5780D"/>
    <w:rsid w:val="00C85E8C"/>
    <w:rsid w:val="00C920F8"/>
    <w:rsid w:val="00CA7B1A"/>
    <w:rsid w:val="00CB5295"/>
    <w:rsid w:val="00CD2654"/>
    <w:rsid w:val="00D025C3"/>
    <w:rsid w:val="00D047B8"/>
    <w:rsid w:val="00D101CE"/>
    <w:rsid w:val="00D37899"/>
    <w:rsid w:val="00D50770"/>
    <w:rsid w:val="00D569D8"/>
    <w:rsid w:val="00D61F9F"/>
    <w:rsid w:val="00D77792"/>
    <w:rsid w:val="00DA03E8"/>
    <w:rsid w:val="00DC2368"/>
    <w:rsid w:val="00E34029"/>
    <w:rsid w:val="00E35AC8"/>
    <w:rsid w:val="00E455B8"/>
    <w:rsid w:val="00E5120E"/>
    <w:rsid w:val="00E53403"/>
    <w:rsid w:val="00E67365"/>
    <w:rsid w:val="00E7722B"/>
    <w:rsid w:val="00E8587D"/>
    <w:rsid w:val="00E872D1"/>
    <w:rsid w:val="00E87882"/>
    <w:rsid w:val="00E958A4"/>
    <w:rsid w:val="00EA71C8"/>
    <w:rsid w:val="00EA7A2F"/>
    <w:rsid w:val="00EB0DC3"/>
    <w:rsid w:val="00EB3AC6"/>
    <w:rsid w:val="00EB6D4D"/>
    <w:rsid w:val="00EC183F"/>
    <w:rsid w:val="00ED3FB5"/>
    <w:rsid w:val="00EF2964"/>
    <w:rsid w:val="00F01981"/>
    <w:rsid w:val="00F06B3B"/>
    <w:rsid w:val="00F348E6"/>
    <w:rsid w:val="00F428B3"/>
    <w:rsid w:val="00F44BF5"/>
    <w:rsid w:val="00F50BFF"/>
    <w:rsid w:val="00F533FC"/>
    <w:rsid w:val="00F60DAF"/>
    <w:rsid w:val="00F70A12"/>
    <w:rsid w:val="00F96D96"/>
    <w:rsid w:val="00FB4731"/>
    <w:rsid w:val="00FD60F4"/>
    <w:rsid w:val="01AC25DE"/>
    <w:rsid w:val="026B6301"/>
    <w:rsid w:val="053242B0"/>
    <w:rsid w:val="063E041C"/>
    <w:rsid w:val="09255593"/>
    <w:rsid w:val="0A3960E0"/>
    <w:rsid w:val="0BA27250"/>
    <w:rsid w:val="0D2059B8"/>
    <w:rsid w:val="0E7831BE"/>
    <w:rsid w:val="0F431FED"/>
    <w:rsid w:val="12817A52"/>
    <w:rsid w:val="183B02FE"/>
    <w:rsid w:val="18B91EC2"/>
    <w:rsid w:val="1ADD2620"/>
    <w:rsid w:val="1D5E3A3C"/>
    <w:rsid w:val="1D660B43"/>
    <w:rsid w:val="1FE65F6B"/>
    <w:rsid w:val="210E5783"/>
    <w:rsid w:val="230744CF"/>
    <w:rsid w:val="27C748D4"/>
    <w:rsid w:val="284072ED"/>
    <w:rsid w:val="2A8F756A"/>
    <w:rsid w:val="2B0A5203"/>
    <w:rsid w:val="2BB05DAB"/>
    <w:rsid w:val="2D285697"/>
    <w:rsid w:val="2D4200B4"/>
    <w:rsid w:val="2E441C50"/>
    <w:rsid w:val="2E5642BC"/>
    <w:rsid w:val="33947BB0"/>
    <w:rsid w:val="34762022"/>
    <w:rsid w:val="368019CF"/>
    <w:rsid w:val="36CA1CEB"/>
    <w:rsid w:val="3824669B"/>
    <w:rsid w:val="395A03CB"/>
    <w:rsid w:val="3A40479E"/>
    <w:rsid w:val="3B8F1237"/>
    <w:rsid w:val="3C6B3C84"/>
    <w:rsid w:val="3D0A471F"/>
    <w:rsid w:val="40057E25"/>
    <w:rsid w:val="40561FE6"/>
    <w:rsid w:val="414060D5"/>
    <w:rsid w:val="42664FBD"/>
    <w:rsid w:val="439B0C97"/>
    <w:rsid w:val="44D81A76"/>
    <w:rsid w:val="44DD05F8"/>
    <w:rsid w:val="45505AB1"/>
    <w:rsid w:val="486A13EF"/>
    <w:rsid w:val="496409A7"/>
    <w:rsid w:val="4C724D60"/>
    <w:rsid w:val="4E8128E6"/>
    <w:rsid w:val="4E893B06"/>
    <w:rsid w:val="4E9F1672"/>
    <w:rsid w:val="4FFF40EF"/>
    <w:rsid w:val="52287B99"/>
    <w:rsid w:val="56255664"/>
    <w:rsid w:val="577D023F"/>
    <w:rsid w:val="58F3258A"/>
    <w:rsid w:val="59D446EF"/>
    <w:rsid w:val="5B4338A3"/>
    <w:rsid w:val="5B5F2152"/>
    <w:rsid w:val="5EB539D4"/>
    <w:rsid w:val="60A776BB"/>
    <w:rsid w:val="618D6C18"/>
    <w:rsid w:val="6641232F"/>
    <w:rsid w:val="69CE11A9"/>
    <w:rsid w:val="69D16B06"/>
    <w:rsid w:val="6B963247"/>
    <w:rsid w:val="6CD52D07"/>
    <w:rsid w:val="6D6271E8"/>
    <w:rsid w:val="6EF06378"/>
    <w:rsid w:val="6F247503"/>
    <w:rsid w:val="6F3D425C"/>
    <w:rsid w:val="6F4057E2"/>
    <w:rsid w:val="6F502CF8"/>
    <w:rsid w:val="6F7559B0"/>
    <w:rsid w:val="6FFE6A23"/>
    <w:rsid w:val="70293AFD"/>
    <w:rsid w:val="72402AB2"/>
    <w:rsid w:val="735D2FC3"/>
    <w:rsid w:val="74931D5C"/>
    <w:rsid w:val="75495400"/>
    <w:rsid w:val="75751A18"/>
    <w:rsid w:val="775F5D11"/>
    <w:rsid w:val="78A477E3"/>
    <w:rsid w:val="7B937633"/>
    <w:rsid w:val="7E747B3F"/>
    <w:rsid w:val="7EDFFE78"/>
    <w:rsid w:val="7F4E4511"/>
    <w:rsid w:val="7FEFEF2C"/>
    <w:rsid w:val="BF7121D0"/>
    <w:rsid w:val="CF87F1A3"/>
    <w:rsid w:val="EFAFA65D"/>
    <w:rsid w:val="F9FD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sz w:val="20"/>
      <w:szCs w:val="20"/>
    </w:rPr>
  </w:style>
  <w:style w:type="paragraph" w:styleId="3">
    <w:name w:val="Body Text"/>
    <w:basedOn w:val="1"/>
    <w:link w:val="27"/>
    <w:qFormat/>
    <w:uiPriority w:val="1"/>
    <w:pPr>
      <w:autoSpaceDE w:val="0"/>
      <w:autoSpaceDN w:val="0"/>
      <w:jc w:val="left"/>
    </w:pPr>
    <w:rPr>
      <w:rFonts w:ascii="宋体" w:hAnsi="宋体" w:eastAsia="宋体" w:cs="宋体"/>
      <w:kern w:val="0"/>
      <w:sz w:val="32"/>
      <w:szCs w:val="32"/>
      <w:lang w:val="zh-CN" w:bidi="zh-CN"/>
    </w:rPr>
  </w:style>
  <w:style w:type="paragraph" w:styleId="6">
    <w:name w:val="index 8"/>
    <w:basedOn w:val="1"/>
    <w:next w:val="1"/>
    <w:qFormat/>
    <w:uiPriority w:val="0"/>
    <w:pPr>
      <w:ind w:left="2940"/>
    </w:pPr>
    <w:rPr>
      <w:rFonts w:ascii="Calibri" w:hAnsi="Calibri" w:eastAsia="宋体" w:cs="Arial"/>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index 9"/>
    <w:basedOn w:val="1"/>
    <w:next w:val="1"/>
    <w:qFormat/>
    <w:uiPriority w:val="0"/>
    <w:pPr>
      <w:ind w:left="3360"/>
    </w:pPr>
    <w:rPr>
      <w:rFonts w:ascii="Calibri" w:hAnsi="Calibri" w:eastAsia="宋体" w:cs="Arial"/>
    </w:rPr>
  </w:style>
  <w:style w:type="paragraph" w:styleId="10">
    <w:name w:val="Title"/>
    <w:basedOn w:val="1"/>
    <w:next w:val="1"/>
    <w:link w:val="20"/>
    <w:qFormat/>
    <w:uiPriority w:val="0"/>
    <w:pPr>
      <w:snapToGrid w:val="0"/>
      <w:spacing w:line="540" w:lineRule="exact"/>
      <w:jc w:val="center"/>
    </w:pPr>
    <w:rPr>
      <w:rFonts w:ascii="黑体" w:hAnsi="黑体" w:eastAsia="黑体" w:cs="Times New Roman"/>
      <w:b/>
      <w:kern w:val="0"/>
      <w:sz w:val="36"/>
      <w:szCs w:val="36"/>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rFonts w:ascii="Times New Roman" w:hAnsi="Times New Roman" w:eastAsia="宋体" w:cs="Times New Roman"/>
      <w:b/>
    </w:rPr>
  </w:style>
  <w:style w:type="character" w:styleId="15">
    <w:name w:val="Emphasis"/>
    <w:basedOn w:val="13"/>
    <w:qFormat/>
    <w:uiPriority w:val="20"/>
    <w:rPr>
      <w:i/>
      <w:iCs/>
    </w:rPr>
  </w:style>
  <w:style w:type="paragraph" w:customStyle="1" w:styleId="16">
    <w:name w:val="Normal_17"/>
    <w:next w:val="6"/>
    <w:qFormat/>
    <w:uiPriority w:val="0"/>
    <w:pPr>
      <w:spacing w:before="120" w:after="240"/>
      <w:jc w:val="both"/>
    </w:pPr>
    <w:rPr>
      <w:rFonts w:ascii="Calibri" w:hAnsi="Calibri" w:eastAsia="宋体" w:cs="Calibri"/>
      <w:sz w:val="22"/>
      <w:szCs w:val="22"/>
      <w:lang w:val="ru-RU" w:eastAsia="en-US" w:bidi="ar-SA"/>
    </w:rPr>
  </w:style>
  <w:style w:type="paragraph" w:customStyle="1" w:styleId="17">
    <w:name w:val="列出段落1"/>
    <w:next w:val="9"/>
    <w:qFormat/>
    <w:uiPriority w:val="0"/>
    <w:pPr>
      <w:widowControl w:val="0"/>
      <w:ind w:firstLine="200" w:firstLineChars="200"/>
      <w:jc w:val="both"/>
    </w:pPr>
    <w:rPr>
      <w:rFonts w:ascii="Calibri" w:hAnsi="Calibri" w:eastAsia="宋体" w:cs="Calibri"/>
      <w:kern w:val="2"/>
      <w:sz w:val="21"/>
      <w:szCs w:val="21"/>
      <w:lang w:val="en-US" w:eastAsia="zh-CN" w:bidi="ar-SA"/>
    </w:rPr>
  </w:style>
  <w:style w:type="character" w:customStyle="1" w:styleId="18">
    <w:name w:val="页眉 Char"/>
    <w:basedOn w:val="13"/>
    <w:link w:val="8"/>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标题 Char"/>
    <w:basedOn w:val="13"/>
    <w:link w:val="10"/>
    <w:qFormat/>
    <w:uiPriority w:val="0"/>
    <w:rPr>
      <w:rFonts w:ascii="黑体" w:hAnsi="黑体" w:eastAsia="黑体"/>
      <w:b/>
      <w:sz w:val="36"/>
      <w:szCs w:val="36"/>
    </w:rPr>
  </w:style>
  <w:style w:type="paragraph" w:customStyle="1" w:styleId="2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2">
    <w:name w:val="页脚 Char"/>
    <w:link w:val="7"/>
    <w:qFormat/>
    <w:uiPriority w:val="99"/>
    <w:rPr>
      <w:rFonts w:asciiTheme="minorHAnsi" w:hAnsiTheme="minorHAnsi" w:eastAsiaTheme="minorEastAsia" w:cstheme="minorBidi"/>
      <w:kern w:val="2"/>
      <w:sz w:val="18"/>
      <w:szCs w:val="24"/>
    </w:rPr>
  </w:style>
  <w:style w:type="character" w:customStyle="1" w:styleId="23">
    <w:name w:val="NormalCharacter"/>
    <w:semiHidden/>
    <w:qFormat/>
    <w:uiPriority w:val="0"/>
  </w:style>
  <w:style w:type="paragraph" w:customStyle="1" w:styleId="24">
    <w:name w:val="PlainText"/>
    <w:basedOn w:val="1"/>
    <w:qFormat/>
    <w:uiPriority w:val="0"/>
    <w:pPr>
      <w:jc w:val="left"/>
    </w:pPr>
    <w:rPr>
      <w:rFonts w:ascii="Calibri" w:hAnsi="Courier New"/>
      <w:kern w:val="0"/>
      <w:szCs w:val="21"/>
    </w:rPr>
  </w:style>
  <w:style w:type="paragraph" w:customStyle="1" w:styleId="25">
    <w:name w:val="Heading1"/>
    <w:basedOn w:val="1"/>
    <w:next w:val="1"/>
    <w:qFormat/>
    <w:uiPriority w:val="0"/>
    <w:pPr>
      <w:keepNext/>
      <w:keepLines/>
      <w:spacing w:before="340" w:after="330" w:line="578" w:lineRule="auto"/>
    </w:pPr>
    <w:rPr>
      <w:kern w:val="44"/>
      <w:sz w:val="44"/>
      <w:szCs w:val="44"/>
    </w:rPr>
  </w:style>
  <w:style w:type="paragraph" w:customStyle="1" w:styleId="26">
    <w:name w:val="UserStyle_5"/>
    <w:basedOn w:val="25"/>
    <w:qFormat/>
    <w:uiPriority w:val="0"/>
    <w:pPr>
      <w:spacing w:before="156" w:after="156" w:line="360" w:lineRule="auto"/>
    </w:pPr>
    <w:rPr>
      <w:rFonts w:eastAsia="黑体" w:cs="宋体"/>
      <w:sz w:val="32"/>
      <w:szCs w:val="20"/>
    </w:rPr>
  </w:style>
  <w:style w:type="character" w:customStyle="1" w:styleId="27">
    <w:name w:val="正文文本 Char"/>
    <w:basedOn w:val="13"/>
    <w:link w:val="3"/>
    <w:qFormat/>
    <w:uiPriority w:val="1"/>
    <w:rPr>
      <w:rFonts w:ascii="宋体" w:hAnsi="宋体" w:cs="宋体"/>
      <w:sz w:val="32"/>
      <w:szCs w:val="32"/>
      <w:lang w:val="zh-CN" w:bidi="zh-CN"/>
    </w:rPr>
  </w:style>
  <w:style w:type="paragraph" w:customStyle="1" w:styleId="28">
    <w:name w:val="样式 标题 1 + 段前: 0.5 行 段后: 0.5 行"/>
    <w:basedOn w:val="4"/>
    <w:qFormat/>
    <w:uiPriority w:val="0"/>
    <w:pPr>
      <w:widowControl/>
      <w:spacing w:before="156" w:after="156" w:line="360" w:lineRule="auto"/>
    </w:pPr>
    <w:rPr>
      <w:rFonts w:ascii="Times New Roman" w:hAnsi="Times New Roman" w:eastAsia="宋体" w:cs="宋体"/>
      <w:bCs w:val="0"/>
      <w:sz w:val="32"/>
      <w:szCs w:val="20"/>
    </w:rPr>
  </w:style>
  <w:style w:type="character" w:customStyle="1" w:styleId="29">
    <w:name w:val="标题 1 Char"/>
    <w:basedOn w:val="13"/>
    <w:link w:val="4"/>
    <w:qFormat/>
    <w:uiPriority w:val="0"/>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9826</Words>
  <Characters>10366</Characters>
  <Lines>76</Lines>
  <Paragraphs>21</Paragraphs>
  <TotalTime>58</TotalTime>
  <ScaleCrop>false</ScaleCrop>
  <LinksUpToDate>false</LinksUpToDate>
  <CharactersWithSpaces>10398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2022-08-06T10:31:00Z</dcterms:created>
  <dc:creator>刂\彗╮·訫</dc:creator>
  <cp:lastModifiedBy>uos</cp:lastModifiedBy>
  <dcterms:modified xsi:type="dcterms:W3CDTF">2023-05-19T14:49:00Z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0E690B6CA8DA455A9E40B519BFD34670</vt:lpwstr>
  </property>
</Properties>
</file>