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0"/>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2024年河南省高等职业教育技能大赛</w:t>
      </w: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0"/>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跨境电子商务赛项竞赛方案</w:t>
      </w:r>
    </w:p>
    <w:p>
      <w:pPr>
        <w:adjustRightInd w:val="0"/>
        <w:snapToGrid w:val="0"/>
        <w:jc w:val="center"/>
        <w:textAlignment w:val="auto"/>
        <w:rPr>
          <w:rFonts w:hint="eastAsia" w:ascii="仿宋_GB2312" w:hAnsi="仿宋_GB2312" w:eastAsia="仿宋_GB2312" w:cs="仿宋_GB2312"/>
          <w:color w:val="FF0000"/>
          <w:sz w:val="30"/>
        </w:rPr>
      </w:pPr>
    </w:p>
    <w:p>
      <w:pPr>
        <w:adjustRightInd w:val="0"/>
        <w:snapToGrid w:val="0"/>
        <w:jc w:val="center"/>
        <w:textAlignment w:val="auto"/>
        <w:rPr>
          <w:rFonts w:ascii="仿宋" w:hAnsi="仿宋" w:eastAsia="仿宋" w:cs="仿宋"/>
          <w:spacing w:val="4"/>
          <w:sz w:val="31"/>
          <w:szCs w:val="31"/>
        </w:rPr>
      </w:pPr>
    </w:p>
    <w:p>
      <w:pPr>
        <w:pStyle w:val="4"/>
        <w:pageBreakBefore w:val="0"/>
        <w:widowControl/>
        <w:kinsoku/>
        <w:wordWrap w:val="0"/>
        <w:overflowPunct/>
        <w:topLinePunct w:val="0"/>
        <w:autoSpaceDE w:val="0"/>
        <w:autoSpaceDN w:val="0"/>
        <w:bidi w:val="0"/>
        <w:adjustRightInd w:val="0"/>
        <w:snapToGrid w:val="0"/>
        <w:spacing w:before="0" w:after="0" w:line="560" w:lineRule="exact"/>
        <w:ind w:left="0" w:right="0" w:firstLine="600" w:firstLineChars="200"/>
        <w:jc w:val="both"/>
        <w:textAlignment w:val="baseline"/>
        <w:rPr>
          <w:rFonts w:ascii="黑体" w:hAnsi="黑体" w:eastAsia="黑体"/>
          <w:b w:val="0"/>
          <w:color w:val="000000" w:themeColor="text1"/>
          <w:sz w:val="30"/>
          <w:szCs w:val="30"/>
          <w14:textFill>
            <w14:solidFill>
              <w14:schemeClr w14:val="tx1"/>
            </w14:solidFill>
          </w14:textFill>
        </w:rPr>
      </w:pPr>
      <w:r>
        <w:rPr>
          <w:rFonts w:hint="eastAsia" w:ascii="黑体" w:hAnsi="黑体" w:eastAsia="黑体"/>
          <w:b w:val="0"/>
          <w:color w:val="000000" w:themeColor="text1"/>
          <w:sz w:val="30"/>
          <w:szCs w:val="30"/>
          <w14:textFill>
            <w14:solidFill>
              <w14:schemeClr w14:val="tx1"/>
            </w14:solidFill>
          </w14:textFill>
        </w:rPr>
        <w:t>一、赛项名称</w:t>
      </w:r>
      <w:bookmarkStart w:id="1" w:name="_GoBack"/>
      <w:bookmarkEnd w:id="1"/>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赛项名称：</w:t>
      </w:r>
      <w:r>
        <w:rPr>
          <w:rFonts w:hint="eastAsia" w:ascii="仿宋" w:hAnsi="仿宋" w:eastAsia="仿宋" w:cs="仿宋"/>
          <w:color w:val="000000" w:themeColor="text1"/>
          <w:sz w:val="30"/>
          <w:szCs w:val="30"/>
          <w:lang w:val="en-US" w:eastAsia="zh-CN"/>
          <w14:textFill>
            <w14:solidFill>
              <w14:schemeClr w14:val="tx1"/>
            </w14:solidFill>
          </w14:textFill>
        </w:rPr>
        <w:t>跨境电商</w:t>
      </w:r>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赛项</w:t>
      </w:r>
      <w:r>
        <w:rPr>
          <w:rFonts w:hint="eastAsia" w:ascii="仿宋" w:hAnsi="仿宋" w:eastAsia="仿宋" w:cs="仿宋"/>
          <w:color w:val="000000" w:themeColor="text1"/>
          <w:sz w:val="30"/>
          <w:szCs w:val="30"/>
          <w:lang w:val="en-US" w:eastAsia="zh-CN"/>
          <w14:textFill>
            <w14:solidFill>
              <w14:schemeClr w14:val="tx1"/>
            </w14:solidFill>
          </w14:textFill>
        </w:rPr>
        <w:t>编号</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GZ018</w:t>
      </w:r>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赛项组别</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赛道小组赛</w:t>
      </w:r>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专业大类：财经商贸</w:t>
      </w:r>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竞赛形式：</w:t>
      </w:r>
      <w:r>
        <w:rPr>
          <w:rFonts w:hint="eastAsia" w:ascii="仿宋" w:hAnsi="仿宋" w:eastAsia="仿宋" w:cs="仿宋"/>
          <w:color w:val="000000" w:themeColor="text1"/>
          <w:sz w:val="30"/>
          <w:szCs w:val="30"/>
          <w:lang w:val="en-US"/>
          <w14:textFill>
            <w14:solidFill>
              <w14:schemeClr w14:val="tx1"/>
            </w14:solidFill>
          </w14:textFill>
        </w:rPr>
        <w:t>团体赛</w:t>
      </w:r>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主办单位：河南省教育厅</w:t>
      </w:r>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承办单位：河南经贸职业学院</w:t>
      </w:r>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报到及</w:t>
      </w:r>
      <w:r>
        <w:rPr>
          <w:rFonts w:hint="eastAsia" w:ascii="仿宋" w:hAnsi="仿宋" w:eastAsia="仿宋" w:cs="仿宋"/>
          <w:color w:val="000000" w:themeColor="text1"/>
          <w:sz w:val="30"/>
          <w:szCs w:val="30"/>
          <w:lang w:val="en-US" w:eastAsia="zh-CN"/>
          <w14:textFill>
            <w14:solidFill>
              <w14:schemeClr w14:val="tx1"/>
            </w14:solidFill>
          </w14:textFill>
        </w:rPr>
        <w:t>推荐</w:t>
      </w:r>
      <w:r>
        <w:rPr>
          <w:rFonts w:hint="eastAsia" w:ascii="仿宋" w:hAnsi="仿宋" w:eastAsia="仿宋" w:cs="仿宋"/>
          <w:color w:val="000000" w:themeColor="text1"/>
          <w:sz w:val="30"/>
          <w:szCs w:val="30"/>
          <w14:textFill>
            <w14:solidFill>
              <w14:schemeClr w14:val="tx1"/>
            </w14:solidFill>
          </w14:textFill>
        </w:rPr>
        <w:t>住宿地点：另行通知</w:t>
      </w:r>
    </w:p>
    <w:p>
      <w:pPr>
        <w:pStyle w:val="4"/>
        <w:pageBreakBefore w:val="0"/>
        <w:widowControl/>
        <w:kinsoku/>
        <w:wordWrap w:val="0"/>
        <w:overflowPunct/>
        <w:topLinePunct w:val="0"/>
        <w:autoSpaceDE w:val="0"/>
        <w:autoSpaceDN w:val="0"/>
        <w:bidi w:val="0"/>
        <w:adjustRightInd w:val="0"/>
        <w:snapToGrid w:val="0"/>
        <w:spacing w:before="0" w:after="0" w:line="560" w:lineRule="exact"/>
        <w:ind w:left="0" w:right="0" w:firstLine="600" w:firstLineChars="200"/>
        <w:jc w:val="both"/>
        <w:textAlignment w:val="baseline"/>
        <w:rPr>
          <w:rFonts w:hint="eastAsia" w:ascii="黑体" w:hAnsi="黑体" w:eastAsia="黑体"/>
          <w:b w:val="0"/>
          <w:color w:val="000000" w:themeColor="text1"/>
          <w:sz w:val="30"/>
          <w:szCs w:val="30"/>
          <w14:textFill>
            <w14:solidFill>
              <w14:schemeClr w14:val="tx1"/>
            </w14:solidFill>
          </w14:textFill>
        </w:rPr>
      </w:pPr>
      <w:r>
        <w:rPr>
          <w:rFonts w:hint="eastAsia" w:ascii="黑体" w:hAnsi="黑体" w:eastAsia="黑体"/>
          <w:b w:val="0"/>
          <w:color w:val="000000" w:themeColor="text1"/>
          <w:sz w:val="30"/>
          <w:szCs w:val="30"/>
          <w14:textFill>
            <w14:solidFill>
              <w14:schemeClr w14:val="tx1"/>
            </w14:solidFill>
          </w14:textFill>
        </w:rPr>
        <w:t>二、竞赛目的</w:t>
      </w:r>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color w:val="000000" w:themeColor="text1"/>
          <w:sz w:val="30"/>
          <w:szCs w:val="30"/>
          <w14:textFill>
            <w14:solidFill>
              <w14:schemeClr w14:val="tx1"/>
            </w14:solidFill>
          </w14:textFill>
        </w:rPr>
      </w:pPr>
      <w:bookmarkStart w:id="0" w:name="_Hlk69776530"/>
      <w:r>
        <w:rPr>
          <w:rFonts w:hint="eastAsia" w:ascii="仿宋" w:hAnsi="仿宋" w:eastAsia="仿宋" w:cs="仿宋"/>
          <w:color w:val="000000" w:themeColor="text1"/>
          <w:sz w:val="30"/>
          <w:szCs w:val="30"/>
          <w14:textFill>
            <w14:solidFill>
              <w14:schemeClr w14:val="tx1"/>
            </w14:solidFill>
          </w14:textFill>
        </w:rPr>
        <w:t>随着全球电子商务和数字经济的崛起、互联网的高度普及、物流基础和支付体系加快建设，跨境电子商务成为外贸发展的新业态，我国跨境电子商务行业进出口规模呈持续增长的发展态势。为了鼓励和支持跨境电子商务的发展，我国制定了一系列国家扶持政策。党的二十大报告中也明确指出“打造具有国际竞争力的数字产业集群”“创新服务贸易发展机制，发展数字贸易，加快建设贸易强国”的指导思想。</w:t>
      </w:r>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赛项旨在落实国家的对外贸易发展战略，深化产教融合，协同推动跨境电子商务行业创新与发展，赋能经济社会和现代职业教育高质量发展。对接跨境电子商务领域的新技术、新业态、新模式、新要求，通过大赛让参赛选手掌握真实企业电子商务</w:t>
      </w:r>
      <w:r>
        <w:rPr>
          <w:rFonts w:hint="eastAsia" w:ascii="仿宋" w:hAnsi="仿宋" w:eastAsia="仿宋" w:cs="仿宋"/>
          <w:color w:val="000000" w:themeColor="text1"/>
          <w:sz w:val="30"/>
          <w:szCs w:val="30"/>
          <w:lang w:val="en-US" w:eastAsia="zh-CN"/>
          <w14:textFill>
            <w14:solidFill>
              <w14:schemeClr w14:val="tx1"/>
            </w14:solidFill>
          </w14:textFill>
        </w:rPr>
        <w:t>主要</w:t>
      </w:r>
      <w:r>
        <w:rPr>
          <w:rFonts w:hint="eastAsia" w:ascii="仿宋" w:hAnsi="仿宋" w:eastAsia="仿宋" w:cs="仿宋"/>
          <w:color w:val="000000" w:themeColor="text1"/>
          <w:sz w:val="30"/>
          <w:szCs w:val="30"/>
          <w14:textFill>
            <w14:solidFill>
              <w14:schemeClr w14:val="tx1"/>
            </w14:solidFill>
          </w14:textFill>
        </w:rPr>
        <w:t>业务流程和工作内容；培养选手在企业真实项目环境下进行商品视觉营销设计</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跨境直播、跨境</w:t>
      </w:r>
      <w:r>
        <w:rPr>
          <w:rFonts w:hint="eastAsia" w:ascii="仿宋" w:hAnsi="仿宋" w:eastAsia="仿宋" w:cs="仿宋"/>
          <w:color w:val="000000" w:themeColor="text1"/>
          <w:sz w:val="30"/>
          <w:szCs w:val="30"/>
          <w:lang w:val="en-US" w:eastAsia="zh-CN"/>
          <w14:textFill>
            <w14:solidFill>
              <w14:schemeClr w14:val="tx1"/>
            </w14:solidFill>
          </w14:textFill>
        </w:rPr>
        <w:t>电子商务数据分析</w:t>
      </w:r>
      <w:r>
        <w:rPr>
          <w:rFonts w:hint="eastAsia" w:ascii="仿宋" w:hAnsi="仿宋" w:eastAsia="仿宋" w:cs="仿宋"/>
          <w:color w:val="000000" w:themeColor="text1"/>
          <w:sz w:val="30"/>
          <w:szCs w:val="30"/>
          <w14:textFill>
            <w14:solidFill>
              <w14:schemeClr w14:val="tx1"/>
            </w14:solidFill>
          </w14:textFill>
        </w:rPr>
        <w:t>的能力，同时培养选手探究学习、终身学习和可持续发展的能力。</w:t>
      </w:r>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赛项围绕跨境电子商务典型岗位的要求进行设计，通过大赛推动龙头、产教融合型等企业深度参与职业教育的人才培养、科技创新、社会服务、就业创业等各个环节；检验高职院校教学水平，引领专业建设和“三教”改革，促进“岗课赛证”协同育人，营造崇尚技能的社会氛围；强化赛后资源转化，将竞赛成果转化为教材、课程和实训项目等资源，融入教学、服务教学，为国家发展战略提供跨境电子商务领域高素质技术技能人才。</w:t>
      </w:r>
    </w:p>
    <w:p>
      <w:pPr>
        <w:pStyle w:val="4"/>
        <w:pageBreakBefore w:val="0"/>
        <w:widowControl/>
        <w:kinsoku/>
        <w:wordWrap w:val="0"/>
        <w:overflowPunct/>
        <w:topLinePunct w:val="0"/>
        <w:autoSpaceDE w:val="0"/>
        <w:autoSpaceDN w:val="0"/>
        <w:bidi w:val="0"/>
        <w:adjustRightInd w:val="0"/>
        <w:snapToGrid w:val="0"/>
        <w:spacing w:before="0" w:after="0" w:line="560" w:lineRule="exact"/>
        <w:ind w:left="0" w:right="0" w:firstLine="600" w:firstLineChars="200"/>
        <w:jc w:val="both"/>
        <w:textAlignment w:val="baseline"/>
        <w:rPr>
          <w:rFonts w:hint="eastAsia" w:ascii="黑体" w:hAnsi="黑体" w:eastAsia="黑体"/>
          <w:b w:val="0"/>
          <w:color w:val="000000" w:themeColor="text1"/>
          <w:sz w:val="30"/>
          <w:szCs w:val="30"/>
          <w14:textFill>
            <w14:solidFill>
              <w14:schemeClr w14:val="tx1"/>
            </w14:solidFill>
          </w14:textFill>
        </w:rPr>
      </w:pPr>
      <w:r>
        <w:rPr>
          <w:rFonts w:hint="eastAsia" w:ascii="黑体" w:hAnsi="黑体" w:eastAsia="黑体"/>
          <w:b w:val="0"/>
          <w:color w:val="000000" w:themeColor="text1"/>
          <w:sz w:val="30"/>
          <w:szCs w:val="30"/>
          <w14:textFill>
            <w14:solidFill>
              <w14:schemeClr w14:val="tx1"/>
            </w14:solidFill>
          </w14:textFill>
        </w:rPr>
        <w:t>三、参赛资格</w:t>
      </w:r>
    </w:p>
    <w:bookmarkEnd w:id="0"/>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1. </w:t>
      </w:r>
      <w:r>
        <w:rPr>
          <w:rFonts w:hint="eastAsia" w:ascii="仿宋" w:hAnsi="仿宋" w:eastAsia="仿宋" w:cs="仿宋"/>
          <w:color w:val="000000" w:themeColor="text1"/>
          <w:sz w:val="30"/>
          <w:szCs w:val="30"/>
          <w14:textFill>
            <w14:solidFill>
              <w14:schemeClr w14:val="tx1"/>
            </w14:solidFill>
          </w14:textFill>
        </w:rPr>
        <w:t>参考国赛参赛规程要求，竞赛为团体赛，按照成绩统计规则，统计参赛队的总成绩进行排序，每支参赛队由</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名比赛选手组成，性别不限，指导教师由1-2人组成，每校限</w:t>
      </w:r>
      <w:r>
        <w:rPr>
          <w:rFonts w:hint="eastAsia" w:ascii="仿宋" w:hAnsi="仿宋" w:eastAsia="仿宋" w:cs="仿宋"/>
          <w:color w:val="000000" w:themeColor="text1"/>
          <w:sz w:val="30"/>
          <w:szCs w:val="30"/>
          <w14:textFill>
            <w14:solidFill>
              <w14:schemeClr w14:val="tx1"/>
            </w14:solidFill>
          </w14:textFill>
        </w:rPr>
        <w:t>报1</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个代表队。</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2. </w:t>
      </w:r>
      <w:r>
        <w:rPr>
          <w:rFonts w:hint="eastAsia" w:ascii="仿宋" w:hAnsi="仿宋" w:eastAsia="仿宋" w:cs="仿宋"/>
          <w:color w:val="000000" w:themeColor="text1"/>
          <w:sz w:val="30"/>
          <w:szCs w:val="30"/>
          <w14:textFill>
            <w14:solidFill>
              <w14:schemeClr w14:val="tx1"/>
            </w14:solidFill>
          </w14:textFill>
        </w:rPr>
        <w:t>参赛学生须是</w:t>
      </w:r>
      <w:r>
        <w:rPr>
          <w:rFonts w:hint="eastAsia" w:ascii="仿宋" w:hAnsi="仿宋" w:eastAsia="仿宋" w:cs="仿宋"/>
          <w:color w:val="000000" w:themeColor="text1"/>
          <w:sz w:val="30"/>
          <w:szCs w:val="30"/>
          <w:lang w:val="en-US" w:eastAsia="zh-CN"/>
          <w14:textFill>
            <w14:solidFill>
              <w14:schemeClr w14:val="tx1"/>
            </w14:solidFill>
          </w14:textFill>
        </w:rPr>
        <w:t>2024年</w:t>
      </w:r>
      <w:r>
        <w:rPr>
          <w:rFonts w:hint="eastAsia" w:ascii="仿宋" w:hAnsi="仿宋" w:eastAsia="仿宋" w:cs="仿宋"/>
          <w:color w:val="000000" w:themeColor="text1"/>
          <w:sz w:val="30"/>
          <w:szCs w:val="30"/>
          <w14:textFill>
            <w14:solidFill>
              <w14:schemeClr w14:val="tx1"/>
            </w14:solidFill>
          </w14:textFill>
        </w:rPr>
        <w:t>在籍全日制高职学生，指导老师和学生须为同校</w:t>
      </w:r>
      <w:r>
        <w:rPr>
          <w:rFonts w:hint="eastAsia" w:ascii="仿宋" w:hAnsi="仿宋" w:eastAsia="仿宋" w:cs="仿宋"/>
          <w:color w:val="000000" w:themeColor="text1"/>
          <w:sz w:val="30"/>
          <w:szCs w:val="30"/>
          <w:lang w:val="en-US" w:eastAsia="zh-CN"/>
          <w14:textFill>
            <w14:solidFill>
              <w14:schemeClr w14:val="tx1"/>
            </w14:solidFill>
          </w14:textFill>
        </w:rPr>
        <w:t>在籍，不得跨校组队。凡在往届全国职业院校技能大赛、世界职业院校技能大赛中获一等奖的选手，不能再参加今年同一专业类赛项的比赛。</w:t>
      </w:r>
    </w:p>
    <w:p>
      <w:pPr>
        <w:pStyle w:val="4"/>
        <w:pageBreakBefore w:val="0"/>
        <w:widowControl/>
        <w:kinsoku/>
        <w:wordWrap w:val="0"/>
        <w:overflowPunct/>
        <w:topLinePunct w:val="0"/>
        <w:autoSpaceDE w:val="0"/>
        <w:autoSpaceDN w:val="0"/>
        <w:bidi w:val="0"/>
        <w:adjustRightInd w:val="0"/>
        <w:snapToGrid w:val="0"/>
        <w:spacing w:before="0" w:after="0" w:line="560" w:lineRule="exact"/>
        <w:ind w:left="0" w:right="0" w:firstLine="600" w:firstLineChars="200"/>
        <w:jc w:val="both"/>
        <w:textAlignment w:val="baseline"/>
        <w:rPr>
          <w:rFonts w:hint="eastAsia" w:ascii="黑体" w:hAnsi="黑体" w:eastAsia="黑体"/>
          <w:b w:val="0"/>
          <w:color w:val="000000" w:themeColor="text1"/>
          <w:sz w:val="30"/>
          <w:szCs w:val="30"/>
          <w:lang w:val="en-US" w:eastAsia="zh-CN"/>
          <w14:textFill>
            <w14:solidFill>
              <w14:schemeClr w14:val="tx1"/>
            </w14:solidFill>
          </w14:textFill>
        </w:rPr>
      </w:pPr>
      <w:r>
        <w:rPr>
          <w:rFonts w:hint="eastAsia" w:ascii="黑体" w:hAnsi="黑体" w:eastAsia="黑体"/>
          <w:b w:val="0"/>
          <w:color w:val="000000" w:themeColor="text1"/>
          <w:sz w:val="30"/>
          <w:szCs w:val="30"/>
          <w14:textFill>
            <w14:solidFill>
              <w14:schemeClr w14:val="tx1"/>
            </w14:solidFill>
          </w14:textFill>
        </w:rPr>
        <w:t>四、参赛</w:t>
      </w:r>
      <w:r>
        <w:rPr>
          <w:rFonts w:hint="eastAsia" w:ascii="黑体" w:hAnsi="黑体" w:eastAsia="黑体"/>
          <w:b w:val="0"/>
          <w:color w:val="000000" w:themeColor="text1"/>
          <w:sz w:val="30"/>
          <w:szCs w:val="30"/>
          <w:lang w:val="en-US" w:eastAsia="zh-CN"/>
          <w14:textFill>
            <w14:solidFill>
              <w14:schemeClr w14:val="tx1"/>
            </w14:solidFill>
          </w14:textFill>
        </w:rPr>
        <w:t>说明</w:t>
      </w:r>
    </w:p>
    <w:p>
      <w:pPr>
        <w:pStyle w:val="2"/>
        <w:pageBreakBefore w:val="0"/>
        <w:overflowPunct/>
        <w:topLinePunct w:val="0"/>
        <w:bidi w:val="0"/>
        <w:spacing w:line="560" w:lineRule="exact"/>
        <w:ind w:firstLine="600" w:firstLineChars="200"/>
        <w:rPr>
          <w:rFonts w:ascii="仿宋" w:hAnsi="仿宋" w:eastAsia="仿宋" w:cs="仿宋_GB2312"/>
          <w:color w:val="000000" w:themeColor="text1"/>
          <w:kern w:val="2"/>
          <w:sz w:val="30"/>
          <w:szCs w:val="30"/>
          <w:highlight w:val="none"/>
          <w:lang w:val="en-US" w:bidi="ar-SA"/>
          <w14:textFill>
            <w14:solidFill>
              <w14:schemeClr w14:val="tx1"/>
            </w14:solidFill>
          </w14:textFill>
        </w:rPr>
      </w:pP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1.参赛院校须于12月</w:t>
      </w:r>
      <w:r>
        <w:rPr>
          <w:rFonts w:hint="eastAsia" w:ascii="仿宋" w:hAnsi="仿宋" w:eastAsia="仿宋" w:cs="仿宋_GB2312"/>
          <w:color w:val="000000" w:themeColor="text1"/>
          <w:kern w:val="2"/>
          <w:sz w:val="30"/>
          <w:szCs w:val="30"/>
          <w:highlight w:val="none"/>
          <w:lang w:val="en-US" w:eastAsia="zh-CN" w:bidi="ar-SA"/>
          <w14:textFill>
            <w14:solidFill>
              <w14:schemeClr w14:val="tx1"/>
            </w14:solidFill>
          </w14:textFill>
        </w:rPr>
        <w:t>19</w:t>
      </w: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日</w:t>
      </w: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前登录河南省高等职业教育技能大赛报名系统：http://39.105.49.188，按要求填报并提交参赛信息。</w:t>
      </w:r>
    </w:p>
    <w:p>
      <w:pPr>
        <w:pStyle w:val="2"/>
        <w:pageBreakBefore w:val="0"/>
        <w:overflowPunct/>
        <w:topLinePunct w:val="0"/>
        <w:bidi w:val="0"/>
        <w:spacing w:line="560" w:lineRule="exact"/>
        <w:ind w:firstLine="600" w:firstLineChars="200"/>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pP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2.各参赛校以学校为单位注册报名平台，专人负责报名工作。（技术支持：</w:t>
      </w:r>
      <w:r>
        <w:rPr>
          <w:rFonts w:hint="eastAsia" w:ascii="仿宋" w:hAnsi="仿宋" w:eastAsia="仿宋" w:cs="仿宋_GB2312"/>
          <w:color w:val="000000" w:themeColor="text1"/>
          <w:kern w:val="2"/>
          <w:sz w:val="30"/>
          <w:szCs w:val="30"/>
          <w:highlight w:val="none"/>
          <w:lang w:val="en-US" w:eastAsia="zh-CN" w:bidi="ar-SA"/>
          <w14:textFill>
            <w14:solidFill>
              <w14:schemeClr w14:val="tx1"/>
            </w14:solidFill>
          </w14:textFill>
        </w:rPr>
        <w:t>王晗</w:t>
      </w: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，电话：</w:t>
      </w:r>
      <w:r>
        <w:rPr>
          <w:rFonts w:hint="eastAsia" w:ascii="仿宋" w:hAnsi="仿宋" w:eastAsia="仿宋" w:cs="仿宋_GB2312"/>
          <w:color w:val="000000" w:themeColor="text1"/>
          <w:kern w:val="2"/>
          <w:sz w:val="30"/>
          <w:szCs w:val="30"/>
          <w:highlight w:val="none"/>
          <w:lang w:val="en-US" w:eastAsia="zh-CN" w:bidi="ar-SA"/>
          <w14:textFill>
            <w14:solidFill>
              <w14:schemeClr w14:val="tx1"/>
            </w14:solidFill>
          </w14:textFill>
        </w:rPr>
        <w:t>18338338901</w:t>
      </w: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w:t>
      </w:r>
    </w:p>
    <w:p>
      <w:pPr>
        <w:pStyle w:val="2"/>
        <w:pageBreakBefore w:val="0"/>
        <w:overflowPunct/>
        <w:topLinePunct w:val="0"/>
        <w:bidi w:val="0"/>
        <w:spacing w:line="560" w:lineRule="exact"/>
        <w:ind w:firstLine="600" w:firstLineChars="200"/>
        <w:rPr>
          <w:rFonts w:ascii="仿宋" w:hAnsi="仿宋" w:eastAsia="仿宋" w:cs="仿宋_GB2312"/>
          <w:color w:val="000000" w:themeColor="text1"/>
          <w:sz w:val="30"/>
          <w:szCs w:val="30"/>
          <w:highlight w:val="none"/>
          <w:lang w:val="en-US"/>
          <w14:textFill>
            <w14:solidFill>
              <w14:schemeClr w14:val="tx1"/>
            </w14:solidFill>
          </w14:textFill>
        </w:rPr>
      </w:pPr>
      <w:r>
        <w:rPr>
          <w:rFonts w:hint="eastAsia" w:ascii="仿宋" w:hAnsi="仿宋" w:eastAsia="仿宋" w:cs="仿宋_GB2312"/>
          <w:color w:val="000000" w:themeColor="text1"/>
          <w:sz w:val="30"/>
          <w:szCs w:val="30"/>
          <w:highlight w:val="none"/>
          <w:lang w:val="en-US"/>
          <w14:textFill>
            <w14:solidFill>
              <w14:schemeClr w14:val="tx1"/>
            </w14:solidFill>
          </w14:textFill>
        </w:rPr>
        <w:t>3.提交报名信息后，各参赛院队从系统导出报名表、赛项汇总表，连同参赛选手身份证复印件、学信网“教育部学籍在线验证报告”或省招办录取名册复印件各1份并加盖公章报送或邮寄至承办学校（</w:t>
      </w:r>
      <w:r>
        <w:rPr>
          <w:rFonts w:hint="eastAsia" w:ascii="仿宋" w:hAnsi="仿宋" w:eastAsia="仿宋" w:cs="仿宋"/>
          <w:color w:val="000000" w:themeColor="text1"/>
          <w:sz w:val="30"/>
          <w:szCs w:val="30"/>
          <w:highlight w:val="none"/>
          <w14:textFill>
            <w14:solidFill>
              <w14:schemeClr w14:val="tx1"/>
            </w14:solidFill>
          </w14:textFill>
        </w:rPr>
        <w:t>河南经贸职业学院</w:t>
      </w:r>
      <w:r>
        <w:rPr>
          <w:rFonts w:hint="eastAsia" w:ascii="仿宋" w:hAnsi="仿宋" w:eastAsia="仿宋" w:cs="仿宋_GB2312"/>
          <w:color w:val="000000" w:themeColor="text1"/>
          <w:sz w:val="30"/>
          <w:szCs w:val="30"/>
          <w:highlight w:val="none"/>
          <w:lang w:val="en-US"/>
          <w14:textFill>
            <w14:solidFill>
              <w14:schemeClr w14:val="tx1"/>
            </w14:solidFill>
          </w14:textFill>
        </w:rPr>
        <w:t>）。纸质报名材料接收截止时间为</w:t>
      </w:r>
      <w:r>
        <w:rPr>
          <w:rFonts w:hint="eastAsia" w:ascii="仿宋" w:hAnsi="仿宋" w:eastAsia="仿宋" w:cs="仿宋_GB2312"/>
          <w:color w:val="000000" w:themeColor="text1"/>
          <w:kern w:val="2"/>
          <w:sz w:val="30"/>
          <w:szCs w:val="30"/>
          <w:highlight w:val="none"/>
          <w:lang w:val="en-US" w:eastAsia="zh-CN" w:bidi="ar-SA"/>
          <w14:textFill>
            <w14:solidFill>
              <w14:schemeClr w14:val="tx1"/>
            </w14:solidFill>
          </w14:textFill>
        </w:rPr>
        <w:t>12</w:t>
      </w:r>
      <w:r>
        <w:rPr>
          <w:rFonts w:hint="eastAsia" w:ascii="仿宋" w:hAnsi="仿宋" w:eastAsia="仿宋" w:cs="仿宋_GB2312"/>
          <w:color w:val="000000" w:themeColor="text1"/>
          <w:sz w:val="30"/>
          <w:szCs w:val="30"/>
          <w:highlight w:val="none"/>
          <w:lang w:val="en-US"/>
          <w14:textFill>
            <w14:solidFill>
              <w14:schemeClr w14:val="tx1"/>
            </w14:solidFill>
          </w14:textFill>
        </w:rPr>
        <w:t>月</w:t>
      </w:r>
      <w:r>
        <w:rPr>
          <w:rFonts w:hint="eastAsia" w:ascii="仿宋" w:hAnsi="仿宋" w:eastAsia="仿宋" w:cs="仿宋_GB2312"/>
          <w:color w:val="000000" w:themeColor="text1"/>
          <w:kern w:val="2"/>
          <w:sz w:val="30"/>
          <w:szCs w:val="30"/>
          <w:highlight w:val="none"/>
          <w:lang w:val="en-US" w:eastAsia="zh-CN" w:bidi="ar-SA"/>
          <w14:textFill>
            <w14:solidFill>
              <w14:schemeClr w14:val="tx1"/>
            </w14:solidFill>
          </w14:textFill>
        </w:rPr>
        <w:t>20</w:t>
      </w:r>
      <w:r>
        <w:rPr>
          <w:rFonts w:hint="eastAsia" w:ascii="仿宋" w:hAnsi="仿宋" w:eastAsia="仿宋" w:cs="仿宋_GB2312"/>
          <w:color w:val="000000" w:themeColor="text1"/>
          <w:sz w:val="30"/>
          <w:szCs w:val="30"/>
          <w:highlight w:val="none"/>
          <w:lang w:val="en-US"/>
          <w14:textFill>
            <w14:solidFill>
              <w14:schemeClr w14:val="tx1"/>
            </w14:solidFill>
          </w14:textFill>
        </w:rPr>
        <w:t>日，</w:t>
      </w:r>
      <w:r>
        <w:rPr>
          <w:rFonts w:hint="eastAsia" w:ascii="仿宋" w:hAnsi="仿宋" w:eastAsia="仿宋" w:cs="仿宋_GB2312"/>
          <w:color w:val="000000" w:themeColor="text1"/>
          <w:sz w:val="30"/>
          <w:szCs w:val="30"/>
          <w:highlight w:val="none"/>
          <w:lang w:val="en-US"/>
          <w14:textFill>
            <w14:solidFill>
              <w14:schemeClr w14:val="tx1"/>
            </w14:solidFill>
          </w14:textFill>
        </w:rPr>
        <w:t>以邮戳时间为准。</w:t>
      </w:r>
    </w:p>
    <w:p>
      <w:pPr>
        <w:pStyle w:val="2"/>
        <w:pageBreakBefore w:val="0"/>
        <w:overflowPunct/>
        <w:topLinePunct w:val="0"/>
        <w:bidi w:val="0"/>
        <w:spacing w:line="560" w:lineRule="exact"/>
        <w:ind w:firstLine="600" w:firstLineChars="200"/>
        <w:rPr>
          <w:rFonts w:ascii="仿宋" w:hAnsi="仿宋" w:eastAsia="仿宋" w:cs="仿宋_GB2312"/>
          <w:color w:val="000000" w:themeColor="text1"/>
          <w:kern w:val="2"/>
          <w:sz w:val="30"/>
          <w:szCs w:val="30"/>
          <w:highlight w:val="none"/>
          <w:lang w:val="en-US" w:bidi="ar-SA"/>
          <w14:textFill>
            <w14:solidFill>
              <w14:schemeClr w14:val="tx1"/>
            </w14:solidFill>
          </w14:textFill>
        </w:rPr>
      </w:pPr>
      <w:r>
        <w:rPr>
          <w:rFonts w:hint="eastAsia" w:ascii="仿宋" w:hAnsi="仿宋" w:eastAsia="仿宋" w:cs="仿宋"/>
          <w:sz w:val="30"/>
          <w:szCs w:val="30"/>
          <w:highlight w:val="none"/>
          <w:lang w:val="en-US" w:eastAsia="zh-CN"/>
        </w:rPr>
        <w:t>邮寄地址：河南省郑州市郑东新区龙子湖北路58号</w:t>
      </w:r>
      <w:r>
        <w:rPr>
          <w:rFonts w:hint="eastAsia" w:ascii="仿宋" w:hAnsi="仿宋" w:eastAsia="仿宋" w:cs="仿宋"/>
          <w:sz w:val="30"/>
          <w:szCs w:val="30"/>
          <w:highlight w:val="none"/>
        </w:rPr>
        <w:t>河南经贸职业学院</w:t>
      </w:r>
      <w:r>
        <w:rPr>
          <w:rFonts w:hint="eastAsia" w:ascii="仿宋" w:hAnsi="仿宋" w:eastAsia="仿宋" w:cs="仿宋_GB2312"/>
          <w:color w:val="000000" w:themeColor="text1"/>
          <w:kern w:val="2"/>
          <w:sz w:val="30"/>
          <w:szCs w:val="30"/>
          <w:highlight w:val="none"/>
          <w:lang w:val="en-US" w:eastAsia="zh-CN" w:bidi="ar-SA"/>
          <w14:textFill>
            <w14:solidFill>
              <w14:schemeClr w14:val="tx1"/>
            </w14:solidFill>
          </w14:textFill>
        </w:rPr>
        <w:t>；</w:t>
      </w: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邮编：</w:t>
      </w:r>
      <w:r>
        <w:rPr>
          <w:rFonts w:hint="eastAsia" w:ascii="仿宋" w:hAnsi="仿宋" w:eastAsia="仿宋" w:cs="仿宋_GB2312"/>
          <w:color w:val="000000" w:themeColor="text1"/>
          <w:kern w:val="2"/>
          <w:sz w:val="30"/>
          <w:szCs w:val="30"/>
          <w:highlight w:val="none"/>
          <w:lang w:val="en-US" w:eastAsia="zh-CN" w:bidi="ar-SA"/>
          <w14:textFill>
            <w14:solidFill>
              <w14:schemeClr w14:val="tx1"/>
            </w14:solidFill>
          </w14:textFill>
        </w:rPr>
        <w:t>450008</w:t>
      </w: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；联系人：</w:t>
      </w:r>
      <w:r>
        <w:rPr>
          <w:rFonts w:hint="eastAsia" w:ascii="仿宋" w:hAnsi="仿宋" w:eastAsia="仿宋" w:cs="仿宋"/>
          <w:sz w:val="30"/>
          <w:szCs w:val="30"/>
          <w:highlight w:val="none"/>
          <w:lang w:val="en-US" w:eastAsia="zh-CN"/>
        </w:rPr>
        <w:t>李重阳</w:t>
      </w: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；联系电话：</w:t>
      </w:r>
      <w:r>
        <w:rPr>
          <w:rFonts w:hint="eastAsia" w:ascii="仿宋" w:hAnsi="仿宋" w:eastAsia="仿宋" w:cs="仿宋"/>
          <w:sz w:val="30"/>
          <w:szCs w:val="30"/>
          <w:highlight w:val="none"/>
          <w:lang w:val="en-US" w:eastAsia="zh-CN"/>
        </w:rPr>
        <w:t>15649863623</w:t>
      </w: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w:t>
      </w:r>
    </w:p>
    <w:p>
      <w:pPr>
        <w:pStyle w:val="4"/>
        <w:pageBreakBefore w:val="0"/>
        <w:widowControl/>
        <w:kinsoku/>
        <w:wordWrap w:val="0"/>
        <w:overflowPunct/>
        <w:topLinePunct w:val="0"/>
        <w:autoSpaceDE w:val="0"/>
        <w:autoSpaceDN w:val="0"/>
        <w:bidi w:val="0"/>
        <w:adjustRightInd w:val="0"/>
        <w:snapToGrid w:val="0"/>
        <w:spacing w:before="0" w:after="0" w:line="560" w:lineRule="exact"/>
        <w:ind w:left="0" w:right="0" w:firstLine="600" w:firstLineChars="200"/>
        <w:jc w:val="both"/>
        <w:textAlignment w:val="baseline"/>
        <w:rPr>
          <w:rFonts w:hint="eastAsia" w:ascii="黑体" w:hAnsi="黑体" w:eastAsia="黑体"/>
          <w:b w:val="0"/>
          <w:sz w:val="30"/>
          <w:szCs w:val="30"/>
          <w:lang w:val="en-US" w:eastAsia="zh-CN"/>
        </w:rPr>
      </w:pPr>
      <w:r>
        <w:rPr>
          <w:rFonts w:hint="eastAsia" w:ascii="黑体" w:hAnsi="黑体" w:eastAsia="黑体"/>
          <w:b w:val="0"/>
          <w:sz w:val="30"/>
          <w:szCs w:val="30"/>
        </w:rPr>
        <w:t>五、竞赛日程安排（具体以《参赛指南》为准）</w:t>
      </w:r>
    </w:p>
    <w:tbl>
      <w:tblPr>
        <w:tblStyle w:val="11"/>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55"/>
        <w:gridCol w:w="1374"/>
        <w:gridCol w:w="2909"/>
        <w:gridCol w:w="2318"/>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exact"/>
          <w:jc w:val="center"/>
        </w:trPr>
        <w:tc>
          <w:tcPr>
            <w:tcW w:w="85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rPr>
            </w:pPr>
            <w:r>
              <w:rPr>
                <w:rFonts w:hint="eastAsia" w:ascii="方正黑体_GBK" w:hAnsi="方正黑体_GBK" w:eastAsia="方正黑体_GBK" w:cs="方正黑体_GBK"/>
              </w:rPr>
              <w:t>日期</w:t>
            </w:r>
          </w:p>
        </w:tc>
        <w:tc>
          <w:tcPr>
            <w:tcW w:w="137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时间</w:t>
            </w:r>
          </w:p>
        </w:tc>
        <w:tc>
          <w:tcPr>
            <w:tcW w:w="2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rPr>
            </w:pPr>
            <w:r>
              <w:rPr>
                <w:rFonts w:hint="eastAsia" w:ascii="方正黑体_GBK" w:hAnsi="方正黑体_GBK" w:eastAsia="方正黑体_GBK" w:cs="方正黑体_GBK"/>
              </w:rPr>
              <w:t>工作</w:t>
            </w:r>
            <w:r>
              <w:rPr>
                <w:rFonts w:hint="eastAsia" w:ascii="方正黑体_GBK" w:hAnsi="方正黑体_GBK" w:eastAsia="方正黑体_GBK" w:cs="方正黑体_GBK"/>
                <w:spacing w:val="2"/>
              </w:rPr>
              <w:t>内</w:t>
            </w:r>
            <w:r>
              <w:rPr>
                <w:rFonts w:hint="eastAsia" w:ascii="方正黑体_GBK" w:hAnsi="方正黑体_GBK" w:eastAsia="方正黑体_GBK" w:cs="方正黑体_GBK"/>
              </w:rPr>
              <w:t>容</w:t>
            </w:r>
          </w:p>
        </w:tc>
        <w:tc>
          <w:tcPr>
            <w:tcW w:w="23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rPr>
            </w:pPr>
            <w:r>
              <w:rPr>
                <w:rFonts w:hint="eastAsia" w:ascii="方正黑体_GBK" w:hAnsi="方正黑体_GBK" w:eastAsia="方正黑体_GBK" w:cs="方正黑体_GBK"/>
              </w:rPr>
              <w:t>参</w:t>
            </w:r>
            <w:r>
              <w:rPr>
                <w:rFonts w:hint="eastAsia" w:ascii="方正黑体_GBK" w:hAnsi="方正黑体_GBK" w:eastAsia="方正黑体_GBK" w:cs="方正黑体_GBK"/>
                <w:spacing w:val="2"/>
              </w:rPr>
              <w:t>加</w:t>
            </w:r>
            <w:r>
              <w:rPr>
                <w:rFonts w:hint="eastAsia" w:ascii="方正黑体_GBK" w:hAnsi="方正黑体_GBK" w:eastAsia="方正黑体_GBK" w:cs="方正黑体_GBK"/>
              </w:rPr>
              <w:t>人员</w:t>
            </w:r>
          </w:p>
        </w:tc>
        <w:tc>
          <w:tcPr>
            <w:tcW w:w="158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rPr>
            </w:pPr>
            <w:r>
              <w:rPr>
                <w:rFonts w:hint="eastAsia" w:ascii="方正黑体_GBK" w:hAnsi="方正黑体_GBK" w:eastAsia="方正黑体_GBK" w:cs="方正黑体_GBK"/>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1" w:hRule="atLeast"/>
          <w:jc w:val="center"/>
        </w:trPr>
        <w:tc>
          <w:tcPr>
            <w:tcW w:w="855"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highlight w:val="none"/>
                <w:lang w:val="en-US" w:eastAsia="zh-CN"/>
              </w:rPr>
            </w:pPr>
            <w:r>
              <w:rPr>
                <w:rFonts w:hint="eastAsia" w:ascii="仿宋" w:hAnsi="仿宋" w:eastAsia="仿宋" w:cs="仿宋"/>
                <w:highlight w:val="none"/>
                <w:lang w:val="en-US" w:eastAsia="zh-CN"/>
              </w:rPr>
              <w:t>12月27日</w:t>
            </w:r>
          </w:p>
        </w:tc>
        <w:tc>
          <w:tcPr>
            <w:tcW w:w="137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10:00-14:</w:t>
            </w:r>
            <w:r>
              <w:rPr>
                <w:rFonts w:hint="eastAsia" w:ascii="仿宋" w:hAnsi="仿宋" w:eastAsia="仿宋" w:cs="仿宋"/>
                <w:highlight w:val="none"/>
                <w:lang w:val="en-US" w:eastAsia="zh-CN"/>
              </w:rPr>
              <w:t>3</w:t>
            </w:r>
            <w:r>
              <w:rPr>
                <w:rFonts w:hint="eastAsia" w:ascii="仿宋" w:hAnsi="仿宋" w:eastAsia="仿宋" w:cs="仿宋"/>
                <w:highlight w:val="none"/>
              </w:rPr>
              <w:t>0</w:t>
            </w:r>
          </w:p>
        </w:tc>
        <w:tc>
          <w:tcPr>
            <w:tcW w:w="2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105" w:rightChars="50"/>
              <w:jc w:val="center"/>
              <w:textAlignment w:val="baseline"/>
              <w:rPr>
                <w:rFonts w:hint="eastAsia" w:ascii="仿宋" w:hAnsi="仿宋" w:eastAsia="仿宋" w:cs="仿宋"/>
                <w:highlight w:val="none"/>
              </w:rPr>
            </w:pPr>
            <w:r>
              <w:rPr>
                <w:rFonts w:hint="eastAsia" w:ascii="仿宋" w:hAnsi="仿宋" w:eastAsia="仿宋" w:cs="仿宋"/>
                <w:highlight w:val="none"/>
              </w:rPr>
              <w:t>参赛队报到，领取资料</w:t>
            </w:r>
          </w:p>
        </w:tc>
        <w:tc>
          <w:tcPr>
            <w:tcW w:w="23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05" w:firstLineChars="50"/>
              <w:jc w:val="center"/>
              <w:textAlignment w:val="baseline"/>
              <w:rPr>
                <w:rFonts w:hint="eastAsia" w:ascii="仿宋" w:hAnsi="仿宋" w:eastAsia="仿宋" w:cs="仿宋"/>
                <w:highlight w:val="none"/>
              </w:rPr>
            </w:pPr>
            <w:r>
              <w:rPr>
                <w:rFonts w:hint="eastAsia" w:ascii="仿宋" w:hAnsi="仿宋" w:eastAsia="仿宋" w:cs="仿宋"/>
                <w:highlight w:val="none"/>
              </w:rPr>
              <w:t>工作人员、参赛队</w:t>
            </w:r>
          </w:p>
        </w:tc>
        <w:tc>
          <w:tcPr>
            <w:tcW w:w="158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7" w:hRule="atLeast"/>
          <w:jc w:val="center"/>
        </w:trPr>
        <w:tc>
          <w:tcPr>
            <w:tcW w:w="85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p>
        </w:tc>
        <w:tc>
          <w:tcPr>
            <w:tcW w:w="137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15:00-16:00</w:t>
            </w:r>
          </w:p>
        </w:tc>
        <w:tc>
          <w:tcPr>
            <w:tcW w:w="2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bCs/>
                <w:highlight w:val="none"/>
              </w:rPr>
            </w:pPr>
            <w:r>
              <w:rPr>
                <w:rFonts w:hint="eastAsia" w:ascii="仿宋" w:hAnsi="仿宋" w:eastAsia="仿宋" w:cs="仿宋"/>
                <w:bCs/>
                <w:highlight w:val="none"/>
              </w:rPr>
              <w:t>开赛式、领队会</w:t>
            </w:r>
          </w:p>
        </w:tc>
        <w:tc>
          <w:tcPr>
            <w:tcW w:w="23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领导、嘉宾、参赛队</w:t>
            </w:r>
          </w:p>
        </w:tc>
        <w:tc>
          <w:tcPr>
            <w:tcW w:w="158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9" w:hRule="atLeast"/>
          <w:jc w:val="center"/>
        </w:trPr>
        <w:tc>
          <w:tcPr>
            <w:tcW w:w="85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p>
        </w:tc>
        <w:tc>
          <w:tcPr>
            <w:tcW w:w="137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16:00-17:00</w:t>
            </w:r>
          </w:p>
        </w:tc>
        <w:tc>
          <w:tcPr>
            <w:tcW w:w="2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bCs/>
                <w:highlight w:val="none"/>
              </w:rPr>
            </w:pPr>
            <w:r>
              <w:rPr>
                <w:rFonts w:hint="eastAsia" w:ascii="仿宋" w:hAnsi="仿宋" w:eastAsia="仿宋" w:cs="仿宋"/>
                <w:highlight w:val="none"/>
              </w:rPr>
              <w:t>熟悉赛场</w:t>
            </w:r>
          </w:p>
        </w:tc>
        <w:tc>
          <w:tcPr>
            <w:tcW w:w="23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各参赛队</w:t>
            </w:r>
          </w:p>
        </w:tc>
        <w:tc>
          <w:tcPr>
            <w:tcW w:w="158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8" w:hRule="atLeast"/>
          <w:jc w:val="center"/>
        </w:trPr>
        <w:tc>
          <w:tcPr>
            <w:tcW w:w="85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p>
        </w:tc>
        <w:tc>
          <w:tcPr>
            <w:tcW w:w="137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17:30</w:t>
            </w:r>
          </w:p>
        </w:tc>
        <w:tc>
          <w:tcPr>
            <w:tcW w:w="2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检查封闭赛场</w:t>
            </w:r>
          </w:p>
        </w:tc>
        <w:tc>
          <w:tcPr>
            <w:tcW w:w="23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裁判长、监督仲裁组</w:t>
            </w:r>
          </w:p>
        </w:tc>
        <w:tc>
          <w:tcPr>
            <w:tcW w:w="158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5" w:hRule="atLeast"/>
          <w:jc w:val="center"/>
        </w:trPr>
        <w:tc>
          <w:tcPr>
            <w:tcW w:w="855"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lang w:val="en-US" w:eastAsia="zh-CN"/>
              </w:rPr>
              <w:t>12月28日</w:t>
            </w:r>
          </w:p>
        </w:tc>
        <w:tc>
          <w:tcPr>
            <w:tcW w:w="137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仿宋" w:hAnsi="仿宋" w:eastAsia="仿宋" w:cs="仿宋"/>
                <w:highlight w:val="none"/>
                <w:lang w:val="en-US" w:eastAsia="zh-CN"/>
              </w:rPr>
            </w:pPr>
            <w:r>
              <w:rPr>
                <w:rFonts w:hint="eastAsia" w:ascii="仿宋_GB2312" w:hAnsi="仿宋_GB2312" w:eastAsia="仿宋_GB2312" w:cs="仿宋_GB2312"/>
                <w:color w:val="auto"/>
                <w:kern w:val="0"/>
                <w:szCs w:val="21"/>
                <w:highlight w:val="none"/>
                <w:lang w:val="en-US" w:bidi="zh-CN"/>
              </w:rPr>
              <w:t>7</w:t>
            </w:r>
            <w:r>
              <w:rPr>
                <w:rFonts w:hint="eastAsia" w:ascii="仿宋_GB2312" w:hAnsi="仿宋_GB2312" w:eastAsia="仿宋_GB2312" w:cs="仿宋_GB2312"/>
                <w:color w:val="auto"/>
                <w:kern w:val="0"/>
                <w:szCs w:val="21"/>
                <w:highlight w:val="none"/>
                <w:lang w:val="zh-CN" w:bidi="zh-CN"/>
              </w:rPr>
              <w:t>:</w:t>
            </w:r>
            <w:r>
              <w:rPr>
                <w:rFonts w:hint="eastAsia" w:ascii="仿宋_GB2312" w:hAnsi="仿宋_GB2312" w:eastAsia="仿宋_GB2312" w:cs="仿宋_GB2312"/>
                <w:color w:val="auto"/>
                <w:kern w:val="0"/>
                <w:szCs w:val="21"/>
                <w:highlight w:val="none"/>
                <w:lang w:val="en-US" w:bidi="zh-CN"/>
              </w:rPr>
              <w:t>00</w:t>
            </w:r>
          </w:p>
        </w:tc>
        <w:tc>
          <w:tcPr>
            <w:tcW w:w="2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参赛队到达赛场集合</w:t>
            </w:r>
          </w:p>
        </w:tc>
        <w:tc>
          <w:tcPr>
            <w:tcW w:w="23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参赛</w:t>
            </w:r>
            <w:r>
              <w:rPr>
                <w:rFonts w:hint="eastAsia" w:ascii="仿宋" w:hAnsi="仿宋" w:eastAsia="仿宋" w:cs="仿宋"/>
                <w:highlight w:val="none"/>
                <w:lang w:val="en-US" w:eastAsia="zh-CN"/>
              </w:rPr>
              <w:t>选手</w:t>
            </w:r>
            <w:r>
              <w:rPr>
                <w:rFonts w:hint="eastAsia" w:ascii="仿宋" w:hAnsi="仿宋" w:eastAsia="仿宋" w:cs="仿宋"/>
                <w:highlight w:val="none"/>
              </w:rPr>
              <w:t>、工作人员</w:t>
            </w:r>
          </w:p>
        </w:tc>
        <w:tc>
          <w:tcPr>
            <w:tcW w:w="158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9" w:hRule="atLeast"/>
          <w:jc w:val="center"/>
        </w:trPr>
        <w:tc>
          <w:tcPr>
            <w:tcW w:w="85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p>
        </w:tc>
        <w:tc>
          <w:tcPr>
            <w:tcW w:w="137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hint="eastAsia" w:ascii="仿宋" w:hAnsi="仿宋" w:eastAsia="仿宋" w:cs="仿宋"/>
                <w:highlight w:val="none"/>
                <w:lang w:val="en-US"/>
              </w:rPr>
            </w:pPr>
            <w:r>
              <w:rPr>
                <w:rFonts w:hint="eastAsia" w:ascii="仿宋" w:hAnsi="仿宋" w:eastAsia="仿宋"/>
                <w:highlight w:val="none"/>
                <w:lang w:val="en-US" w:eastAsia="zh-CN"/>
              </w:rPr>
              <w:t>7:10</w:t>
            </w:r>
            <w:r>
              <w:rPr>
                <w:rFonts w:ascii="仿宋" w:hAnsi="仿宋" w:eastAsia="仿宋"/>
                <w:highlight w:val="none"/>
              </w:rPr>
              <w:t>-</w:t>
            </w:r>
            <w:r>
              <w:rPr>
                <w:rFonts w:hint="eastAsia" w:ascii="仿宋" w:hAnsi="仿宋" w:eastAsia="仿宋"/>
                <w:highlight w:val="none"/>
                <w:lang w:val="en-US" w:eastAsia="zh-CN"/>
              </w:rPr>
              <w:t>8</w:t>
            </w:r>
            <w:r>
              <w:rPr>
                <w:rFonts w:hint="eastAsia" w:ascii="仿宋" w:hAnsi="仿宋" w:eastAsia="仿宋"/>
                <w:highlight w:val="none"/>
              </w:rPr>
              <w:t>:</w:t>
            </w:r>
            <w:r>
              <w:rPr>
                <w:rFonts w:hint="eastAsia" w:ascii="仿宋" w:hAnsi="仿宋" w:eastAsia="仿宋"/>
                <w:highlight w:val="none"/>
                <w:lang w:val="en-US" w:eastAsia="zh-CN"/>
              </w:rPr>
              <w:t>10</w:t>
            </w:r>
          </w:p>
        </w:tc>
        <w:tc>
          <w:tcPr>
            <w:tcW w:w="2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检录进场，加密</w:t>
            </w:r>
          </w:p>
        </w:tc>
        <w:tc>
          <w:tcPr>
            <w:tcW w:w="23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参赛选手、裁判</w:t>
            </w:r>
          </w:p>
        </w:tc>
        <w:tc>
          <w:tcPr>
            <w:tcW w:w="158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lang w:val="en-US" w:eastAsia="zh-CN"/>
              </w:rPr>
              <w:t>检录、</w:t>
            </w:r>
            <w:r>
              <w:rPr>
                <w:rFonts w:hint="eastAsia" w:ascii="仿宋" w:hAnsi="仿宋" w:eastAsia="仿宋" w:cs="仿宋"/>
                <w:highlight w:val="none"/>
              </w:rPr>
              <w:t>加密区域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9" w:hRule="atLeast"/>
          <w:jc w:val="center"/>
        </w:trPr>
        <w:tc>
          <w:tcPr>
            <w:tcW w:w="85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240"/>
              <w:jc w:val="center"/>
              <w:textAlignment w:val="baseline"/>
              <w:rPr>
                <w:rFonts w:hint="eastAsia" w:ascii="仿宋" w:hAnsi="仿宋" w:eastAsia="仿宋" w:cs="仿宋"/>
                <w:highlight w:val="none"/>
              </w:rPr>
            </w:pPr>
          </w:p>
        </w:tc>
        <w:tc>
          <w:tcPr>
            <w:tcW w:w="137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hint="eastAsia" w:ascii="仿宋" w:hAnsi="仿宋" w:eastAsia="仿宋" w:cs="仿宋"/>
                <w:highlight w:val="none"/>
                <w:lang w:val="en-US" w:eastAsia="zh-CN"/>
              </w:rPr>
            </w:pPr>
            <w:r>
              <w:rPr>
                <w:rFonts w:hint="eastAsia" w:ascii="仿宋" w:hAnsi="仿宋" w:eastAsia="仿宋"/>
                <w:highlight w:val="none"/>
                <w:lang w:val="en-US" w:eastAsia="zh-CN"/>
              </w:rPr>
              <w:t>8</w:t>
            </w:r>
            <w:r>
              <w:rPr>
                <w:rFonts w:ascii="仿宋" w:hAnsi="仿宋" w:eastAsia="仿宋"/>
                <w:highlight w:val="none"/>
              </w:rPr>
              <w:t>:</w:t>
            </w:r>
            <w:r>
              <w:rPr>
                <w:rFonts w:hint="eastAsia" w:ascii="仿宋" w:hAnsi="仿宋" w:eastAsia="仿宋"/>
                <w:highlight w:val="none"/>
                <w:lang w:val="en-US" w:eastAsia="zh-CN"/>
              </w:rPr>
              <w:t>10</w:t>
            </w:r>
            <w:r>
              <w:rPr>
                <w:rFonts w:ascii="仿宋" w:hAnsi="仿宋" w:eastAsia="仿宋"/>
                <w:highlight w:val="none"/>
              </w:rPr>
              <w:t>-</w:t>
            </w:r>
            <w:r>
              <w:rPr>
                <w:rFonts w:hint="eastAsia" w:ascii="仿宋" w:hAnsi="仿宋" w:eastAsia="仿宋"/>
                <w:highlight w:val="none"/>
                <w:lang w:val="en-US" w:eastAsia="zh-CN"/>
              </w:rPr>
              <w:t>8</w:t>
            </w:r>
            <w:r>
              <w:rPr>
                <w:rFonts w:ascii="仿宋" w:hAnsi="仿宋" w:eastAsia="仿宋"/>
                <w:highlight w:val="none"/>
              </w:rPr>
              <w:t>:</w:t>
            </w:r>
            <w:r>
              <w:rPr>
                <w:rFonts w:hint="eastAsia" w:ascii="仿宋" w:hAnsi="仿宋" w:eastAsia="仿宋"/>
                <w:highlight w:val="none"/>
                <w:lang w:val="en-US" w:eastAsia="zh-CN"/>
              </w:rPr>
              <w:t>30</w:t>
            </w:r>
          </w:p>
        </w:tc>
        <w:tc>
          <w:tcPr>
            <w:tcW w:w="2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Microsoft JhengHei"/>
                <w:highlight w:val="none"/>
              </w:rPr>
              <w:t>选手就位，宣读竞赛须知</w:t>
            </w:r>
          </w:p>
        </w:tc>
        <w:tc>
          <w:tcPr>
            <w:tcW w:w="23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参赛选手、裁判</w:t>
            </w:r>
          </w:p>
        </w:tc>
        <w:tc>
          <w:tcPr>
            <w:tcW w:w="158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3" w:hRule="atLeast"/>
          <w:jc w:val="center"/>
        </w:trPr>
        <w:tc>
          <w:tcPr>
            <w:tcW w:w="85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p>
        </w:tc>
        <w:tc>
          <w:tcPr>
            <w:tcW w:w="137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hint="eastAsia" w:ascii="仿宋" w:hAnsi="仿宋" w:eastAsia="仿宋" w:cs="仿宋"/>
                <w:highlight w:val="none"/>
              </w:rPr>
            </w:pPr>
            <w:r>
              <w:rPr>
                <w:rFonts w:hint="eastAsia" w:ascii="仿宋" w:hAnsi="仿宋" w:eastAsia="仿宋"/>
                <w:highlight w:val="none"/>
                <w:lang w:val="en-US" w:eastAsia="zh-CN"/>
              </w:rPr>
              <w:t>8</w:t>
            </w:r>
            <w:r>
              <w:rPr>
                <w:rFonts w:ascii="仿宋" w:hAnsi="仿宋" w:eastAsia="仿宋"/>
                <w:highlight w:val="none"/>
              </w:rPr>
              <w:t>:30-</w:t>
            </w:r>
            <w:r>
              <w:rPr>
                <w:rFonts w:hint="eastAsia" w:ascii="仿宋" w:hAnsi="仿宋" w:eastAsia="仿宋"/>
                <w:highlight w:val="none"/>
                <w:lang w:val="en-US" w:eastAsia="zh-CN"/>
              </w:rPr>
              <w:t>9</w:t>
            </w:r>
            <w:r>
              <w:rPr>
                <w:rFonts w:ascii="仿宋" w:hAnsi="仿宋" w:eastAsia="仿宋"/>
                <w:highlight w:val="none"/>
              </w:rPr>
              <w:t>:</w:t>
            </w:r>
            <w:r>
              <w:rPr>
                <w:rFonts w:hint="eastAsia" w:ascii="仿宋" w:hAnsi="仿宋" w:eastAsia="仿宋"/>
                <w:highlight w:val="none"/>
                <w:lang w:val="en-US" w:eastAsia="zh-CN"/>
              </w:rPr>
              <w:t>2</w:t>
            </w:r>
            <w:r>
              <w:rPr>
                <w:rFonts w:ascii="仿宋" w:hAnsi="仿宋" w:eastAsia="仿宋"/>
                <w:highlight w:val="none"/>
              </w:rPr>
              <w:t>0</w:t>
            </w:r>
          </w:p>
        </w:tc>
        <w:tc>
          <w:tcPr>
            <w:tcW w:w="2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lang w:val="en-US" w:eastAsia="zh-CN"/>
              </w:rPr>
            </w:pPr>
            <w:r>
              <w:rPr>
                <w:rFonts w:hint="eastAsia" w:ascii="仿宋" w:hAnsi="仿宋" w:eastAsia="仿宋" w:cs="仿宋"/>
                <w:highlight w:val="none"/>
              </w:rPr>
              <w:t>跨境电子商务</w:t>
            </w:r>
            <w:r>
              <w:rPr>
                <w:rFonts w:hint="eastAsia" w:ascii="仿宋" w:hAnsi="仿宋" w:eastAsia="仿宋" w:cs="仿宋"/>
                <w:highlight w:val="none"/>
                <w:lang w:val="en-US" w:eastAsia="zh-CN"/>
              </w:rPr>
              <w:t>直播推广</w:t>
            </w:r>
          </w:p>
        </w:tc>
        <w:tc>
          <w:tcPr>
            <w:tcW w:w="23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参赛选手、裁判、监督</w:t>
            </w:r>
          </w:p>
        </w:tc>
        <w:tc>
          <w:tcPr>
            <w:tcW w:w="158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7" w:hRule="atLeast"/>
          <w:jc w:val="center"/>
        </w:trPr>
        <w:tc>
          <w:tcPr>
            <w:tcW w:w="85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p>
        </w:tc>
        <w:tc>
          <w:tcPr>
            <w:tcW w:w="137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hint="eastAsia" w:ascii="仿宋" w:hAnsi="仿宋" w:eastAsia="仿宋" w:cs="仿宋"/>
                <w:highlight w:val="none"/>
              </w:rPr>
            </w:pPr>
            <w:r>
              <w:rPr>
                <w:rFonts w:hint="eastAsia" w:ascii="仿宋" w:hAnsi="仿宋" w:eastAsia="仿宋"/>
                <w:highlight w:val="none"/>
                <w:lang w:val="en-US" w:eastAsia="zh-CN"/>
              </w:rPr>
              <w:t>9</w:t>
            </w:r>
            <w:r>
              <w:rPr>
                <w:rFonts w:hint="eastAsia" w:ascii="仿宋" w:hAnsi="仿宋" w:eastAsia="仿宋"/>
                <w:highlight w:val="none"/>
              </w:rPr>
              <w:t>:</w:t>
            </w:r>
            <w:r>
              <w:rPr>
                <w:rFonts w:hint="eastAsia" w:ascii="仿宋" w:hAnsi="仿宋" w:eastAsia="仿宋"/>
                <w:highlight w:val="none"/>
                <w:lang w:val="en-US" w:eastAsia="zh-CN"/>
              </w:rPr>
              <w:t>3</w:t>
            </w:r>
            <w:r>
              <w:rPr>
                <w:rFonts w:ascii="仿宋" w:hAnsi="仿宋" w:eastAsia="仿宋"/>
                <w:highlight w:val="none"/>
              </w:rPr>
              <w:t>0-1</w:t>
            </w:r>
            <w:r>
              <w:rPr>
                <w:rFonts w:hint="eastAsia" w:ascii="仿宋" w:hAnsi="仿宋" w:eastAsia="仿宋"/>
                <w:highlight w:val="none"/>
                <w:lang w:val="en-US" w:eastAsia="zh-CN"/>
              </w:rPr>
              <w:t>1</w:t>
            </w:r>
            <w:r>
              <w:rPr>
                <w:rFonts w:hint="eastAsia" w:ascii="仿宋" w:hAnsi="仿宋" w:eastAsia="仿宋"/>
                <w:highlight w:val="none"/>
              </w:rPr>
              <w:t>:</w:t>
            </w:r>
            <w:r>
              <w:rPr>
                <w:rFonts w:ascii="仿宋" w:hAnsi="仿宋" w:eastAsia="仿宋"/>
                <w:highlight w:val="none"/>
              </w:rPr>
              <w:t>00</w:t>
            </w:r>
          </w:p>
        </w:tc>
        <w:tc>
          <w:tcPr>
            <w:tcW w:w="2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lang w:val="en-US" w:eastAsia="zh-CN"/>
              </w:rPr>
            </w:pPr>
            <w:r>
              <w:rPr>
                <w:rFonts w:hint="eastAsia" w:ascii="仿宋" w:hAnsi="仿宋" w:eastAsia="仿宋" w:cs="仿宋"/>
                <w:highlight w:val="none"/>
              </w:rPr>
              <w:t>跨境电子商务</w:t>
            </w:r>
            <w:r>
              <w:rPr>
                <w:rFonts w:hint="eastAsia" w:ascii="仿宋" w:hAnsi="仿宋" w:eastAsia="仿宋" w:cs="仿宋"/>
                <w:highlight w:val="none"/>
                <w:lang w:val="en-US" w:eastAsia="zh-CN"/>
              </w:rPr>
              <w:t>视觉营销设计</w:t>
            </w:r>
          </w:p>
        </w:tc>
        <w:tc>
          <w:tcPr>
            <w:tcW w:w="23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参赛选手</w:t>
            </w:r>
            <w:r>
              <w:rPr>
                <w:rFonts w:hint="eastAsia" w:ascii="仿宋" w:hAnsi="仿宋" w:eastAsia="仿宋" w:cs="仿宋"/>
                <w:highlight w:val="none"/>
              </w:rPr>
              <w:t>、裁判、监督</w:t>
            </w:r>
          </w:p>
        </w:tc>
        <w:tc>
          <w:tcPr>
            <w:tcW w:w="158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jc w:val="center"/>
        </w:trPr>
        <w:tc>
          <w:tcPr>
            <w:tcW w:w="85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p>
        </w:tc>
        <w:tc>
          <w:tcPr>
            <w:tcW w:w="137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1</w:t>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0-1</w:t>
            </w:r>
            <w:r>
              <w:rPr>
                <w:rFonts w:hint="eastAsia" w:ascii="仿宋" w:hAnsi="仿宋" w:eastAsia="仿宋" w:cs="仿宋"/>
                <w:highlight w:val="none"/>
                <w:lang w:val="en-US" w:eastAsia="zh-CN"/>
              </w:rPr>
              <w:t>1</w:t>
            </w: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0</w:t>
            </w:r>
          </w:p>
        </w:tc>
        <w:tc>
          <w:tcPr>
            <w:tcW w:w="2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lang w:val="en-US" w:eastAsia="zh-CN"/>
              </w:rPr>
            </w:pPr>
            <w:r>
              <w:rPr>
                <w:rFonts w:hint="eastAsia" w:ascii="仿宋" w:hAnsi="仿宋" w:eastAsia="仿宋" w:cs="仿宋"/>
                <w:highlight w:val="none"/>
              </w:rPr>
              <w:t>跨境电子商务</w:t>
            </w:r>
            <w:r>
              <w:rPr>
                <w:rFonts w:hint="eastAsia" w:ascii="仿宋" w:hAnsi="仿宋" w:eastAsia="仿宋" w:cs="仿宋"/>
                <w:highlight w:val="none"/>
                <w:lang w:val="en-US" w:eastAsia="zh-CN"/>
              </w:rPr>
              <w:t>数据分析与应用</w:t>
            </w:r>
          </w:p>
        </w:tc>
        <w:tc>
          <w:tcPr>
            <w:tcW w:w="23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参赛选手、裁判、监督</w:t>
            </w:r>
          </w:p>
        </w:tc>
        <w:tc>
          <w:tcPr>
            <w:tcW w:w="158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highlight w:val="none"/>
              </w:rPr>
            </w:pPr>
            <w:r>
              <w:rPr>
                <w:rFonts w:hint="eastAsia" w:ascii="仿宋" w:hAnsi="仿宋" w:eastAsia="仿宋" w:cs="仿宋"/>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4" w:hRule="atLeast"/>
          <w:jc w:val="center"/>
        </w:trPr>
        <w:tc>
          <w:tcPr>
            <w:tcW w:w="85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240"/>
              <w:jc w:val="center"/>
              <w:textAlignment w:val="baseline"/>
              <w:rPr>
                <w:rFonts w:hint="eastAsia" w:ascii="仿宋" w:hAnsi="仿宋" w:eastAsia="仿宋" w:cs="仿宋"/>
                <w:highlight w:val="none"/>
              </w:rPr>
            </w:pPr>
          </w:p>
        </w:tc>
        <w:tc>
          <w:tcPr>
            <w:tcW w:w="137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hint="eastAsia" w:ascii="仿宋" w:hAnsi="仿宋" w:eastAsia="仿宋" w:cs="仿宋"/>
                <w:highlight w:val="none"/>
              </w:rPr>
            </w:pPr>
            <w:r>
              <w:rPr>
                <w:rFonts w:hint="eastAsia" w:ascii="仿宋" w:hAnsi="仿宋" w:eastAsia="仿宋"/>
                <w:highlight w:val="none"/>
              </w:rPr>
              <w:t>1</w:t>
            </w:r>
            <w:r>
              <w:rPr>
                <w:rFonts w:hint="eastAsia" w:ascii="仿宋" w:hAnsi="仿宋" w:eastAsia="仿宋"/>
                <w:highlight w:val="none"/>
                <w:lang w:val="en-US" w:eastAsia="zh-CN"/>
              </w:rPr>
              <w:t>2</w:t>
            </w:r>
            <w:r>
              <w:rPr>
                <w:rFonts w:hint="eastAsia" w:ascii="仿宋" w:hAnsi="仿宋" w:eastAsia="仿宋"/>
                <w:highlight w:val="none"/>
              </w:rPr>
              <w:t>:</w:t>
            </w:r>
            <w:r>
              <w:rPr>
                <w:rFonts w:hint="eastAsia" w:ascii="仿宋" w:hAnsi="仿宋" w:eastAsia="仿宋"/>
                <w:highlight w:val="none"/>
                <w:lang w:val="en-US" w:eastAsia="zh-CN"/>
              </w:rPr>
              <w:t>0</w:t>
            </w:r>
            <w:r>
              <w:rPr>
                <w:rFonts w:ascii="仿宋" w:hAnsi="仿宋" w:eastAsia="仿宋"/>
                <w:highlight w:val="none"/>
              </w:rPr>
              <w:t>0</w:t>
            </w:r>
          </w:p>
        </w:tc>
        <w:tc>
          <w:tcPr>
            <w:tcW w:w="2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hint="eastAsia" w:ascii="仿宋" w:hAnsi="仿宋" w:eastAsia="仿宋" w:cs="仿宋"/>
                <w:highlight w:val="none"/>
              </w:rPr>
            </w:pPr>
            <w:r>
              <w:rPr>
                <w:rFonts w:hint="eastAsia" w:ascii="仿宋" w:hAnsi="仿宋" w:eastAsia="仿宋" w:cs="仿宋"/>
                <w:highlight w:val="none"/>
              </w:rPr>
              <w:t>比赛结束，各参赛队返回</w:t>
            </w:r>
          </w:p>
        </w:tc>
        <w:tc>
          <w:tcPr>
            <w:tcW w:w="23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hint="eastAsia" w:ascii="仿宋" w:hAnsi="仿宋" w:eastAsia="仿宋" w:cs="仿宋"/>
                <w:highlight w:val="none"/>
              </w:rPr>
            </w:pPr>
            <w:r>
              <w:rPr>
                <w:rFonts w:hint="eastAsia" w:ascii="仿宋" w:hAnsi="仿宋" w:eastAsia="仿宋" w:cs="仿宋"/>
                <w:highlight w:val="none"/>
              </w:rPr>
              <w:t>各参赛队</w:t>
            </w:r>
          </w:p>
        </w:tc>
        <w:tc>
          <w:tcPr>
            <w:tcW w:w="158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hint="eastAsia" w:ascii="仿宋" w:hAnsi="仿宋" w:eastAsia="仿宋" w:cs="仿宋"/>
                <w:highlight w:val="none"/>
              </w:rPr>
            </w:pPr>
          </w:p>
        </w:tc>
      </w:tr>
    </w:tbl>
    <w:p>
      <w:pPr>
        <w:pStyle w:val="4"/>
        <w:pageBreakBefore w:val="0"/>
        <w:widowControl/>
        <w:kinsoku/>
        <w:wordWrap w:val="0"/>
        <w:overflowPunct/>
        <w:topLinePunct w:val="0"/>
        <w:autoSpaceDE w:val="0"/>
        <w:autoSpaceDN w:val="0"/>
        <w:bidi w:val="0"/>
        <w:adjustRightInd w:val="0"/>
        <w:snapToGrid w:val="0"/>
        <w:spacing w:before="0" w:after="0" w:line="560" w:lineRule="exact"/>
        <w:ind w:left="0" w:right="0" w:firstLine="600" w:firstLineChars="200"/>
        <w:jc w:val="both"/>
        <w:textAlignment w:val="baseline"/>
        <w:rPr>
          <w:rFonts w:hint="eastAsia" w:ascii="黑体" w:hAnsi="黑体" w:eastAsia="黑体"/>
          <w:b w:val="0"/>
          <w:sz w:val="30"/>
          <w:szCs w:val="30"/>
        </w:rPr>
      </w:pPr>
      <w:r>
        <w:rPr>
          <w:rFonts w:hint="eastAsia" w:ascii="黑体" w:hAnsi="黑体" w:eastAsia="黑体"/>
          <w:b w:val="0"/>
          <w:sz w:val="30"/>
          <w:szCs w:val="30"/>
        </w:rPr>
        <w:t>六、竞赛内容</w:t>
      </w:r>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1.赛项整体内容介绍</w:t>
      </w:r>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本赛项为学生赛，围绕职业教育国家教学标准要求、跨境电子商务新业态的工作过程任务要求和企业生产现实需要进行设计，全面考查参赛选手跨境电子商务的职业核心技能与职业素养。</w:t>
      </w:r>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赛项面向跨境电子商务视觉设计专员、跨境电子商务运营专员等岗位（群）设计竞赛任务。以深挖海内外市场需求，跨境电子商务的视觉营销设计、跨境电子商务直播</w:t>
      </w:r>
      <w:r>
        <w:rPr>
          <w:rFonts w:hint="eastAsia" w:ascii="仿宋" w:hAnsi="仿宋" w:eastAsia="仿宋" w:cs="仿宋"/>
          <w:sz w:val="30"/>
          <w:szCs w:val="30"/>
          <w:lang w:val="en-US" w:eastAsia="zh-CN"/>
        </w:rPr>
        <w:t>推广</w:t>
      </w:r>
      <w:r>
        <w:rPr>
          <w:rFonts w:hint="eastAsia" w:ascii="仿宋" w:hAnsi="仿宋" w:eastAsia="仿宋" w:cs="仿宋"/>
          <w:sz w:val="30"/>
          <w:szCs w:val="30"/>
        </w:rPr>
        <w:t>、跨境电子商务运营数据分析与应用等典型工作任务的完成质量和职业素养作为竞赛内容，全面考查选手的专业核心能力，考查选手的管理意识、合规意识、成本意识、风险意识、服务意识、劳动意识等职业素养，以及逻辑思维、协作沟通、时间管理、数据分析、业务运营、创新创业等综合能力。</w:t>
      </w:r>
    </w:p>
    <w:p>
      <w:pPr>
        <w:pageBreakBefore w:val="0"/>
        <w:widowControl/>
        <w:kinsoku/>
        <w:wordWrap w:val="0"/>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rPr>
        <w:t>本赛项现场竞赛时长</w:t>
      </w:r>
      <w:r>
        <w:rPr>
          <w:rFonts w:hint="eastAsia" w:ascii="仿宋" w:hAnsi="仿宋" w:eastAsia="仿宋" w:cs="仿宋"/>
          <w:sz w:val="30"/>
          <w:szCs w:val="30"/>
          <w:highlight w:val="none"/>
          <w:lang w:val="en-US" w:eastAsia="zh-CN"/>
        </w:rPr>
        <w:t>180</w:t>
      </w:r>
      <w:r>
        <w:rPr>
          <w:rFonts w:hint="eastAsia" w:ascii="仿宋" w:hAnsi="仿宋" w:eastAsia="仿宋" w:cs="仿宋"/>
          <w:sz w:val="30"/>
          <w:szCs w:val="30"/>
          <w:highlight w:val="none"/>
        </w:rPr>
        <w:t>分钟（</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小时）。竞赛内容包括3个模块。具体竞赛内容结构、成绩比例，如表1所示。</w:t>
      </w:r>
    </w:p>
    <w:p>
      <w:pPr>
        <w:widowControl w:val="0"/>
        <w:spacing w:line="360" w:lineRule="auto"/>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表1竞赛内容与成绩比例</w:t>
      </w:r>
    </w:p>
    <w:tbl>
      <w:tblPr>
        <w:tblStyle w:val="12"/>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872"/>
        <w:gridCol w:w="5738"/>
        <w:gridCol w:w="1091"/>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38" w:type="dxa"/>
            <w:gridSpan w:val="2"/>
            <w:vAlign w:val="center"/>
          </w:tcPr>
          <w:p>
            <w:pPr>
              <w:widowControl w:val="0"/>
              <w:spacing w:line="360" w:lineRule="auto"/>
              <w:jc w:val="center"/>
              <w:rPr>
                <w:rFonts w:hint="eastAsia" w:ascii="方正黑体_GBK" w:hAnsi="方正黑体_GBK" w:eastAsia="方正黑体_GBK" w:cs="方正黑体_GBK"/>
                <w:bCs/>
                <w:highlight w:val="none"/>
              </w:rPr>
            </w:pPr>
            <w:r>
              <w:rPr>
                <w:rFonts w:hint="eastAsia" w:ascii="方正黑体_GBK" w:hAnsi="方正黑体_GBK" w:eastAsia="方正黑体_GBK" w:cs="方正黑体_GBK"/>
                <w:bCs/>
                <w:highlight w:val="none"/>
              </w:rPr>
              <w:t>模块</w:t>
            </w:r>
          </w:p>
        </w:tc>
        <w:tc>
          <w:tcPr>
            <w:tcW w:w="5738" w:type="dxa"/>
            <w:vAlign w:val="center"/>
          </w:tcPr>
          <w:p>
            <w:pPr>
              <w:widowControl w:val="0"/>
              <w:spacing w:line="360" w:lineRule="auto"/>
              <w:jc w:val="center"/>
              <w:rPr>
                <w:rFonts w:hint="eastAsia" w:ascii="方正黑体_GBK" w:hAnsi="方正黑体_GBK" w:eastAsia="方正黑体_GBK" w:cs="方正黑体_GBK"/>
                <w:bCs/>
                <w:highlight w:val="none"/>
              </w:rPr>
            </w:pPr>
            <w:r>
              <w:rPr>
                <w:rFonts w:hint="eastAsia" w:ascii="方正黑体_GBK" w:hAnsi="方正黑体_GBK" w:eastAsia="方正黑体_GBK" w:cs="方正黑体_GBK"/>
                <w:bCs/>
                <w:highlight w:val="none"/>
              </w:rPr>
              <w:t>主要内容</w:t>
            </w:r>
          </w:p>
        </w:tc>
        <w:tc>
          <w:tcPr>
            <w:tcW w:w="1091" w:type="dxa"/>
            <w:vAlign w:val="center"/>
          </w:tcPr>
          <w:p>
            <w:pPr>
              <w:widowControl w:val="0"/>
              <w:spacing w:line="360" w:lineRule="auto"/>
              <w:jc w:val="center"/>
              <w:rPr>
                <w:rFonts w:hint="eastAsia" w:ascii="方正黑体_GBK" w:hAnsi="方正黑体_GBK" w:eastAsia="方正黑体_GBK" w:cs="方正黑体_GBK"/>
                <w:bCs/>
                <w:highlight w:val="none"/>
              </w:rPr>
            </w:pPr>
            <w:r>
              <w:rPr>
                <w:rFonts w:hint="eastAsia" w:ascii="方正黑体_GBK" w:hAnsi="方正黑体_GBK" w:eastAsia="方正黑体_GBK" w:cs="方正黑体_GBK"/>
                <w:bCs/>
                <w:highlight w:val="none"/>
              </w:rPr>
              <w:t>比赛时长</w:t>
            </w:r>
          </w:p>
        </w:tc>
        <w:tc>
          <w:tcPr>
            <w:tcW w:w="941" w:type="dxa"/>
            <w:vAlign w:val="center"/>
          </w:tcPr>
          <w:p>
            <w:pPr>
              <w:widowControl w:val="0"/>
              <w:spacing w:line="360" w:lineRule="auto"/>
              <w:jc w:val="center"/>
              <w:rPr>
                <w:rFonts w:hint="eastAsia" w:ascii="方正黑体_GBK" w:hAnsi="方正黑体_GBK" w:eastAsia="方正黑体_GBK" w:cs="方正黑体_GBK"/>
                <w:bCs/>
                <w:highlight w:val="none"/>
              </w:rPr>
            </w:pPr>
            <w:r>
              <w:rPr>
                <w:rFonts w:hint="eastAsia" w:ascii="方正黑体_GBK" w:hAnsi="方正黑体_GBK" w:eastAsia="方正黑体_GBK" w:cs="方正黑体_GBK"/>
                <w:bCs/>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val="0"/>
              <w:spacing w:line="360" w:lineRule="auto"/>
              <w:jc w:val="center"/>
              <w:rPr>
                <w:rFonts w:hint="eastAsia" w:ascii="仿宋" w:hAnsi="仿宋" w:eastAsia="仿宋" w:cs="仿宋"/>
                <w:bCs/>
                <w:highlight w:val="none"/>
              </w:rPr>
            </w:pPr>
            <w:r>
              <w:rPr>
                <w:rFonts w:hint="eastAsia" w:ascii="仿宋" w:hAnsi="仿宋" w:eastAsia="仿宋" w:cs="仿宋"/>
                <w:bCs/>
                <w:highlight w:val="none"/>
              </w:rPr>
              <w:t>模块一</w:t>
            </w:r>
          </w:p>
        </w:tc>
        <w:tc>
          <w:tcPr>
            <w:tcW w:w="872" w:type="dxa"/>
            <w:vAlign w:val="center"/>
          </w:tcPr>
          <w:p>
            <w:pPr>
              <w:widowControl w:val="0"/>
              <w:spacing w:line="360" w:lineRule="auto"/>
              <w:jc w:val="center"/>
              <w:rPr>
                <w:rFonts w:hint="eastAsia" w:ascii="仿宋" w:hAnsi="仿宋" w:eastAsia="仿宋" w:cs="仿宋"/>
                <w:bCs/>
                <w:snapToGrid w:val="0"/>
                <w:color w:val="000000"/>
                <w:kern w:val="0"/>
                <w:sz w:val="21"/>
                <w:szCs w:val="21"/>
                <w:highlight w:val="none"/>
                <w:lang w:val="en-US" w:eastAsia="zh-CN"/>
              </w:rPr>
            </w:pPr>
            <w:r>
              <w:rPr>
                <w:rFonts w:hint="eastAsia" w:ascii="仿宋" w:hAnsi="仿宋" w:eastAsia="仿宋" w:cs="仿宋"/>
                <w:bCs/>
                <w:highlight w:val="none"/>
              </w:rPr>
              <w:t>跨境电子商务</w:t>
            </w:r>
            <w:r>
              <w:rPr>
                <w:rFonts w:hint="eastAsia" w:ascii="仿宋" w:hAnsi="仿宋" w:eastAsia="仿宋" w:cs="仿宋"/>
                <w:bCs/>
                <w:highlight w:val="none"/>
                <w:lang w:val="en-US" w:eastAsia="zh-CN"/>
              </w:rPr>
              <w:t>直播推广</w:t>
            </w:r>
          </w:p>
        </w:tc>
        <w:tc>
          <w:tcPr>
            <w:tcW w:w="5738" w:type="dxa"/>
            <w:vAlign w:val="center"/>
          </w:tcPr>
          <w:p>
            <w:pPr>
              <w:widowControl w:val="0"/>
              <w:spacing w:line="360" w:lineRule="auto"/>
              <w:jc w:val="both"/>
              <w:rPr>
                <w:rFonts w:hint="eastAsia" w:ascii="仿宋" w:hAnsi="仿宋" w:eastAsia="仿宋" w:cs="仿宋"/>
                <w:bCs/>
                <w:snapToGrid w:val="0"/>
                <w:color w:val="000000"/>
                <w:kern w:val="0"/>
                <w:sz w:val="21"/>
                <w:szCs w:val="21"/>
                <w:highlight w:val="none"/>
              </w:rPr>
            </w:pPr>
            <w:r>
              <w:rPr>
                <w:rFonts w:hint="eastAsia" w:ascii="仿宋" w:hAnsi="仿宋" w:eastAsia="仿宋" w:cs="仿宋"/>
                <w:bCs/>
                <w:highlight w:val="none"/>
              </w:rPr>
              <w:t>根据跨境电子商务任务背景</w:t>
            </w:r>
            <w:r>
              <w:rPr>
                <w:rFonts w:hint="eastAsia" w:ascii="仿宋" w:hAnsi="仿宋" w:eastAsia="仿宋" w:cs="仿宋"/>
                <w:bCs/>
                <w:highlight w:val="none"/>
                <w:lang w:val="en-US" w:eastAsia="zh-CN"/>
              </w:rPr>
              <w:t>，</w:t>
            </w:r>
            <w:r>
              <w:rPr>
                <w:rFonts w:hint="eastAsia" w:ascii="仿宋" w:hAnsi="仿宋" w:eastAsia="仿宋" w:cs="仿宋"/>
                <w:bCs/>
                <w:highlight w:val="none"/>
              </w:rPr>
              <w:t>撰写英文直播脚本并完成10分钟跨境电商直播销售</w:t>
            </w:r>
            <w:r>
              <w:rPr>
                <w:rFonts w:hint="eastAsia" w:ascii="仿宋" w:hAnsi="仿宋" w:eastAsia="仿宋" w:cs="仿宋"/>
                <w:bCs/>
                <w:highlight w:val="none"/>
                <w:lang w:val="en-US" w:eastAsia="zh-CN"/>
              </w:rPr>
              <w:t>推广</w:t>
            </w:r>
            <w:r>
              <w:rPr>
                <w:rFonts w:hint="eastAsia" w:ascii="仿宋" w:hAnsi="仿宋" w:eastAsia="仿宋" w:cs="仿宋"/>
                <w:bCs/>
                <w:highlight w:val="none"/>
              </w:rPr>
              <w:t>；</w:t>
            </w:r>
          </w:p>
        </w:tc>
        <w:tc>
          <w:tcPr>
            <w:tcW w:w="1091" w:type="dxa"/>
            <w:vAlign w:val="center"/>
          </w:tcPr>
          <w:p>
            <w:pPr>
              <w:widowControl w:val="0"/>
              <w:spacing w:line="360" w:lineRule="auto"/>
              <w:jc w:val="center"/>
              <w:rPr>
                <w:rFonts w:hint="eastAsia" w:ascii="仿宋" w:hAnsi="仿宋" w:eastAsia="仿宋" w:cs="仿宋"/>
                <w:bCs/>
                <w:snapToGrid w:val="0"/>
                <w:color w:val="000000"/>
                <w:kern w:val="0"/>
                <w:sz w:val="21"/>
                <w:szCs w:val="21"/>
                <w:highlight w:val="none"/>
              </w:rPr>
            </w:pPr>
            <w:r>
              <w:rPr>
                <w:rFonts w:hint="eastAsia" w:ascii="仿宋" w:hAnsi="仿宋" w:eastAsia="仿宋" w:cs="仿宋"/>
                <w:bCs/>
                <w:highlight w:val="none"/>
                <w:lang w:val="en-US" w:eastAsia="zh-CN"/>
              </w:rPr>
              <w:t>50</w:t>
            </w:r>
            <w:r>
              <w:rPr>
                <w:rFonts w:hint="eastAsia" w:ascii="仿宋" w:hAnsi="仿宋" w:eastAsia="仿宋" w:cs="仿宋"/>
                <w:bCs/>
                <w:highlight w:val="none"/>
              </w:rPr>
              <w:t>分钟</w:t>
            </w:r>
          </w:p>
        </w:tc>
        <w:tc>
          <w:tcPr>
            <w:tcW w:w="941" w:type="dxa"/>
            <w:vAlign w:val="center"/>
          </w:tcPr>
          <w:p>
            <w:pPr>
              <w:widowControl w:val="0"/>
              <w:spacing w:line="360" w:lineRule="auto"/>
              <w:jc w:val="center"/>
              <w:rPr>
                <w:rFonts w:hint="eastAsia" w:ascii="仿宋" w:hAnsi="仿宋" w:eastAsia="仿宋" w:cs="仿宋"/>
                <w:bCs/>
                <w:snapToGrid w:val="0"/>
                <w:color w:val="000000"/>
                <w:kern w:val="0"/>
                <w:sz w:val="21"/>
                <w:szCs w:val="21"/>
                <w:highlight w:val="none"/>
              </w:rPr>
            </w:pPr>
            <w:r>
              <w:rPr>
                <w:rFonts w:hint="eastAsia" w:ascii="仿宋" w:hAnsi="仿宋" w:eastAsia="仿宋" w:cs="仿宋"/>
                <w:bCs/>
                <w:highlight w:val="none"/>
                <w:lang w:val="en-US" w:eastAsia="zh-CN"/>
              </w:rPr>
              <w:t>35</w:t>
            </w:r>
            <w:r>
              <w:rPr>
                <w:rFonts w:hint="eastAsia" w:ascii="仿宋" w:hAnsi="仿宋" w:eastAsia="仿宋" w:cs="仿宋"/>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val="0"/>
              <w:spacing w:line="360" w:lineRule="auto"/>
              <w:jc w:val="center"/>
              <w:rPr>
                <w:rFonts w:hint="eastAsia" w:ascii="仿宋" w:hAnsi="仿宋" w:eastAsia="仿宋" w:cs="仿宋"/>
                <w:bCs/>
                <w:highlight w:val="none"/>
              </w:rPr>
            </w:pPr>
            <w:r>
              <w:rPr>
                <w:rFonts w:hint="eastAsia" w:ascii="仿宋" w:hAnsi="仿宋" w:eastAsia="仿宋" w:cs="仿宋"/>
                <w:bCs/>
                <w:highlight w:val="none"/>
              </w:rPr>
              <w:t>模块二</w:t>
            </w:r>
          </w:p>
        </w:tc>
        <w:tc>
          <w:tcPr>
            <w:tcW w:w="872" w:type="dxa"/>
            <w:vAlign w:val="center"/>
          </w:tcPr>
          <w:p>
            <w:pPr>
              <w:widowControl w:val="0"/>
              <w:spacing w:line="360" w:lineRule="auto"/>
              <w:jc w:val="center"/>
              <w:rPr>
                <w:rFonts w:hint="eastAsia" w:ascii="仿宋" w:hAnsi="仿宋" w:eastAsia="仿宋" w:cs="仿宋"/>
                <w:bCs/>
                <w:snapToGrid w:val="0"/>
                <w:color w:val="000000"/>
                <w:kern w:val="0"/>
                <w:sz w:val="21"/>
                <w:szCs w:val="21"/>
                <w:highlight w:val="none"/>
                <w:lang w:val="en-US" w:eastAsia="zh-CN"/>
              </w:rPr>
            </w:pPr>
            <w:r>
              <w:rPr>
                <w:rFonts w:hint="eastAsia" w:ascii="仿宋" w:hAnsi="仿宋" w:eastAsia="仿宋" w:cs="仿宋"/>
                <w:bCs/>
                <w:highlight w:val="none"/>
              </w:rPr>
              <w:t>跨境电子商务</w:t>
            </w:r>
            <w:r>
              <w:rPr>
                <w:rFonts w:hint="eastAsia" w:ascii="仿宋" w:hAnsi="仿宋" w:eastAsia="仿宋" w:cs="仿宋"/>
                <w:bCs/>
                <w:highlight w:val="none"/>
                <w:lang w:val="en-US" w:eastAsia="zh-CN"/>
              </w:rPr>
              <w:t>视觉营销设计</w:t>
            </w:r>
          </w:p>
        </w:tc>
        <w:tc>
          <w:tcPr>
            <w:tcW w:w="5738" w:type="dxa"/>
            <w:vAlign w:val="top"/>
          </w:tcPr>
          <w:p>
            <w:pPr>
              <w:widowControl w:val="0"/>
              <w:spacing w:line="360" w:lineRule="auto"/>
              <w:jc w:val="both"/>
              <w:rPr>
                <w:rFonts w:hint="eastAsia" w:ascii="仿宋" w:hAnsi="仿宋" w:eastAsia="仿宋" w:cs="仿宋"/>
                <w:bCs/>
                <w:snapToGrid w:val="0"/>
                <w:color w:val="000000"/>
                <w:kern w:val="0"/>
                <w:sz w:val="21"/>
                <w:szCs w:val="21"/>
                <w:highlight w:val="none"/>
              </w:rPr>
            </w:pPr>
            <w:r>
              <w:rPr>
                <w:rFonts w:hint="eastAsia" w:ascii="仿宋" w:hAnsi="仿宋" w:eastAsia="仿宋" w:cs="仿宋"/>
                <w:bCs/>
                <w:highlight w:val="none"/>
              </w:rPr>
              <w:t>根据跨境电子商务任务背景</w:t>
            </w:r>
            <w:r>
              <w:rPr>
                <w:rFonts w:hint="eastAsia" w:ascii="仿宋" w:hAnsi="仿宋" w:eastAsia="仿宋" w:cs="仿宋"/>
                <w:bCs/>
                <w:highlight w:val="none"/>
                <w:lang w:eastAsia="zh-CN"/>
              </w:rPr>
              <w:t>，</w:t>
            </w:r>
            <w:r>
              <w:rPr>
                <w:rFonts w:hint="eastAsia" w:ascii="仿宋" w:hAnsi="仿宋" w:eastAsia="仿宋" w:cs="仿宋"/>
                <w:bCs/>
                <w:highlight w:val="none"/>
              </w:rPr>
              <w:t>完成店铺LOGO、店招、Banner 设计制作、商品主图设计制作、商品详情页视觉营销设计制作。</w:t>
            </w:r>
          </w:p>
        </w:tc>
        <w:tc>
          <w:tcPr>
            <w:tcW w:w="1091" w:type="dxa"/>
            <w:vAlign w:val="center"/>
          </w:tcPr>
          <w:p>
            <w:pPr>
              <w:widowControl w:val="0"/>
              <w:spacing w:line="360" w:lineRule="auto"/>
              <w:jc w:val="center"/>
              <w:rPr>
                <w:rFonts w:hint="eastAsia" w:ascii="仿宋" w:hAnsi="仿宋" w:eastAsia="仿宋" w:cs="仿宋"/>
                <w:bCs/>
                <w:snapToGrid w:val="0"/>
                <w:color w:val="000000"/>
                <w:kern w:val="0"/>
                <w:sz w:val="21"/>
                <w:szCs w:val="21"/>
                <w:highlight w:val="none"/>
              </w:rPr>
            </w:pPr>
            <w:r>
              <w:rPr>
                <w:rFonts w:hint="eastAsia" w:ascii="仿宋" w:hAnsi="仿宋" w:eastAsia="仿宋" w:cs="仿宋"/>
                <w:bCs/>
                <w:highlight w:val="none"/>
                <w:lang w:val="en-US" w:eastAsia="zh-CN"/>
              </w:rPr>
              <w:t>90</w:t>
            </w:r>
            <w:r>
              <w:rPr>
                <w:rFonts w:hint="eastAsia" w:ascii="仿宋" w:hAnsi="仿宋" w:eastAsia="仿宋" w:cs="仿宋"/>
                <w:bCs/>
                <w:highlight w:val="none"/>
              </w:rPr>
              <w:t>分钟</w:t>
            </w:r>
          </w:p>
        </w:tc>
        <w:tc>
          <w:tcPr>
            <w:tcW w:w="941" w:type="dxa"/>
            <w:vAlign w:val="center"/>
          </w:tcPr>
          <w:p>
            <w:pPr>
              <w:widowControl w:val="0"/>
              <w:spacing w:line="360" w:lineRule="auto"/>
              <w:jc w:val="center"/>
              <w:rPr>
                <w:rFonts w:hint="eastAsia" w:ascii="仿宋" w:hAnsi="仿宋" w:eastAsia="仿宋" w:cs="仿宋"/>
                <w:bCs/>
                <w:snapToGrid w:val="0"/>
                <w:color w:val="000000"/>
                <w:kern w:val="0"/>
                <w:sz w:val="21"/>
                <w:szCs w:val="21"/>
                <w:highlight w:val="none"/>
              </w:rPr>
            </w:pPr>
            <w:r>
              <w:rPr>
                <w:rFonts w:hint="eastAsia" w:ascii="仿宋" w:hAnsi="仿宋" w:eastAsia="仿宋" w:cs="仿宋"/>
                <w:bCs/>
                <w:highlight w:val="none"/>
                <w:lang w:val="en-US" w:eastAsia="zh-CN"/>
              </w:rPr>
              <w:t>40</w:t>
            </w:r>
            <w:r>
              <w:rPr>
                <w:rFonts w:hint="eastAsia" w:ascii="仿宋" w:hAnsi="仿宋" w:eastAsia="仿宋" w:cs="仿宋"/>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val="0"/>
              <w:spacing w:line="360" w:lineRule="auto"/>
              <w:jc w:val="center"/>
              <w:rPr>
                <w:rFonts w:hint="eastAsia" w:ascii="仿宋" w:hAnsi="仿宋" w:eastAsia="仿宋" w:cs="仿宋"/>
                <w:bCs/>
                <w:highlight w:val="none"/>
              </w:rPr>
            </w:pPr>
            <w:r>
              <w:rPr>
                <w:rFonts w:hint="eastAsia" w:ascii="仿宋" w:hAnsi="仿宋" w:eastAsia="仿宋" w:cs="仿宋"/>
                <w:bCs/>
                <w:highlight w:val="none"/>
              </w:rPr>
              <w:t>模块三</w:t>
            </w:r>
          </w:p>
        </w:tc>
        <w:tc>
          <w:tcPr>
            <w:tcW w:w="872" w:type="dxa"/>
            <w:vAlign w:val="center"/>
          </w:tcPr>
          <w:p>
            <w:pPr>
              <w:widowControl w:val="0"/>
              <w:spacing w:line="360" w:lineRule="auto"/>
              <w:jc w:val="center"/>
              <w:rPr>
                <w:rFonts w:hint="eastAsia" w:ascii="仿宋" w:hAnsi="仿宋" w:eastAsia="仿宋" w:cs="仿宋"/>
                <w:bCs/>
                <w:highlight w:val="none"/>
                <w:lang w:eastAsia="zh-CN"/>
              </w:rPr>
            </w:pPr>
            <w:r>
              <w:rPr>
                <w:rFonts w:hint="eastAsia" w:ascii="仿宋" w:hAnsi="仿宋" w:eastAsia="仿宋" w:cs="仿宋"/>
                <w:bCs/>
                <w:highlight w:val="none"/>
              </w:rPr>
              <w:t>跨境电子商务</w:t>
            </w:r>
            <w:r>
              <w:rPr>
                <w:rFonts w:hint="eastAsia" w:ascii="仿宋" w:hAnsi="仿宋" w:eastAsia="仿宋" w:cs="仿宋"/>
                <w:bCs/>
                <w:highlight w:val="none"/>
                <w:lang w:val="en-US" w:eastAsia="zh-CN"/>
              </w:rPr>
              <w:t>数据分析</w:t>
            </w:r>
          </w:p>
        </w:tc>
        <w:tc>
          <w:tcPr>
            <w:tcW w:w="5738" w:type="dxa"/>
            <w:vAlign w:val="center"/>
          </w:tcPr>
          <w:p>
            <w:pPr>
              <w:widowControl w:val="0"/>
              <w:spacing w:line="360" w:lineRule="auto"/>
              <w:jc w:val="both"/>
              <w:rPr>
                <w:rFonts w:hint="eastAsia" w:ascii="仿宋" w:hAnsi="仿宋" w:eastAsia="仿宋" w:cs="仿宋"/>
                <w:bCs/>
                <w:highlight w:val="none"/>
              </w:rPr>
            </w:pPr>
            <w:r>
              <w:rPr>
                <w:rFonts w:hint="eastAsia" w:ascii="仿宋" w:hAnsi="仿宋" w:eastAsia="仿宋" w:cs="仿宋"/>
                <w:bCs/>
                <w:highlight w:val="none"/>
              </w:rPr>
              <w:t>根据跨境电子商务任务背景</w:t>
            </w:r>
            <w:r>
              <w:rPr>
                <w:rFonts w:hint="eastAsia" w:ascii="仿宋" w:hAnsi="仿宋" w:eastAsia="仿宋" w:cs="仿宋"/>
                <w:bCs/>
                <w:highlight w:val="none"/>
                <w:lang w:eastAsia="zh-CN"/>
              </w:rPr>
              <w:t>，</w:t>
            </w:r>
            <w:r>
              <w:rPr>
                <w:rFonts w:hint="eastAsia" w:ascii="仿宋" w:hAnsi="仿宋" w:eastAsia="仿宋" w:cs="仿宋"/>
                <w:bCs/>
                <w:highlight w:val="none"/>
              </w:rPr>
              <w:t>对运营数据进行分析诊断，撰写并制作店铺运营周期可视化总结报告。</w:t>
            </w:r>
          </w:p>
        </w:tc>
        <w:tc>
          <w:tcPr>
            <w:tcW w:w="1091" w:type="dxa"/>
            <w:vAlign w:val="center"/>
          </w:tcPr>
          <w:p>
            <w:pPr>
              <w:widowControl w:val="0"/>
              <w:spacing w:line="360" w:lineRule="auto"/>
              <w:jc w:val="center"/>
              <w:rPr>
                <w:rFonts w:hint="eastAsia" w:ascii="仿宋" w:hAnsi="仿宋" w:eastAsia="仿宋" w:cs="仿宋"/>
                <w:bCs/>
                <w:highlight w:val="none"/>
              </w:rPr>
            </w:pPr>
            <w:r>
              <w:rPr>
                <w:rFonts w:hint="eastAsia" w:ascii="仿宋" w:hAnsi="仿宋" w:eastAsia="仿宋" w:cs="仿宋"/>
                <w:bCs/>
                <w:highlight w:val="none"/>
                <w:lang w:val="en-US" w:eastAsia="zh-CN"/>
              </w:rPr>
              <w:t>40</w:t>
            </w:r>
            <w:r>
              <w:rPr>
                <w:rFonts w:hint="eastAsia" w:ascii="仿宋" w:hAnsi="仿宋" w:eastAsia="仿宋" w:cs="仿宋"/>
                <w:bCs/>
                <w:highlight w:val="none"/>
              </w:rPr>
              <w:t>分钟</w:t>
            </w:r>
          </w:p>
        </w:tc>
        <w:tc>
          <w:tcPr>
            <w:tcW w:w="941" w:type="dxa"/>
            <w:vAlign w:val="center"/>
          </w:tcPr>
          <w:p>
            <w:pPr>
              <w:widowControl w:val="0"/>
              <w:spacing w:line="360" w:lineRule="auto"/>
              <w:jc w:val="center"/>
              <w:rPr>
                <w:rFonts w:hint="eastAsia" w:ascii="仿宋" w:hAnsi="仿宋" w:eastAsia="仿宋" w:cs="仿宋"/>
                <w:bCs/>
                <w:highlight w:val="none"/>
              </w:rPr>
            </w:pPr>
            <w:r>
              <w:rPr>
                <w:rFonts w:hint="eastAsia" w:ascii="仿宋" w:hAnsi="仿宋" w:eastAsia="仿宋" w:cs="仿宋"/>
                <w:bCs/>
                <w:highlight w:val="none"/>
                <w:lang w:val="en-US" w:eastAsia="zh-CN"/>
              </w:rPr>
              <w:t>25</w:t>
            </w:r>
            <w:r>
              <w:rPr>
                <w:rFonts w:hint="eastAsia" w:ascii="仿宋" w:hAnsi="仿宋" w:eastAsia="仿宋" w:cs="仿宋"/>
                <w:bCs/>
                <w:highlight w:val="none"/>
              </w:rPr>
              <w:t>%</w:t>
            </w:r>
          </w:p>
        </w:tc>
      </w:tr>
    </w:tbl>
    <w:p>
      <w:pPr>
        <w:widowControl w:val="0"/>
        <w:spacing w:line="360" w:lineRule="auto"/>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2.赛项模块、比赛时长及分值配比</w:t>
      </w:r>
    </w:p>
    <w:p>
      <w:pPr>
        <w:widowControl w:val="0"/>
        <w:spacing w:line="360" w:lineRule="auto"/>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表2 赛项模块主要内容、比赛时长及分值权重</w:t>
      </w:r>
    </w:p>
    <w:tbl>
      <w:tblPr>
        <w:tblStyle w:val="12"/>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872"/>
        <w:gridCol w:w="5738"/>
        <w:gridCol w:w="1091"/>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38" w:type="dxa"/>
            <w:gridSpan w:val="2"/>
            <w:vAlign w:val="center"/>
          </w:tcPr>
          <w:p>
            <w:pPr>
              <w:widowControl w:val="0"/>
              <w:spacing w:line="360" w:lineRule="auto"/>
              <w:jc w:val="center"/>
              <w:rPr>
                <w:rFonts w:hint="eastAsia" w:ascii="方正黑体_GBK" w:hAnsi="方正黑体_GBK" w:eastAsia="方正黑体_GBK" w:cs="方正黑体_GBK"/>
                <w:bCs/>
                <w:highlight w:val="none"/>
              </w:rPr>
            </w:pPr>
            <w:r>
              <w:rPr>
                <w:rFonts w:hint="eastAsia" w:ascii="方正黑体_GBK" w:hAnsi="方正黑体_GBK" w:eastAsia="方正黑体_GBK" w:cs="方正黑体_GBK"/>
                <w:bCs/>
                <w:highlight w:val="none"/>
              </w:rPr>
              <w:t>模块</w:t>
            </w:r>
          </w:p>
        </w:tc>
        <w:tc>
          <w:tcPr>
            <w:tcW w:w="5738" w:type="dxa"/>
            <w:vAlign w:val="center"/>
          </w:tcPr>
          <w:p>
            <w:pPr>
              <w:widowControl w:val="0"/>
              <w:spacing w:line="360" w:lineRule="auto"/>
              <w:jc w:val="center"/>
              <w:rPr>
                <w:rFonts w:hint="eastAsia" w:ascii="方正黑体_GBK" w:hAnsi="方正黑体_GBK" w:eastAsia="方正黑体_GBK" w:cs="方正黑体_GBK"/>
                <w:bCs/>
                <w:highlight w:val="none"/>
              </w:rPr>
            </w:pPr>
            <w:r>
              <w:rPr>
                <w:rFonts w:hint="eastAsia" w:ascii="方正黑体_GBK" w:hAnsi="方正黑体_GBK" w:eastAsia="方正黑体_GBK" w:cs="方正黑体_GBK"/>
                <w:bCs/>
                <w:highlight w:val="none"/>
              </w:rPr>
              <w:t>主要内容</w:t>
            </w:r>
          </w:p>
        </w:tc>
        <w:tc>
          <w:tcPr>
            <w:tcW w:w="1091" w:type="dxa"/>
            <w:vAlign w:val="center"/>
          </w:tcPr>
          <w:p>
            <w:pPr>
              <w:widowControl w:val="0"/>
              <w:spacing w:line="360" w:lineRule="auto"/>
              <w:jc w:val="center"/>
              <w:rPr>
                <w:rFonts w:hint="eastAsia" w:ascii="方正黑体_GBK" w:hAnsi="方正黑体_GBK" w:eastAsia="方正黑体_GBK" w:cs="方正黑体_GBK"/>
                <w:bCs/>
                <w:highlight w:val="none"/>
              </w:rPr>
            </w:pPr>
            <w:r>
              <w:rPr>
                <w:rFonts w:hint="eastAsia" w:ascii="方正黑体_GBK" w:hAnsi="方正黑体_GBK" w:eastAsia="方正黑体_GBK" w:cs="方正黑体_GBK"/>
                <w:bCs/>
                <w:highlight w:val="none"/>
              </w:rPr>
              <w:t>比赛时长</w:t>
            </w:r>
          </w:p>
        </w:tc>
        <w:tc>
          <w:tcPr>
            <w:tcW w:w="941" w:type="dxa"/>
            <w:vAlign w:val="center"/>
          </w:tcPr>
          <w:p>
            <w:pPr>
              <w:widowControl w:val="0"/>
              <w:spacing w:line="360" w:lineRule="auto"/>
              <w:jc w:val="center"/>
              <w:rPr>
                <w:rFonts w:hint="eastAsia" w:ascii="方正黑体_GBK" w:hAnsi="方正黑体_GBK" w:eastAsia="方正黑体_GBK" w:cs="方正黑体_GBK"/>
                <w:bCs/>
                <w:highlight w:val="none"/>
              </w:rPr>
            </w:pPr>
            <w:r>
              <w:rPr>
                <w:rFonts w:hint="eastAsia" w:ascii="方正黑体_GBK" w:hAnsi="方正黑体_GBK" w:eastAsia="方正黑体_GBK" w:cs="方正黑体_GBK"/>
                <w:bCs/>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val="0"/>
              <w:spacing w:line="360" w:lineRule="auto"/>
              <w:jc w:val="center"/>
              <w:rPr>
                <w:rFonts w:hint="eastAsia" w:ascii="仿宋" w:hAnsi="仿宋" w:eastAsia="仿宋" w:cs="仿宋"/>
                <w:bCs/>
                <w:highlight w:val="none"/>
              </w:rPr>
            </w:pPr>
            <w:r>
              <w:rPr>
                <w:rFonts w:hint="eastAsia" w:ascii="仿宋" w:hAnsi="仿宋" w:eastAsia="仿宋" w:cs="仿宋"/>
                <w:bCs/>
                <w:highlight w:val="none"/>
              </w:rPr>
              <w:t>模块一</w:t>
            </w:r>
          </w:p>
        </w:tc>
        <w:tc>
          <w:tcPr>
            <w:tcW w:w="872" w:type="dxa"/>
            <w:vAlign w:val="center"/>
          </w:tcPr>
          <w:p>
            <w:pPr>
              <w:widowControl w:val="0"/>
              <w:spacing w:line="360" w:lineRule="auto"/>
              <w:jc w:val="center"/>
              <w:rPr>
                <w:rFonts w:hint="eastAsia" w:ascii="仿宋" w:hAnsi="仿宋" w:eastAsia="仿宋" w:cs="仿宋"/>
                <w:bCs/>
                <w:snapToGrid w:val="0"/>
                <w:color w:val="000000"/>
                <w:kern w:val="0"/>
                <w:sz w:val="21"/>
                <w:szCs w:val="21"/>
                <w:highlight w:val="none"/>
                <w:lang w:val="en-US" w:eastAsia="zh-CN"/>
              </w:rPr>
            </w:pPr>
            <w:r>
              <w:rPr>
                <w:rFonts w:hint="eastAsia" w:ascii="仿宋" w:hAnsi="仿宋" w:eastAsia="仿宋" w:cs="仿宋"/>
                <w:bCs/>
                <w:highlight w:val="none"/>
              </w:rPr>
              <w:t>跨境电子商务</w:t>
            </w:r>
            <w:r>
              <w:rPr>
                <w:rFonts w:hint="eastAsia" w:ascii="仿宋" w:hAnsi="仿宋" w:eastAsia="仿宋" w:cs="仿宋"/>
                <w:bCs/>
                <w:highlight w:val="none"/>
                <w:lang w:val="en-US" w:eastAsia="zh-CN"/>
              </w:rPr>
              <w:t>直播推广</w:t>
            </w:r>
          </w:p>
        </w:tc>
        <w:tc>
          <w:tcPr>
            <w:tcW w:w="5738" w:type="dxa"/>
            <w:vAlign w:val="center"/>
          </w:tcPr>
          <w:p>
            <w:pPr>
              <w:widowControl w:val="0"/>
              <w:autoSpaceDE w:val="0"/>
              <w:autoSpaceDN w:val="0"/>
              <w:adjustRightInd w:val="0"/>
              <w:spacing w:line="360" w:lineRule="auto"/>
              <w:jc w:val="both"/>
              <w:rPr>
                <w:rFonts w:hint="eastAsia" w:ascii="仿宋" w:hAnsi="仿宋" w:eastAsia="仿宋" w:cs="仿宋"/>
                <w:highlight w:val="none"/>
              </w:rPr>
            </w:pPr>
            <w:r>
              <w:rPr>
                <w:rFonts w:hint="eastAsia" w:ascii="仿宋" w:hAnsi="仿宋" w:eastAsia="仿宋" w:cs="仿宋"/>
                <w:highlight w:val="none"/>
              </w:rPr>
              <w:t>根据</w:t>
            </w:r>
            <w:r>
              <w:rPr>
                <w:rFonts w:hint="eastAsia" w:ascii="仿宋" w:hAnsi="仿宋" w:eastAsia="仿宋" w:cs="仿宋"/>
                <w:highlight w:val="none"/>
                <w:lang w:val="en-US" w:eastAsia="zh-CN"/>
              </w:rPr>
              <w:t>任务背景</w:t>
            </w:r>
            <w:r>
              <w:rPr>
                <w:rFonts w:hint="eastAsia" w:ascii="仿宋" w:hAnsi="仿宋" w:eastAsia="仿宋" w:cs="仿宋"/>
                <w:highlight w:val="none"/>
              </w:rPr>
              <w:t>，选择一款单品用英文撰写单品直播脚本，内容包括直播开场、自我介绍、商品展示和解说（功能、卖点等）、品牌介绍、活动介绍、直播结尾。根据上述脚本，在竞赛平台用英文完成单品直播，最多不能超过2人完成直播</w:t>
            </w:r>
            <w:r>
              <w:rPr>
                <w:rFonts w:hint="eastAsia" w:ascii="仿宋" w:hAnsi="仿宋" w:eastAsia="仿宋" w:cs="仿宋"/>
                <w:highlight w:val="none"/>
                <w:lang w:val="en-US" w:eastAsia="zh-CN"/>
              </w:rPr>
              <w:t>推广</w:t>
            </w:r>
            <w:r>
              <w:rPr>
                <w:rFonts w:hint="eastAsia" w:ascii="仿宋" w:hAnsi="仿宋" w:eastAsia="仿宋" w:cs="仿宋"/>
                <w:highlight w:val="none"/>
              </w:rPr>
              <w:t>。并将完成的直播英文脚本WORD和PDF文档、视频上传到指定平台。</w:t>
            </w:r>
          </w:p>
          <w:p>
            <w:pPr>
              <w:widowControl w:val="0"/>
              <w:autoSpaceDE w:val="0"/>
              <w:autoSpaceDN w:val="0"/>
              <w:adjustRightInd w:val="0"/>
              <w:spacing w:line="360" w:lineRule="auto"/>
              <w:jc w:val="both"/>
              <w:rPr>
                <w:rFonts w:hint="eastAsia" w:ascii="仿宋" w:hAnsi="仿宋" w:eastAsia="仿宋" w:cs="仿宋"/>
                <w:bCs/>
                <w:snapToGrid w:val="0"/>
                <w:color w:val="000000"/>
                <w:kern w:val="0"/>
                <w:sz w:val="21"/>
                <w:szCs w:val="21"/>
                <w:highlight w:val="none"/>
              </w:rPr>
            </w:pPr>
          </w:p>
        </w:tc>
        <w:tc>
          <w:tcPr>
            <w:tcW w:w="1091" w:type="dxa"/>
            <w:vAlign w:val="center"/>
          </w:tcPr>
          <w:p>
            <w:pPr>
              <w:widowControl w:val="0"/>
              <w:spacing w:line="360" w:lineRule="auto"/>
              <w:jc w:val="center"/>
              <w:rPr>
                <w:rFonts w:hint="eastAsia" w:ascii="仿宋" w:hAnsi="仿宋" w:eastAsia="仿宋" w:cs="仿宋"/>
                <w:bCs/>
                <w:snapToGrid w:val="0"/>
                <w:color w:val="000000"/>
                <w:kern w:val="0"/>
                <w:sz w:val="21"/>
                <w:szCs w:val="21"/>
                <w:highlight w:val="none"/>
              </w:rPr>
            </w:pPr>
            <w:r>
              <w:rPr>
                <w:rFonts w:hint="eastAsia" w:ascii="仿宋" w:hAnsi="仿宋" w:eastAsia="仿宋" w:cs="仿宋"/>
                <w:bCs/>
                <w:highlight w:val="none"/>
                <w:lang w:val="en-US" w:eastAsia="zh-CN"/>
              </w:rPr>
              <w:t>50</w:t>
            </w:r>
            <w:r>
              <w:rPr>
                <w:rFonts w:hint="eastAsia" w:ascii="仿宋" w:hAnsi="仿宋" w:eastAsia="仿宋" w:cs="仿宋"/>
                <w:bCs/>
                <w:highlight w:val="none"/>
              </w:rPr>
              <w:t>分钟</w:t>
            </w:r>
          </w:p>
        </w:tc>
        <w:tc>
          <w:tcPr>
            <w:tcW w:w="941" w:type="dxa"/>
            <w:vAlign w:val="center"/>
          </w:tcPr>
          <w:p>
            <w:pPr>
              <w:widowControl w:val="0"/>
              <w:spacing w:line="360" w:lineRule="auto"/>
              <w:jc w:val="center"/>
              <w:rPr>
                <w:rFonts w:hint="eastAsia" w:ascii="仿宋" w:hAnsi="仿宋" w:eastAsia="仿宋" w:cs="仿宋"/>
                <w:bCs/>
                <w:snapToGrid w:val="0"/>
                <w:color w:val="000000"/>
                <w:kern w:val="0"/>
                <w:sz w:val="21"/>
                <w:szCs w:val="21"/>
                <w:highlight w:val="none"/>
              </w:rPr>
            </w:pPr>
            <w:r>
              <w:rPr>
                <w:rFonts w:hint="eastAsia" w:ascii="仿宋" w:hAnsi="仿宋" w:eastAsia="仿宋" w:cs="仿宋"/>
                <w:bCs/>
                <w:highlight w:val="none"/>
                <w:lang w:val="en-US" w:eastAsia="zh-CN"/>
              </w:rPr>
              <w:t>35</w:t>
            </w:r>
            <w:r>
              <w:rPr>
                <w:rFonts w:hint="eastAsia" w:ascii="仿宋" w:hAnsi="仿宋" w:eastAsia="仿宋" w:cs="仿宋"/>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val="0"/>
              <w:spacing w:line="360" w:lineRule="auto"/>
              <w:jc w:val="center"/>
              <w:rPr>
                <w:rFonts w:hint="eastAsia" w:ascii="仿宋" w:hAnsi="仿宋" w:eastAsia="仿宋" w:cs="仿宋"/>
                <w:bCs/>
                <w:highlight w:val="none"/>
              </w:rPr>
            </w:pPr>
            <w:r>
              <w:rPr>
                <w:rFonts w:hint="eastAsia" w:ascii="仿宋" w:hAnsi="仿宋" w:eastAsia="仿宋" w:cs="仿宋"/>
                <w:bCs/>
                <w:highlight w:val="none"/>
              </w:rPr>
              <w:t>模块二</w:t>
            </w:r>
          </w:p>
        </w:tc>
        <w:tc>
          <w:tcPr>
            <w:tcW w:w="872" w:type="dxa"/>
            <w:vAlign w:val="center"/>
          </w:tcPr>
          <w:p>
            <w:pPr>
              <w:widowControl w:val="0"/>
              <w:spacing w:line="360" w:lineRule="auto"/>
              <w:jc w:val="center"/>
              <w:rPr>
                <w:rFonts w:hint="eastAsia" w:ascii="仿宋" w:hAnsi="仿宋" w:eastAsia="仿宋" w:cs="仿宋"/>
                <w:bCs/>
                <w:snapToGrid w:val="0"/>
                <w:color w:val="000000"/>
                <w:kern w:val="0"/>
                <w:sz w:val="21"/>
                <w:szCs w:val="21"/>
                <w:highlight w:val="none"/>
                <w:lang w:val="en-US" w:eastAsia="zh-CN"/>
              </w:rPr>
            </w:pPr>
            <w:r>
              <w:rPr>
                <w:rFonts w:hint="eastAsia" w:ascii="仿宋" w:hAnsi="仿宋" w:eastAsia="仿宋" w:cs="仿宋"/>
                <w:bCs/>
                <w:highlight w:val="none"/>
              </w:rPr>
              <w:t>跨境电子商务</w:t>
            </w:r>
            <w:r>
              <w:rPr>
                <w:rFonts w:hint="eastAsia" w:ascii="仿宋" w:hAnsi="仿宋" w:eastAsia="仿宋" w:cs="仿宋"/>
                <w:bCs/>
                <w:highlight w:val="none"/>
                <w:lang w:val="en-US" w:eastAsia="zh-CN"/>
              </w:rPr>
              <w:t>视觉营销设计</w:t>
            </w:r>
          </w:p>
        </w:tc>
        <w:tc>
          <w:tcPr>
            <w:tcW w:w="5738" w:type="dxa"/>
            <w:vAlign w:val="top"/>
          </w:tcPr>
          <w:p>
            <w:pPr>
              <w:widowControl w:val="0"/>
              <w:autoSpaceDE w:val="0"/>
              <w:autoSpaceDN w:val="0"/>
              <w:adjustRightInd w:val="0"/>
              <w:spacing w:line="360" w:lineRule="auto"/>
              <w:jc w:val="both"/>
              <w:rPr>
                <w:rFonts w:hint="eastAsia" w:ascii="仿宋" w:hAnsi="仿宋" w:eastAsia="仿宋" w:cs="仿宋"/>
                <w:spacing w:val="-6"/>
                <w:highlight w:val="none"/>
              </w:rPr>
            </w:pPr>
            <w:r>
              <w:rPr>
                <w:rFonts w:hint="eastAsia" w:ascii="仿宋" w:hAnsi="仿宋" w:eastAsia="仿宋" w:cs="仿宋"/>
                <w:spacing w:val="-6"/>
                <w:highlight w:val="none"/>
              </w:rPr>
              <w:t>（1）店铺LOGO、店招、Banner设计与制作</w:t>
            </w:r>
          </w:p>
          <w:p>
            <w:pPr>
              <w:widowControl w:val="0"/>
              <w:autoSpaceDE w:val="0"/>
              <w:autoSpaceDN w:val="0"/>
              <w:adjustRightInd w:val="0"/>
              <w:spacing w:line="360" w:lineRule="auto"/>
              <w:jc w:val="both"/>
              <w:rPr>
                <w:rFonts w:hint="eastAsia" w:ascii="仿宋" w:hAnsi="仿宋" w:eastAsia="仿宋" w:cs="仿宋"/>
                <w:highlight w:val="none"/>
              </w:rPr>
            </w:pPr>
            <w:r>
              <w:rPr>
                <w:rFonts w:hint="eastAsia" w:ascii="仿宋" w:hAnsi="仿宋" w:eastAsia="仿宋" w:cs="仿宋"/>
                <w:highlight w:val="none"/>
              </w:rPr>
              <w:t>根据任务提供的图片和文本素材，制作贴合主题的图片作为店铺LOGO、店招和Banner，要求设计独特，具有一定的创新性。</w:t>
            </w:r>
          </w:p>
          <w:p>
            <w:pPr>
              <w:widowControl w:val="0"/>
              <w:autoSpaceDE w:val="0"/>
              <w:autoSpaceDN w:val="0"/>
              <w:adjustRightInd w:val="0"/>
              <w:spacing w:line="360" w:lineRule="auto"/>
              <w:jc w:val="both"/>
              <w:rPr>
                <w:rFonts w:hint="eastAsia" w:ascii="仿宋" w:hAnsi="仿宋" w:eastAsia="仿宋" w:cs="仿宋"/>
                <w:highlight w:val="none"/>
              </w:rPr>
            </w:pPr>
            <w:r>
              <w:rPr>
                <w:rFonts w:hint="eastAsia" w:ascii="仿宋" w:hAnsi="仿宋" w:eastAsia="仿宋" w:cs="仿宋"/>
                <w:highlight w:val="none"/>
              </w:rPr>
              <w:t>（2）商品主图设计与制作</w:t>
            </w:r>
          </w:p>
          <w:p>
            <w:pPr>
              <w:widowControl w:val="0"/>
              <w:autoSpaceDE w:val="0"/>
              <w:autoSpaceDN w:val="0"/>
              <w:adjustRightInd w:val="0"/>
              <w:spacing w:line="360" w:lineRule="auto"/>
              <w:jc w:val="both"/>
              <w:rPr>
                <w:rFonts w:hint="eastAsia" w:ascii="仿宋" w:hAnsi="仿宋" w:eastAsia="仿宋" w:cs="仿宋"/>
                <w:highlight w:val="none"/>
              </w:rPr>
            </w:pPr>
            <w:r>
              <w:rPr>
                <w:rFonts w:hint="eastAsia" w:ascii="仿宋" w:hAnsi="仿宋" w:eastAsia="仿宋" w:cs="仿宋"/>
                <w:highlight w:val="none"/>
              </w:rPr>
              <w:t>根据店铺营销需求及产品定位，结合平台给定的设计素材，遵照商品主图设计规范及平台规则，策划商品主图展示内容，完成商品主图制作。</w:t>
            </w:r>
          </w:p>
          <w:p>
            <w:pPr>
              <w:widowControl w:val="0"/>
              <w:autoSpaceDE w:val="0"/>
              <w:autoSpaceDN w:val="0"/>
              <w:adjustRightInd w:val="0"/>
              <w:spacing w:line="360" w:lineRule="auto"/>
              <w:jc w:val="both"/>
              <w:rPr>
                <w:rFonts w:hint="eastAsia" w:ascii="仿宋" w:hAnsi="仿宋" w:eastAsia="仿宋" w:cs="仿宋"/>
                <w:highlight w:val="none"/>
              </w:rPr>
            </w:pPr>
            <w:r>
              <w:rPr>
                <w:rFonts w:hint="eastAsia" w:ascii="仿宋" w:hAnsi="仿宋" w:eastAsia="仿宋" w:cs="仿宋"/>
                <w:highlight w:val="none"/>
              </w:rPr>
              <w:t>（3）产品详情页视觉营销设计与制作</w:t>
            </w:r>
          </w:p>
          <w:p>
            <w:pPr>
              <w:widowControl w:val="0"/>
              <w:autoSpaceDE w:val="0"/>
              <w:autoSpaceDN w:val="0"/>
              <w:adjustRightInd w:val="0"/>
              <w:spacing w:line="360" w:lineRule="auto"/>
              <w:jc w:val="both"/>
              <w:rPr>
                <w:rFonts w:hint="eastAsia" w:ascii="仿宋" w:hAnsi="仿宋" w:eastAsia="仿宋" w:cs="仿宋"/>
                <w:highlight w:val="none"/>
              </w:rPr>
            </w:pPr>
            <w:r>
              <w:rPr>
                <w:rFonts w:hint="eastAsia" w:ascii="仿宋" w:hAnsi="仿宋" w:eastAsia="仿宋" w:cs="仿宋"/>
                <w:highlight w:val="none"/>
              </w:rPr>
              <w:t>根据店铺营销需求及产品定位，结合给定的设计素材，遵照详情页图片设计规范及跨境电商平台规则，提炼产品卖点、特色、设置产品基本信息，完成</w:t>
            </w:r>
            <w:r>
              <w:rPr>
                <w:rFonts w:hint="eastAsia" w:ascii="仿宋" w:hAnsi="仿宋" w:eastAsia="仿宋" w:cs="仿宋"/>
                <w:spacing w:val="-4"/>
                <w:highlight w:val="none"/>
              </w:rPr>
              <w:t>产品详情页视觉营销设计。</w:t>
            </w:r>
          </w:p>
          <w:p>
            <w:pPr>
              <w:widowControl w:val="0"/>
              <w:autoSpaceDE w:val="0"/>
              <w:autoSpaceDN w:val="0"/>
              <w:adjustRightInd w:val="0"/>
              <w:spacing w:line="360" w:lineRule="auto"/>
              <w:jc w:val="both"/>
              <w:rPr>
                <w:rFonts w:hint="eastAsia" w:ascii="仿宋" w:hAnsi="仿宋" w:eastAsia="仿宋" w:cs="仿宋"/>
                <w:bCs/>
                <w:snapToGrid w:val="0"/>
                <w:color w:val="000000"/>
                <w:kern w:val="0"/>
                <w:sz w:val="21"/>
                <w:szCs w:val="21"/>
                <w:highlight w:val="none"/>
              </w:rPr>
            </w:pPr>
          </w:p>
        </w:tc>
        <w:tc>
          <w:tcPr>
            <w:tcW w:w="1091" w:type="dxa"/>
            <w:vAlign w:val="center"/>
          </w:tcPr>
          <w:p>
            <w:pPr>
              <w:widowControl w:val="0"/>
              <w:spacing w:line="360" w:lineRule="auto"/>
              <w:jc w:val="center"/>
              <w:rPr>
                <w:rFonts w:hint="eastAsia" w:ascii="仿宋" w:hAnsi="仿宋" w:eastAsia="仿宋" w:cs="仿宋"/>
                <w:bCs/>
                <w:snapToGrid w:val="0"/>
                <w:color w:val="000000"/>
                <w:kern w:val="0"/>
                <w:sz w:val="21"/>
                <w:szCs w:val="21"/>
                <w:highlight w:val="none"/>
              </w:rPr>
            </w:pPr>
            <w:r>
              <w:rPr>
                <w:rFonts w:hint="eastAsia" w:ascii="仿宋" w:hAnsi="仿宋" w:eastAsia="仿宋" w:cs="仿宋"/>
                <w:bCs/>
                <w:highlight w:val="none"/>
                <w:lang w:val="en-US" w:eastAsia="zh-CN"/>
              </w:rPr>
              <w:t>90</w:t>
            </w:r>
            <w:r>
              <w:rPr>
                <w:rFonts w:hint="eastAsia" w:ascii="仿宋" w:hAnsi="仿宋" w:eastAsia="仿宋" w:cs="仿宋"/>
                <w:bCs/>
                <w:highlight w:val="none"/>
              </w:rPr>
              <w:t>分钟</w:t>
            </w:r>
          </w:p>
        </w:tc>
        <w:tc>
          <w:tcPr>
            <w:tcW w:w="941" w:type="dxa"/>
            <w:vAlign w:val="center"/>
          </w:tcPr>
          <w:p>
            <w:pPr>
              <w:widowControl w:val="0"/>
              <w:spacing w:line="360" w:lineRule="auto"/>
              <w:jc w:val="center"/>
              <w:rPr>
                <w:rFonts w:hint="eastAsia" w:ascii="仿宋" w:hAnsi="仿宋" w:eastAsia="仿宋" w:cs="仿宋"/>
                <w:bCs/>
                <w:snapToGrid w:val="0"/>
                <w:color w:val="000000"/>
                <w:kern w:val="0"/>
                <w:sz w:val="21"/>
                <w:szCs w:val="21"/>
                <w:highlight w:val="none"/>
              </w:rPr>
            </w:pPr>
            <w:r>
              <w:rPr>
                <w:rFonts w:hint="eastAsia" w:ascii="仿宋" w:hAnsi="仿宋" w:eastAsia="仿宋" w:cs="仿宋"/>
                <w:bCs/>
                <w:highlight w:val="none"/>
                <w:lang w:val="en-US" w:eastAsia="zh-CN"/>
              </w:rPr>
              <w:t>40</w:t>
            </w:r>
            <w:r>
              <w:rPr>
                <w:rFonts w:hint="eastAsia" w:ascii="仿宋" w:hAnsi="仿宋" w:eastAsia="仿宋" w:cs="仿宋"/>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val="0"/>
              <w:spacing w:line="360" w:lineRule="auto"/>
              <w:jc w:val="center"/>
              <w:rPr>
                <w:rFonts w:hint="eastAsia" w:ascii="仿宋" w:hAnsi="仿宋" w:eastAsia="仿宋" w:cs="仿宋"/>
                <w:bCs/>
                <w:highlight w:val="none"/>
              </w:rPr>
            </w:pPr>
            <w:r>
              <w:rPr>
                <w:rFonts w:hint="eastAsia" w:ascii="仿宋" w:hAnsi="仿宋" w:eastAsia="仿宋" w:cs="仿宋"/>
                <w:bCs/>
                <w:highlight w:val="none"/>
              </w:rPr>
              <w:t>模块三</w:t>
            </w:r>
          </w:p>
        </w:tc>
        <w:tc>
          <w:tcPr>
            <w:tcW w:w="872" w:type="dxa"/>
            <w:vAlign w:val="center"/>
          </w:tcPr>
          <w:p>
            <w:pPr>
              <w:widowControl w:val="0"/>
              <w:spacing w:line="360" w:lineRule="auto"/>
              <w:jc w:val="center"/>
              <w:rPr>
                <w:rFonts w:hint="eastAsia" w:ascii="仿宋" w:hAnsi="仿宋" w:eastAsia="仿宋" w:cs="仿宋"/>
                <w:bCs/>
                <w:highlight w:val="none"/>
                <w:lang w:val="en-US" w:eastAsia="zh-CN"/>
              </w:rPr>
            </w:pPr>
            <w:r>
              <w:rPr>
                <w:rFonts w:hint="eastAsia" w:ascii="仿宋" w:hAnsi="仿宋" w:eastAsia="仿宋" w:cs="仿宋"/>
                <w:bCs/>
                <w:highlight w:val="none"/>
              </w:rPr>
              <w:t>跨境电子商务</w:t>
            </w:r>
            <w:r>
              <w:rPr>
                <w:rFonts w:hint="eastAsia" w:ascii="仿宋" w:hAnsi="仿宋" w:eastAsia="仿宋" w:cs="仿宋"/>
                <w:bCs/>
                <w:highlight w:val="none"/>
                <w:lang w:val="en-US" w:eastAsia="zh-CN"/>
              </w:rPr>
              <w:t>数据分析与应用</w:t>
            </w:r>
          </w:p>
        </w:tc>
        <w:tc>
          <w:tcPr>
            <w:tcW w:w="5738" w:type="dxa"/>
            <w:vAlign w:val="center"/>
          </w:tcPr>
          <w:p>
            <w:pPr>
              <w:widowControl w:val="0"/>
              <w:spacing w:line="360" w:lineRule="auto"/>
              <w:jc w:val="both"/>
              <w:rPr>
                <w:rFonts w:hint="eastAsia" w:ascii="仿宋" w:hAnsi="仿宋" w:eastAsia="仿宋" w:cs="仿宋"/>
                <w:bCs/>
                <w:highlight w:val="none"/>
              </w:rPr>
            </w:pPr>
            <w:r>
              <w:rPr>
                <w:rFonts w:hint="eastAsia" w:ascii="仿宋" w:hAnsi="仿宋" w:eastAsia="仿宋" w:cs="仿宋"/>
                <w:highlight w:val="none"/>
              </w:rPr>
              <w:t>使用数据分析工具，根据跨境电子商务店铺运营数据，对不同运营周期内的数据进行分析诊断，撰写并制作可视化店铺运营总结报告，以此不断提高店铺竞争力及持续盈利能力。</w:t>
            </w:r>
          </w:p>
        </w:tc>
        <w:tc>
          <w:tcPr>
            <w:tcW w:w="1091" w:type="dxa"/>
            <w:vAlign w:val="center"/>
          </w:tcPr>
          <w:p>
            <w:pPr>
              <w:widowControl w:val="0"/>
              <w:spacing w:line="360" w:lineRule="auto"/>
              <w:jc w:val="center"/>
              <w:rPr>
                <w:rFonts w:hint="eastAsia" w:ascii="仿宋" w:hAnsi="仿宋" w:eastAsia="仿宋" w:cs="仿宋"/>
                <w:bCs/>
                <w:highlight w:val="none"/>
              </w:rPr>
            </w:pPr>
            <w:r>
              <w:rPr>
                <w:rFonts w:hint="eastAsia" w:ascii="仿宋" w:hAnsi="仿宋" w:eastAsia="仿宋" w:cs="仿宋"/>
                <w:bCs/>
                <w:highlight w:val="none"/>
                <w:lang w:val="en-US" w:eastAsia="zh-CN"/>
              </w:rPr>
              <w:t>40</w:t>
            </w:r>
            <w:r>
              <w:rPr>
                <w:rFonts w:hint="eastAsia" w:ascii="仿宋" w:hAnsi="仿宋" w:eastAsia="仿宋" w:cs="仿宋"/>
                <w:bCs/>
                <w:highlight w:val="none"/>
              </w:rPr>
              <w:t>分钟</w:t>
            </w:r>
          </w:p>
        </w:tc>
        <w:tc>
          <w:tcPr>
            <w:tcW w:w="941" w:type="dxa"/>
            <w:vAlign w:val="center"/>
          </w:tcPr>
          <w:p>
            <w:pPr>
              <w:widowControl w:val="0"/>
              <w:spacing w:line="360" w:lineRule="auto"/>
              <w:jc w:val="center"/>
              <w:rPr>
                <w:rFonts w:hint="eastAsia" w:ascii="仿宋" w:hAnsi="仿宋" w:eastAsia="仿宋" w:cs="仿宋"/>
                <w:bCs/>
                <w:highlight w:val="none"/>
              </w:rPr>
            </w:pPr>
            <w:r>
              <w:rPr>
                <w:rFonts w:hint="eastAsia" w:ascii="仿宋" w:hAnsi="仿宋" w:eastAsia="仿宋" w:cs="仿宋"/>
                <w:bCs/>
                <w:highlight w:val="none"/>
                <w:lang w:val="en-US" w:eastAsia="zh-CN"/>
              </w:rPr>
              <w:t>25</w:t>
            </w:r>
            <w:r>
              <w:rPr>
                <w:rFonts w:hint="eastAsia" w:ascii="仿宋" w:hAnsi="仿宋" w:eastAsia="仿宋" w:cs="仿宋"/>
                <w:bCs/>
                <w:highlight w:val="none"/>
              </w:rPr>
              <w:t>%</w:t>
            </w:r>
          </w:p>
        </w:tc>
      </w:tr>
    </w:tbl>
    <w:p>
      <w:pPr>
        <w:pStyle w:val="5"/>
        <w:numPr>
          <w:ilvl w:val="0"/>
          <w:numId w:val="0"/>
        </w:numPr>
        <w:spacing w:line="360" w:lineRule="auto"/>
        <w:rPr>
          <w:rFonts w:hint="eastAsia" w:ascii="仿宋" w:hAnsi="仿宋" w:eastAsia="仿宋" w:cs="仿宋"/>
          <w:sz w:val="30"/>
          <w:szCs w:val="30"/>
          <w:lang w:val="en-US" w:eastAsia="zh-CN"/>
        </w:rPr>
      </w:pPr>
    </w:p>
    <w:p>
      <w:pPr>
        <w:pStyle w:val="4"/>
        <w:pageBreakBefore w:val="0"/>
        <w:widowControl/>
        <w:kinsoku/>
        <w:wordWrap w:val="0"/>
        <w:overflowPunct/>
        <w:topLinePunct w:val="0"/>
        <w:autoSpaceDE w:val="0"/>
        <w:autoSpaceDN w:val="0"/>
        <w:bidi w:val="0"/>
        <w:adjustRightInd w:val="0"/>
        <w:snapToGrid w:val="0"/>
        <w:spacing w:before="0" w:after="0" w:line="560" w:lineRule="exact"/>
        <w:ind w:left="0" w:right="0" w:firstLine="600" w:firstLineChars="200"/>
        <w:jc w:val="both"/>
        <w:textAlignment w:val="baseline"/>
        <w:rPr>
          <w:rFonts w:hint="eastAsia" w:ascii="黑体" w:hAnsi="黑体" w:eastAsia="黑体"/>
          <w:b w:val="0"/>
          <w:sz w:val="30"/>
          <w:szCs w:val="30"/>
        </w:rPr>
      </w:pPr>
      <w:r>
        <w:rPr>
          <w:rFonts w:hint="eastAsia" w:ascii="黑体" w:hAnsi="黑体" w:eastAsia="黑体"/>
          <w:b w:val="0"/>
          <w:sz w:val="30"/>
          <w:szCs w:val="30"/>
          <w:lang w:val="en-US" w:eastAsia="zh-CN"/>
        </w:rPr>
        <w:t>七</w:t>
      </w:r>
      <w:r>
        <w:rPr>
          <w:rFonts w:hint="eastAsia" w:ascii="黑体" w:hAnsi="黑体" w:eastAsia="黑体"/>
          <w:b w:val="0"/>
          <w:sz w:val="30"/>
          <w:szCs w:val="30"/>
        </w:rPr>
        <w:t>、奖项设定</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按照《河南省教育厅办公室关于举办2024年河南省高等职业教育技能大赛的通知》（教办职成〔2024〕331号）文件规定执行。</w:t>
      </w:r>
    </w:p>
    <w:p>
      <w:pPr>
        <w:pStyle w:val="4"/>
        <w:pageBreakBefore w:val="0"/>
        <w:widowControl/>
        <w:kinsoku/>
        <w:wordWrap w:val="0"/>
        <w:overflowPunct/>
        <w:topLinePunct w:val="0"/>
        <w:autoSpaceDE w:val="0"/>
        <w:autoSpaceDN w:val="0"/>
        <w:bidi w:val="0"/>
        <w:adjustRightInd w:val="0"/>
        <w:snapToGrid w:val="0"/>
        <w:spacing w:before="0" w:after="0" w:line="560" w:lineRule="exact"/>
        <w:ind w:left="0" w:right="0" w:firstLine="600" w:firstLineChars="200"/>
        <w:jc w:val="both"/>
        <w:textAlignment w:val="baseline"/>
        <w:rPr>
          <w:rFonts w:hint="eastAsia" w:ascii="黑体" w:hAnsi="黑体" w:eastAsia="黑体"/>
          <w:b w:val="0"/>
          <w:sz w:val="30"/>
          <w:szCs w:val="30"/>
        </w:rPr>
      </w:pPr>
      <w:r>
        <w:rPr>
          <w:rFonts w:hint="eastAsia" w:ascii="黑体" w:hAnsi="黑体" w:eastAsia="黑体"/>
          <w:b w:val="0"/>
          <w:sz w:val="30"/>
          <w:szCs w:val="30"/>
          <w:lang w:val="en-US" w:eastAsia="zh-CN"/>
        </w:rPr>
        <w:t>八</w:t>
      </w:r>
      <w:r>
        <w:rPr>
          <w:rFonts w:hint="eastAsia" w:ascii="黑体" w:hAnsi="黑体" w:eastAsia="黑体"/>
          <w:b w:val="0"/>
          <w:sz w:val="30"/>
          <w:szCs w:val="30"/>
        </w:rPr>
        <w:t>、竞赛规则</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rPr>
      </w:pPr>
      <w:r>
        <w:rPr>
          <w:rFonts w:hint="eastAsia" w:ascii="方正楷体_GBK" w:hAnsi="方正楷体_GBK" w:eastAsia="方正楷体_GBK" w:cs="方正楷体_GBK"/>
          <w:bCs/>
          <w:sz w:val="30"/>
          <w:szCs w:val="30"/>
        </w:rPr>
        <w:t>（一）选手报名</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参赛选手和指导教师报名获得确认后不得随意更换。如比赛前参赛选手和指导教师因故无法参赛，须由参赛院校于开赛10个工作日之前出具书面说明，经大赛执委会办公室核实后予以更换；团体赛有选手因特殊原因不能参加比赛时，由大赛执委会办公室根据赛项的特点决定是否可进行缺员比赛，并上报大赛执委会备案。如发现未经报备，实际参赛选手与报名信息不符的情况，均不得入场。</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rPr>
      </w:pPr>
      <w:r>
        <w:rPr>
          <w:rFonts w:hint="eastAsia" w:ascii="方正楷体_GBK" w:hAnsi="方正楷体_GBK" w:eastAsia="方正楷体_GBK" w:cs="方正楷体_GBK"/>
          <w:bCs/>
          <w:sz w:val="30"/>
          <w:szCs w:val="30"/>
        </w:rPr>
        <w:t>（二）熟悉场地</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赛项执委会比赛日前一天统一安排参赛队熟悉场地和竞赛环境。</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rPr>
      </w:pPr>
      <w:r>
        <w:rPr>
          <w:rFonts w:hint="eastAsia" w:ascii="方正楷体_GBK" w:hAnsi="方正楷体_GBK" w:eastAsia="方正楷体_GBK" w:cs="方正楷体_GBK"/>
          <w:bCs/>
          <w:sz w:val="30"/>
          <w:szCs w:val="30"/>
        </w:rPr>
        <w:t>（三）入场规则</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比赛工位通过抽签决定，参赛选手入场前须携带参赛凭证和有效身份证。选手入场时，逐个核查竞赛选手参赛证。实际参赛选手与报名信息不符的情况，团队成员不得入场。比赛期间参赛选手原则上不得离开比赛场地。</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rPr>
      </w:pPr>
      <w:r>
        <w:rPr>
          <w:rFonts w:hint="eastAsia" w:ascii="方正楷体_GBK" w:hAnsi="方正楷体_GBK" w:eastAsia="方正楷体_GBK" w:cs="方正楷体_GBK"/>
          <w:bCs/>
          <w:sz w:val="30"/>
          <w:szCs w:val="30"/>
        </w:rPr>
        <w:t>（四）赛场规则</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1.检录。由检录工作人员依照检录表进行点名核对。</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2.加密。竞赛当日进行二次加密，分别由二个加密裁判组织实施加密工作，管理加密结果。监督员全程监督加密过程。</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3.引导。现场裁判负责引导参赛选手至赛位前等待竞赛指令。比赛正式开始后方可进行比赛任务相关操作。如出现较严重的违规、违纪、舞弊等现象，经裁判组裁定取消比赛成绩。</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4.由裁判长宣布比赛开始，各参赛队开始竞赛。</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5.在比赛过程中，参赛选手如有疑问，应举手示意，现场裁判应按要求及时予以答疑。竞赛过程中，如遇设备故障，参赛选手应举手示意。裁判、技术人员等应及时予以解决。确因计算机软件或硬件故障致使操作无法继续，经赛场裁判长确认，予以启用备用设备。如遇身体不适，参赛选手应举手示意，现场医务人员按应急预案救治。</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rPr>
        <w:t>6.竞赛所需的硬件、软件和辅助工具会统一提供，参赛队不得使用自带的任何具有存储和通信功能的设备，如硬盘、光盘、U盘、手机</w:t>
      </w: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lang w:val="en-US" w:eastAsia="zh-CN"/>
        </w:rPr>
        <w:t>比赛必备的直播手机除外</w:t>
      </w: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rPr>
        <w:t>、随身听、智能手表、PDA等。</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7.参赛选手进入赛位，赛事裁判及工作人员进入竞赛场所，严禁携带通讯、照相摄录设备，禁止携带记录用具。如确有需要，由赛场统一配置、统一管理。赛项可根据需要配置安检设备对进入赛场重要部位的人员进行安检。</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8.比赛时间结束，选手应全体起立，结束操作。经裁判组查收清点所有文档后方可离开赛场，离开赛场时不得带走任何资料。</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highlight w:val="none"/>
        </w:rPr>
      </w:pPr>
      <w:r>
        <w:rPr>
          <w:rFonts w:hint="eastAsia" w:ascii="方正楷体_GBK" w:hAnsi="方正楷体_GBK" w:eastAsia="方正楷体_GBK" w:cs="方正楷体_GBK"/>
          <w:bCs/>
          <w:sz w:val="30"/>
          <w:szCs w:val="30"/>
          <w:highlight w:val="none"/>
        </w:rPr>
        <w:t>（五）离场规则</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参赛选手比赛中途不得擅自离开赛场；竞赛内容完成后经裁判长同意方可离开赛场。</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highlight w:val="none"/>
        </w:rPr>
      </w:pPr>
      <w:r>
        <w:rPr>
          <w:rFonts w:hint="eastAsia" w:ascii="方正楷体_GBK" w:hAnsi="方正楷体_GBK" w:eastAsia="方正楷体_GBK" w:cs="方正楷体_GBK"/>
          <w:bCs/>
          <w:sz w:val="30"/>
          <w:szCs w:val="30"/>
          <w:highlight w:val="none"/>
        </w:rPr>
        <w:t>（六）成绩评定与结果公布</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1.本赛项成绩评定过程中的所有评分材料须由相应评分裁判签字确认。</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2.记分员将解密后的各参赛队伍（选手）成绩汇总比赛成绩，最终竞赛成绩经复核无误，由裁判长、监督仲裁长签字确认后，进行公示。成绩公示2小时且无异议后为最终比赛结果。</w:t>
      </w:r>
    </w:p>
    <w:p>
      <w:pPr>
        <w:pStyle w:val="4"/>
        <w:pageBreakBefore w:val="0"/>
        <w:widowControl/>
        <w:kinsoku/>
        <w:wordWrap w:val="0"/>
        <w:overflowPunct/>
        <w:topLinePunct w:val="0"/>
        <w:autoSpaceDE w:val="0"/>
        <w:autoSpaceDN w:val="0"/>
        <w:bidi w:val="0"/>
        <w:adjustRightInd w:val="0"/>
        <w:snapToGrid w:val="0"/>
        <w:spacing w:before="0" w:after="0" w:line="560" w:lineRule="exact"/>
        <w:ind w:left="0" w:right="0" w:firstLine="600" w:firstLineChars="200"/>
        <w:jc w:val="both"/>
        <w:textAlignment w:val="baseline"/>
        <w:rPr>
          <w:rFonts w:hint="eastAsia" w:ascii="黑体" w:hAnsi="黑体" w:eastAsia="黑体"/>
          <w:b w:val="0"/>
          <w:sz w:val="30"/>
          <w:szCs w:val="30"/>
          <w:highlight w:val="none"/>
        </w:rPr>
      </w:pPr>
      <w:r>
        <w:rPr>
          <w:rFonts w:hint="eastAsia" w:ascii="黑体" w:hAnsi="黑体" w:eastAsia="黑体"/>
          <w:b w:val="0"/>
          <w:sz w:val="30"/>
          <w:szCs w:val="30"/>
          <w:highlight w:val="none"/>
          <w:lang w:val="en-US" w:eastAsia="zh-CN"/>
        </w:rPr>
        <w:t>九、</w:t>
      </w:r>
      <w:r>
        <w:rPr>
          <w:rFonts w:hint="eastAsia" w:ascii="黑体" w:hAnsi="黑体" w:eastAsia="黑体"/>
          <w:b w:val="0"/>
          <w:sz w:val="30"/>
          <w:szCs w:val="30"/>
          <w:highlight w:val="none"/>
        </w:rPr>
        <w:t>竞赛方式</w:t>
      </w:r>
    </w:p>
    <w:p>
      <w:pPr>
        <w:pageBreakBefore w:val="0"/>
        <w:widowControl w:val="0"/>
        <w:overflowPunct/>
        <w:topLinePunct w:val="0"/>
        <w:bidi w:val="0"/>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bCs/>
          <w:sz w:val="30"/>
          <w:szCs w:val="30"/>
          <w:highlight w:val="none"/>
        </w:rPr>
        <w:t>本赛项为线下比赛形式。所有参赛队在现场根据给定的项目模块，</w:t>
      </w:r>
      <w:r>
        <w:rPr>
          <w:rFonts w:hint="eastAsia" w:ascii="仿宋" w:hAnsi="仿宋" w:eastAsia="仿宋" w:cs="仿宋"/>
          <w:bCs/>
          <w:color w:val="auto"/>
          <w:sz w:val="30"/>
          <w:szCs w:val="30"/>
          <w:highlight w:val="none"/>
        </w:rPr>
        <w:t>在总计</w:t>
      </w:r>
      <w:r>
        <w:rPr>
          <w:rFonts w:hint="eastAsia" w:ascii="仿宋" w:hAnsi="仿宋" w:eastAsia="仿宋" w:cs="仿宋"/>
          <w:color w:val="auto"/>
          <w:sz w:val="30"/>
          <w:szCs w:val="30"/>
          <w:highlight w:val="none"/>
          <w:lang w:val="en-US" w:eastAsia="zh-CN"/>
        </w:rPr>
        <w:t>180</w:t>
      </w:r>
      <w:r>
        <w:rPr>
          <w:rFonts w:hint="eastAsia" w:ascii="仿宋" w:hAnsi="仿宋" w:eastAsia="仿宋" w:cs="仿宋"/>
          <w:color w:val="auto"/>
          <w:sz w:val="30"/>
          <w:szCs w:val="30"/>
          <w:highlight w:val="none"/>
        </w:rPr>
        <w:t>分钟（</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小时）</w:t>
      </w:r>
      <w:r>
        <w:rPr>
          <w:rFonts w:hint="eastAsia" w:ascii="仿宋" w:hAnsi="仿宋" w:eastAsia="仿宋" w:cs="仿宋"/>
          <w:bCs/>
          <w:color w:val="auto"/>
          <w:sz w:val="30"/>
          <w:szCs w:val="30"/>
          <w:highlight w:val="none"/>
        </w:rPr>
        <w:t>内相互配合，</w:t>
      </w:r>
      <w:r>
        <w:rPr>
          <w:rFonts w:hint="eastAsia" w:ascii="仿宋" w:hAnsi="仿宋" w:eastAsia="仿宋" w:cs="仿宋"/>
          <w:bCs/>
          <w:sz w:val="30"/>
          <w:szCs w:val="30"/>
          <w:highlight w:val="none"/>
        </w:rPr>
        <w:t>采用小组合作的形式完成竞赛模块。</w:t>
      </w:r>
    </w:p>
    <w:p>
      <w:pPr>
        <w:pStyle w:val="4"/>
        <w:pageBreakBefore w:val="0"/>
        <w:widowControl/>
        <w:kinsoku/>
        <w:wordWrap w:val="0"/>
        <w:overflowPunct/>
        <w:topLinePunct w:val="0"/>
        <w:autoSpaceDE w:val="0"/>
        <w:autoSpaceDN w:val="0"/>
        <w:bidi w:val="0"/>
        <w:adjustRightInd w:val="0"/>
        <w:snapToGrid w:val="0"/>
        <w:spacing w:before="0" w:after="0" w:line="560" w:lineRule="exact"/>
        <w:ind w:left="0" w:right="0" w:firstLine="600" w:firstLineChars="200"/>
        <w:jc w:val="both"/>
        <w:textAlignment w:val="baseline"/>
        <w:rPr>
          <w:rFonts w:hint="eastAsia" w:ascii="黑体" w:hAnsi="黑体" w:eastAsia="黑体"/>
          <w:b w:val="0"/>
          <w:sz w:val="30"/>
          <w:szCs w:val="30"/>
          <w:highlight w:val="none"/>
          <w:lang w:val="en-US" w:eastAsia="zh-CN"/>
        </w:rPr>
      </w:pPr>
      <w:r>
        <w:rPr>
          <w:rFonts w:hint="eastAsia" w:ascii="黑体" w:hAnsi="黑体" w:eastAsia="黑体"/>
          <w:b w:val="0"/>
          <w:sz w:val="30"/>
          <w:szCs w:val="30"/>
          <w:highlight w:val="none"/>
          <w:lang w:val="en-US" w:eastAsia="zh-CN"/>
        </w:rPr>
        <w:t>十、成绩评定及公布</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成绩评定必须在公开、公平、公正、独立、透明的条件下进行，赛项最终得分按百分制计算。</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highlight w:val="none"/>
        </w:rPr>
      </w:pPr>
      <w:r>
        <w:rPr>
          <w:rFonts w:hint="eastAsia" w:ascii="方正楷体_GBK" w:hAnsi="方正楷体_GBK" w:eastAsia="方正楷体_GBK" w:cs="方正楷体_GBK"/>
          <w:bCs/>
          <w:sz w:val="30"/>
          <w:szCs w:val="30"/>
          <w:highlight w:val="none"/>
        </w:rPr>
        <w:t>（一）评分标准</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lang w:val="en-US" w:eastAsia="zh-CN"/>
        </w:rPr>
        <w:t>赛项最终成绩采用百分制，</w:t>
      </w:r>
      <w:r>
        <w:rPr>
          <w:rFonts w:hint="eastAsia" w:ascii="仿宋" w:hAnsi="仿宋" w:eastAsia="仿宋" w:cs="仿宋"/>
          <w:bCs/>
          <w:sz w:val="30"/>
          <w:szCs w:val="30"/>
          <w:highlight w:val="none"/>
        </w:rPr>
        <w:t>若参赛队各模块成绩相加后相同，则比较跨境电子商务</w:t>
      </w:r>
      <w:r>
        <w:rPr>
          <w:rFonts w:hint="eastAsia" w:ascii="仿宋" w:hAnsi="仿宋" w:eastAsia="仿宋" w:cs="仿宋"/>
          <w:bCs/>
          <w:sz w:val="30"/>
          <w:szCs w:val="30"/>
          <w:highlight w:val="none"/>
          <w:lang w:val="en-US" w:eastAsia="zh-CN"/>
        </w:rPr>
        <w:t>视觉营销</w:t>
      </w:r>
      <w:r>
        <w:rPr>
          <w:rFonts w:hint="eastAsia" w:ascii="仿宋" w:hAnsi="仿宋" w:eastAsia="仿宋" w:cs="仿宋"/>
          <w:bCs/>
          <w:sz w:val="30"/>
          <w:szCs w:val="30"/>
          <w:highlight w:val="none"/>
        </w:rPr>
        <w:t>模块分数，分数高者胜出。若分数仍然相同，则比较跨境电子商务</w:t>
      </w:r>
      <w:r>
        <w:rPr>
          <w:rFonts w:hint="eastAsia" w:ascii="仿宋" w:hAnsi="仿宋" w:eastAsia="仿宋" w:cs="仿宋"/>
          <w:bCs/>
          <w:sz w:val="30"/>
          <w:szCs w:val="30"/>
          <w:highlight w:val="none"/>
          <w:lang w:val="en-US" w:eastAsia="zh-CN"/>
        </w:rPr>
        <w:t>直播</w:t>
      </w:r>
      <w:r>
        <w:rPr>
          <w:rFonts w:hint="eastAsia" w:ascii="仿宋" w:hAnsi="仿宋" w:eastAsia="仿宋" w:cs="仿宋"/>
          <w:bCs/>
          <w:sz w:val="30"/>
          <w:szCs w:val="30"/>
          <w:highlight w:val="none"/>
        </w:rPr>
        <w:t>模块分数，分数高者胜出。</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highlight w:val="none"/>
        </w:rPr>
      </w:pPr>
      <w:r>
        <w:rPr>
          <w:rFonts w:hint="eastAsia" w:ascii="方正楷体_GBK" w:hAnsi="方正楷体_GBK" w:eastAsia="方正楷体_GBK" w:cs="方正楷体_GBK"/>
          <w:bCs/>
          <w:sz w:val="30"/>
          <w:szCs w:val="30"/>
          <w:highlight w:val="none"/>
        </w:rPr>
        <w:t>（二）评分方式</w:t>
      </w:r>
    </w:p>
    <w:p>
      <w:pPr>
        <w:pageBreakBefore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1.裁判员选聘：裁判由大赛执委会聘任。</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lang w:val="en-US" w:eastAsia="zh-CN"/>
        </w:rPr>
        <w:t>2</w:t>
      </w:r>
      <w:r>
        <w:rPr>
          <w:rFonts w:hint="eastAsia" w:ascii="仿宋" w:hAnsi="仿宋" w:eastAsia="仿宋" w:cs="仿宋"/>
          <w:bCs/>
          <w:sz w:val="30"/>
          <w:szCs w:val="30"/>
          <w:highlight w:val="none"/>
        </w:rPr>
        <w:t>.比赛过程采取二次加密，通过抽取参赛编号、工位号，屏蔽参赛队信息，每个环节结束后，数据立即封存，确保成绩评定公平、公正。裁判长在监督人员监督下进行竞赛成果号加密到工位号解密，然后再依次进行工位号加密到参赛编号解密，以及参赛编号加密到参赛队名称解密。</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4.成绩抽检复核。对赛项总成绩排名前30%的所有参赛队伍（选手）的成绩进行复核；对其余成绩进行抽检复核，抽检覆盖率不得低于15%。如在复核中发现错误，需及时告知裁判长，由裁判长更正成绩并签字确认。</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5.在竞赛过程中，参赛选手如有不服从裁判裁决、扰乱赛场秩序、作弊等行为的，由裁判长按照规定扣减相应分数，情节严重的将取消比赛资格，比赛成绩计0分。</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6.赛项成绩解密后，经裁判长、监督仲裁长签字，在赛项执委会指定的地点，以纸质形式向全体参赛队进行公示。成绩公示2小时，公示无异议后由赛项执委会发布，且每个比赛环节裁判判分的原始材料和最终成绩等结果性材料都须经监督仲裁组人员和裁判长签字后装袋密封留档。</w:t>
      </w:r>
    </w:p>
    <w:p>
      <w:pPr>
        <w:pStyle w:val="4"/>
        <w:pageBreakBefore w:val="0"/>
        <w:widowControl/>
        <w:kinsoku/>
        <w:wordWrap w:val="0"/>
        <w:overflowPunct/>
        <w:topLinePunct w:val="0"/>
        <w:autoSpaceDE w:val="0"/>
        <w:autoSpaceDN w:val="0"/>
        <w:bidi w:val="0"/>
        <w:adjustRightInd w:val="0"/>
        <w:snapToGrid w:val="0"/>
        <w:spacing w:before="0" w:after="0" w:line="560" w:lineRule="exact"/>
        <w:ind w:left="0" w:right="0" w:firstLine="600" w:firstLineChars="200"/>
        <w:jc w:val="both"/>
        <w:textAlignment w:val="baseline"/>
        <w:rPr>
          <w:rFonts w:hint="eastAsia" w:ascii="黑体" w:hAnsi="黑体" w:eastAsia="黑体"/>
          <w:b w:val="0"/>
          <w:sz w:val="30"/>
          <w:szCs w:val="30"/>
          <w:highlight w:val="none"/>
          <w:lang w:val="en-US" w:eastAsia="zh-CN"/>
        </w:rPr>
      </w:pPr>
      <w:r>
        <w:rPr>
          <w:rFonts w:hint="eastAsia" w:ascii="黑体" w:hAnsi="黑体" w:eastAsia="黑体"/>
          <w:b w:val="0"/>
          <w:sz w:val="30"/>
          <w:szCs w:val="30"/>
          <w:highlight w:val="none"/>
          <w:lang w:val="en-US" w:eastAsia="zh-CN"/>
        </w:rPr>
        <w:t>十一、申诉与仲裁</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本赛项在比赛过程中若出现有失公正或有关人员违规等现象，代表队领队可在比赛结束后（选手赛场比赛内容全部完成）2小时之内向仲裁组提出书面申诉。超过时效不予受理。赛项设监督仲裁工作组。赛项监督仲裁工作组在接到申诉报告后的2小时内组织复议，并及时将复议结果以书面形式告知申诉方。</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hint="eastAsia" w:ascii="仿宋" w:hAnsi="仿宋" w:eastAsia="仿宋" w:cs="仿宋"/>
          <w:b w:val="0"/>
          <w:bCs w:val="0"/>
          <w:sz w:val="30"/>
          <w:szCs w:val="30"/>
          <w:highlight w:val="none"/>
        </w:rPr>
      </w:pPr>
      <w:r>
        <w:rPr>
          <w:rFonts w:hint="eastAsia" w:ascii="黑体" w:hAnsi="黑体" w:eastAsia="黑体" w:cs="Arial"/>
          <w:b w:val="0"/>
          <w:bCs/>
          <w:snapToGrid w:val="0"/>
          <w:color w:val="000000"/>
          <w:kern w:val="0"/>
          <w:sz w:val="30"/>
          <w:szCs w:val="30"/>
          <w:highlight w:val="none"/>
        </w:rPr>
        <w:t>十</w:t>
      </w:r>
      <w:r>
        <w:rPr>
          <w:rFonts w:hint="eastAsia" w:ascii="黑体" w:hAnsi="黑体" w:eastAsia="黑体" w:cs="Arial"/>
          <w:b w:val="0"/>
          <w:bCs/>
          <w:snapToGrid w:val="0"/>
          <w:color w:val="000000"/>
          <w:kern w:val="0"/>
          <w:sz w:val="30"/>
          <w:szCs w:val="30"/>
          <w:highlight w:val="none"/>
          <w:lang w:val="en-US" w:eastAsia="zh-CN"/>
        </w:rPr>
        <w:t>二</w:t>
      </w:r>
      <w:r>
        <w:rPr>
          <w:rFonts w:hint="eastAsia" w:ascii="黑体" w:hAnsi="黑体" w:eastAsia="黑体" w:cs="Arial"/>
          <w:b w:val="0"/>
          <w:bCs/>
          <w:snapToGrid w:val="0"/>
          <w:color w:val="000000"/>
          <w:kern w:val="0"/>
          <w:sz w:val="30"/>
          <w:szCs w:val="30"/>
          <w:highlight w:val="none"/>
        </w:rPr>
        <w:t>、竞赛须知</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highlight w:val="none"/>
        </w:rPr>
      </w:pPr>
      <w:r>
        <w:rPr>
          <w:rFonts w:hint="eastAsia" w:ascii="方正楷体_GBK" w:hAnsi="方正楷体_GBK" w:eastAsia="方正楷体_GBK" w:cs="方正楷体_GBK"/>
          <w:bCs/>
          <w:sz w:val="30"/>
          <w:szCs w:val="30"/>
          <w:highlight w:val="none"/>
        </w:rPr>
        <w:t>（一）参赛队须知</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1.参赛队应该参加赛项承办单位组织的开赛式等各项赛事活动。</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2.在赛事期间，参赛队成员不得私自接触裁判，凡发现有弄虚作假者，取消其参赛资格，成绩无效。</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3.参赛队认为存在不符合竞赛规定的设备、工具、软件，有失公正的评判、奖励，以及工作人员的违规行为等情况时，须在该赛项竞赛结束后2小时内，向赛项仲裁组提交书面申诉材料。各参赛队应服从和执行申诉的最终仲裁结果。</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4.各学校组织代表队时，须安排为参赛选手购买大赛期间的人身意外伤害保险。</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highlight w:val="none"/>
        </w:rPr>
      </w:pPr>
      <w:r>
        <w:rPr>
          <w:rFonts w:hint="eastAsia" w:ascii="方正楷体_GBK" w:hAnsi="方正楷体_GBK" w:eastAsia="方正楷体_GBK" w:cs="方正楷体_GBK"/>
          <w:bCs/>
          <w:sz w:val="30"/>
          <w:szCs w:val="30"/>
          <w:highlight w:val="none"/>
        </w:rPr>
        <w:t>（二）指导教师须知</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1.各参赛队要发扬良好道德风尚，听从指挥，服从裁判，不弄虚作假。如发现弄虚作假者，取消参赛资格，名次无效。</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2.各参赛队领队要坚决执行竞赛的各项规定，加强对参赛人员的管理，做好赛前准备工作，督促选手带好证件等竞赛相关材料。</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3.竞赛过程中，除参加当场次竞赛的选手、执行裁判员、现场工作人员和经批准的人员外，领队、指导教师及其他人员一律不得进入竞赛现场。</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4.参赛队若对竞赛过程有异议，在规定的时间内由领队向赛项仲裁工作组提出书面报告。</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5.对申诉的仲裁结果，领队要带头服从和执行，并做好选手工作。参赛选手不得因申诉或对处理意见不服而停止竞赛，否则以弃权处理。</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6.指导老师应及时查看大赛专用网页有关赛项的通知和内容，认真研究和掌握本赛项竞赛的规程、技术规范和赛场要求，指导选手做好赛前的一切技术准备和竞赛准备。</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highlight w:val="none"/>
        </w:rPr>
      </w:pPr>
      <w:r>
        <w:rPr>
          <w:rFonts w:hint="eastAsia" w:ascii="方正楷体_GBK" w:hAnsi="方正楷体_GBK" w:eastAsia="方正楷体_GBK" w:cs="方正楷体_GBK"/>
          <w:bCs/>
          <w:sz w:val="30"/>
          <w:szCs w:val="30"/>
          <w:highlight w:val="none"/>
        </w:rPr>
        <w:t>（三）参赛选手须知</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1.参赛选手应严格遵守赛场规章、操作规程和工艺准则，保证人身及设备安全，接受裁判员的监督和警示，文明竞赛。</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2.参赛选手应按照规定时间抵达赛场，凭身份证、学生证，以及统一发放的参赛证，完成入场检录、抽签确定竞赛工位号，不得迟到早退。</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3.参赛选手进入赛场前，须将身份证、学生证、参赛证交由检录人员统一保管，不得带入场内。</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4.参赛选手凭竞赛工位号进入赛场，不允许携带任何电子设备</w:t>
      </w: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lang w:val="en-US" w:eastAsia="zh-CN"/>
        </w:rPr>
        <w:t>比赛必备的直播手机除外</w:t>
      </w: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rPr>
        <w:t>及其他资料、用品。</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5.参赛选手应在规定的时间段进入赛场，认真核对竞赛工位号，在指定位置就座。</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6.参赛选手入场后，迅速确认竞赛设备状况，填写相关确认文件，并由参赛队长确认签字（竞赛工位号）。</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7.参赛选手在收到开赛信号前不得启动操作。在竞赛过程中，确因计算机软件或硬件故障，致使操作无法继续的，经裁判长确认，予以启用备用计算机。</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8.参赛选手应在竞赛规定时间内完成任务书内容，及时按要求保存工作记录，以防止因操作系统异常及其他设备异常造成的数据丢失。对于因各种原因造成的数据丢失，由参赛选手自行负责。</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9.参赛队所提交的答卷按要求进行标识，不得出现地名、校名、姓名、参赛证编号等信息，否则取消竞赛成绩。</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10.竞赛过程中，因严重操作失误或安全事故不能进行比赛的（例如因操作原因发生短路导致赛场断电的、造成设备不能正常工作的），现场裁判员有权中止该队比赛。</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11.竞赛分为三个场次，选手在每场次竞赛中连续工作，饮水等由赛场统一提供。每场次竞赛期间，选手休息、饮</w:t>
      </w:r>
      <w:r>
        <w:rPr>
          <w:rFonts w:hint="eastAsia" w:ascii="仿宋" w:hAnsi="仿宋" w:eastAsia="仿宋" w:cs="仿宋"/>
          <w:bCs/>
          <w:sz w:val="30"/>
          <w:szCs w:val="30"/>
          <w:highlight w:val="none"/>
          <w:lang w:val="en-US" w:eastAsia="zh-CN"/>
        </w:rPr>
        <w:t>水</w:t>
      </w:r>
      <w:r>
        <w:rPr>
          <w:rFonts w:hint="eastAsia" w:ascii="仿宋" w:hAnsi="仿宋" w:eastAsia="仿宋" w:cs="仿宋"/>
          <w:bCs/>
          <w:sz w:val="30"/>
          <w:szCs w:val="30"/>
          <w:highlight w:val="none"/>
        </w:rPr>
        <w:t>或如厕时间均计算在比赛时间内。</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12.在比赛中如遇非人为因素造成的设备故障，经裁判确认后，可向裁判长申请补足排除故障的时间。</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13.参赛选手不得因各种原因提前结束比赛。如确因不可抗因素需要离开赛场的，须向现场裁判员举手示意，经裁判员许可并完成记录后，方可离开。</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14.各竞赛队按照大赛要求和赛题要求提交竞赛成果，禁止在竞赛成果上做任何与竞赛无关的记号。竞赛操作结束后，参赛队要确认成功提交竞赛要求的文件，裁判员在比赛结果的规定位置做标记，并与参赛队一起签字确认。</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15.竞赛时间结束，选手应全体起立，结束操作。经工作人员检查后可离开赛场，离开赛场时不得带走任何资料与设备。</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16.在竞赛期间，未经执委会批准，参赛选手不得接受其他单位和个人进行的与竞赛内容相关的采访。参赛选手不得将竞赛的相关信息私自公布。</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highlight w:val="none"/>
        </w:rPr>
      </w:pPr>
      <w:r>
        <w:rPr>
          <w:rFonts w:hint="eastAsia" w:ascii="方正楷体_GBK" w:hAnsi="方正楷体_GBK" w:eastAsia="方正楷体_GBK" w:cs="方正楷体_GBK"/>
          <w:bCs/>
          <w:sz w:val="30"/>
          <w:szCs w:val="30"/>
          <w:highlight w:val="none"/>
        </w:rPr>
        <w:t>（四）工作人员须知</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1.赛场工作人员由赛项执委会统一聘用并进行工作分工，进入竞赛现场须佩戴组委会统一提供的工作牌。</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2.赛场工作人员需服从赛项执委会的管理，严格执行赛项执委会制订的各项比赛规则，执行赛项执委会的工作安排，积极维护好赛场秩序，坚守岗位，为赛场提供有序的服务。</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3.赛场工作人员进入现场，不得携带任何通讯工具或与竞赛无关的物品。</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4.参赛队进入赛场，现场裁判及赛场工作人员应按规定审查参赛选手带入赛场的物品，如发现不允许带入赛场的物品，交由参赛队随行人员保管，赛场不提供保管服务。</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5.赛场工作人员在竞赛过程中不回答选手提出的任何有关比赛技术问题，如遇争议问题，应及时报告裁判长。</w:t>
      </w:r>
    </w:p>
    <w:p>
      <w:pPr>
        <w:pStyle w:val="4"/>
        <w:pageBreakBefore w:val="0"/>
        <w:widowControl/>
        <w:kinsoku/>
        <w:wordWrap w:val="0"/>
        <w:overflowPunct/>
        <w:topLinePunct w:val="0"/>
        <w:autoSpaceDE w:val="0"/>
        <w:autoSpaceDN w:val="0"/>
        <w:bidi w:val="0"/>
        <w:adjustRightInd w:val="0"/>
        <w:snapToGrid w:val="0"/>
        <w:spacing w:before="0" w:after="0" w:line="560" w:lineRule="exact"/>
        <w:ind w:left="0" w:right="0" w:firstLine="600" w:firstLineChars="200"/>
        <w:jc w:val="both"/>
        <w:textAlignment w:val="baseline"/>
        <w:rPr>
          <w:rFonts w:hint="eastAsia" w:ascii="黑体" w:hAnsi="黑体" w:eastAsia="黑体"/>
          <w:b w:val="0"/>
          <w:sz w:val="30"/>
          <w:szCs w:val="30"/>
          <w:highlight w:val="none"/>
        </w:rPr>
      </w:pPr>
      <w:r>
        <w:rPr>
          <w:rFonts w:hint="eastAsia" w:ascii="黑体" w:hAnsi="黑体" w:eastAsia="黑体"/>
          <w:b w:val="0"/>
          <w:sz w:val="30"/>
          <w:szCs w:val="30"/>
          <w:highlight w:val="none"/>
          <w:lang w:val="en-US" w:eastAsia="zh-CN"/>
        </w:rPr>
        <w:t>十三</w:t>
      </w:r>
      <w:r>
        <w:rPr>
          <w:rFonts w:hint="eastAsia" w:ascii="黑体" w:hAnsi="黑体" w:eastAsia="黑体"/>
          <w:b w:val="0"/>
          <w:sz w:val="30"/>
          <w:szCs w:val="30"/>
          <w:highlight w:val="none"/>
        </w:rPr>
        <w:t>、赛项安全</w:t>
      </w:r>
    </w:p>
    <w:p>
      <w:pPr>
        <w:pageBreakBefore w:val="0"/>
        <w:widowControl w:val="0"/>
        <w:kinsoku/>
        <w:wordWrap/>
        <w:overflowPunct/>
        <w:topLinePunct w:val="0"/>
        <w:bidi w:val="0"/>
        <w:snapToGrid w:val="0"/>
        <w:spacing w:line="560" w:lineRule="exact"/>
        <w:ind w:firstLine="567"/>
        <w:textAlignment w:val="auto"/>
        <w:rPr>
          <w:rStyle w:val="16"/>
          <w:rFonts w:hint="eastAsia" w:ascii="仿宋" w:hAnsi="仿宋" w:eastAsia="仿宋" w:cs="仿宋"/>
          <w:sz w:val="30"/>
          <w:szCs w:val="30"/>
          <w:highlight w:val="none"/>
        </w:rPr>
      </w:pPr>
      <w:r>
        <w:rPr>
          <w:rStyle w:val="16"/>
          <w:rFonts w:hint="eastAsia" w:ascii="仿宋" w:hAnsi="仿宋" w:eastAsia="仿宋" w:cs="仿宋"/>
          <w:sz w:val="30"/>
          <w:szCs w:val="30"/>
          <w:highlight w:val="none"/>
        </w:rPr>
        <w:t>赛事安全是技能竞赛一切工作顺利开展的先决条件，是赛事筹备和运行工作必须考虑的核心问题。赛项执委会采取切实有效措施保证大赛期间参赛选手、指导教师、工作人员及观众的人身安全。</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highlight w:val="none"/>
        </w:rPr>
      </w:pPr>
      <w:r>
        <w:rPr>
          <w:rFonts w:hint="eastAsia" w:ascii="方正楷体_GBK" w:hAnsi="方正楷体_GBK" w:eastAsia="方正楷体_GBK" w:cs="方正楷体_GBK"/>
          <w:bCs/>
          <w:sz w:val="30"/>
          <w:szCs w:val="30"/>
          <w:highlight w:val="none"/>
        </w:rPr>
        <w:t>（一）比赛环境</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1．赛项执委会须在赛前组织专人对比赛现场、住宿场所和交通保障进行考察，并对安全工作提出明确要求。赛场的布置，赛场内的器材、设备，应符合国家有关安全规定。如有必要，也可进行赛场仿真模拟测试，以发现可能出现的问题。协办单位赛前须按照执委会要求排除安全隐患。</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2．赛场周围要设立警戒线，防止无关人员进入发生意外事件。比赛现场内应参照相关职业岗位的要求为选手提供必要的劳动保护。在具有危险性的操作环节，裁判员要严防选手出现错误操作。</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3．承办单位应提供保证应急预案实施的条件。对于比赛内容涉及大用电量、易发生火灾等情况的赛项，必须明确制度和预案，并配备急救人员与设施。</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4．赛项执委会须会同承办单位制定开放赛场和体验区的人员疏导方案。赛场环境中存在人员密集的区域，除了设置齐全的指示标志外，须增加引导人员，并开辟备用通道。</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5．大赛期间，承办单位须在赛场管理的关键岗位，增加力量，建立安全管理日志。</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6．参赛选手进入赛位，赛事裁判及工作人员进入竞赛场所，严禁携带通讯、照相摄录设备，禁止携带记录用具。如确有需要，由赛场统一配置、统一管理。赛项可根据需要配置安检设备对进入赛场重要部位的人员进行安检。</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highlight w:val="none"/>
        </w:rPr>
      </w:pPr>
      <w:r>
        <w:rPr>
          <w:rFonts w:hint="eastAsia" w:ascii="方正楷体_GBK" w:hAnsi="方正楷体_GBK" w:eastAsia="方正楷体_GBK" w:cs="方正楷体_GBK"/>
          <w:bCs/>
          <w:sz w:val="30"/>
          <w:szCs w:val="30"/>
          <w:highlight w:val="none"/>
        </w:rPr>
        <w:t>（</w:t>
      </w:r>
      <w:r>
        <w:rPr>
          <w:rFonts w:hint="eastAsia" w:ascii="方正楷体_GBK" w:hAnsi="方正楷体_GBK" w:eastAsia="方正楷体_GBK" w:cs="方正楷体_GBK"/>
          <w:bCs/>
          <w:sz w:val="30"/>
          <w:szCs w:val="30"/>
          <w:highlight w:val="none"/>
          <w:lang w:val="en-US" w:eastAsia="zh-CN"/>
        </w:rPr>
        <w:t>二</w:t>
      </w:r>
      <w:r>
        <w:rPr>
          <w:rFonts w:hint="eastAsia" w:ascii="方正楷体_GBK" w:hAnsi="方正楷体_GBK" w:eastAsia="方正楷体_GBK" w:cs="方正楷体_GBK"/>
          <w:bCs/>
          <w:sz w:val="30"/>
          <w:szCs w:val="30"/>
          <w:highlight w:val="none"/>
        </w:rPr>
        <w:t>）组队责任</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1．各学校组织代表队时，须安排为参赛选手购买大赛期间的人身意外伤害保险。</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2．各学校代表队组成后，须制定相关管理制度，并对所有选手、指导教师进行安全教育。</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3．各参赛队伍须加强对参与比赛人员的安全管理，实现与赛场安全管理的对接。</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highlight w:val="none"/>
        </w:rPr>
      </w:pPr>
      <w:r>
        <w:rPr>
          <w:rFonts w:hint="eastAsia" w:ascii="方正楷体_GBK" w:hAnsi="方正楷体_GBK" w:eastAsia="方正楷体_GBK" w:cs="方正楷体_GBK"/>
          <w:bCs/>
          <w:sz w:val="30"/>
          <w:szCs w:val="30"/>
          <w:highlight w:val="none"/>
        </w:rPr>
        <w:t>（</w:t>
      </w:r>
      <w:r>
        <w:rPr>
          <w:rFonts w:hint="eastAsia" w:ascii="方正楷体_GBK" w:hAnsi="方正楷体_GBK" w:eastAsia="方正楷体_GBK" w:cs="方正楷体_GBK"/>
          <w:bCs/>
          <w:sz w:val="30"/>
          <w:szCs w:val="30"/>
          <w:highlight w:val="none"/>
          <w:lang w:val="en-US" w:eastAsia="zh-CN"/>
        </w:rPr>
        <w:t>三</w:t>
      </w:r>
      <w:r>
        <w:rPr>
          <w:rFonts w:hint="eastAsia" w:ascii="方正楷体_GBK" w:hAnsi="方正楷体_GBK" w:eastAsia="方正楷体_GBK" w:cs="方正楷体_GBK"/>
          <w:bCs/>
          <w:sz w:val="30"/>
          <w:szCs w:val="30"/>
          <w:highlight w:val="none"/>
        </w:rPr>
        <w:t>）应急处理</w:t>
      </w:r>
    </w:p>
    <w:p>
      <w:pPr>
        <w:pageBreakBefore w:val="0"/>
        <w:widowControl w:val="0"/>
        <w:kinsoku/>
        <w:wordWrap/>
        <w:overflowPunct/>
        <w:topLinePunct w:val="0"/>
        <w:bidi w:val="0"/>
        <w:snapToGrid w:val="0"/>
        <w:spacing w:line="560" w:lineRule="exact"/>
        <w:ind w:firstLine="567"/>
        <w:textAlignment w:val="auto"/>
        <w:rPr>
          <w:rStyle w:val="16"/>
          <w:rFonts w:hint="eastAsia" w:ascii="仿宋" w:hAnsi="仿宋" w:eastAsia="仿宋" w:cs="仿宋"/>
          <w:sz w:val="30"/>
          <w:szCs w:val="30"/>
          <w:highlight w:val="none"/>
        </w:rPr>
      </w:pPr>
      <w:r>
        <w:rPr>
          <w:rStyle w:val="16"/>
          <w:rFonts w:hint="eastAsia" w:ascii="仿宋" w:hAnsi="仿宋" w:eastAsia="仿宋" w:cs="仿宋"/>
          <w:sz w:val="30"/>
          <w:szCs w:val="30"/>
          <w:highlight w:val="none"/>
        </w:rPr>
        <w:t>比赛期间发生意外事故，发现者应第一时间报告赛项执委会，同时采取措施避免事态扩大。赛项执委会应立即启动预案予以解决并上报大赛执委会。赛项出现重大安全问题可以停赛，是否停赛由赛项执委会决定。事后，赛项执委会应向大赛执委会报告详细情况。</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highlight w:val="none"/>
        </w:rPr>
      </w:pPr>
      <w:r>
        <w:rPr>
          <w:rFonts w:hint="eastAsia" w:ascii="方正楷体_GBK" w:hAnsi="方正楷体_GBK" w:eastAsia="方正楷体_GBK" w:cs="方正楷体_GBK"/>
          <w:bCs/>
          <w:sz w:val="30"/>
          <w:szCs w:val="30"/>
          <w:highlight w:val="none"/>
        </w:rPr>
        <w:t>（</w:t>
      </w:r>
      <w:r>
        <w:rPr>
          <w:rFonts w:hint="eastAsia" w:ascii="方正楷体_GBK" w:hAnsi="方正楷体_GBK" w:eastAsia="方正楷体_GBK" w:cs="方正楷体_GBK"/>
          <w:bCs/>
          <w:sz w:val="30"/>
          <w:szCs w:val="30"/>
          <w:highlight w:val="none"/>
          <w:lang w:val="en-US" w:eastAsia="zh-CN"/>
        </w:rPr>
        <w:t>四</w:t>
      </w:r>
      <w:r>
        <w:rPr>
          <w:rFonts w:hint="eastAsia" w:ascii="方正楷体_GBK" w:hAnsi="方正楷体_GBK" w:eastAsia="方正楷体_GBK" w:cs="方正楷体_GBK"/>
          <w:bCs/>
          <w:sz w:val="30"/>
          <w:szCs w:val="30"/>
          <w:highlight w:val="none"/>
        </w:rPr>
        <w:t>）处罚措施</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1．因参赛队伍原因造成重大安全事故的，取消其获奖资格。</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2．参赛队伍有发生重大安全事故隐患，经赛场工作人员提示、警告无效的，可取消其继续比赛的资格。</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Style w:val="16"/>
          <w:rFonts w:hint="eastAsia" w:ascii="仿宋" w:hAnsi="仿宋" w:eastAsia="仿宋" w:cs="仿宋"/>
          <w:sz w:val="30"/>
          <w:szCs w:val="30"/>
          <w:highlight w:val="none"/>
        </w:rPr>
      </w:pPr>
      <w:r>
        <w:rPr>
          <w:rFonts w:hint="eastAsia" w:ascii="仿宋" w:hAnsi="仿宋" w:eastAsia="仿宋" w:cs="仿宋"/>
          <w:kern w:val="0"/>
          <w:sz w:val="30"/>
          <w:szCs w:val="30"/>
          <w:highlight w:val="none"/>
          <w:lang w:val="en-US" w:eastAsia="zh-CN"/>
        </w:rPr>
        <w:t>3．赛事工作人员违规的，按照相应的制度追究责任。情节恶劣并造成重大安全事故的，由司法机关追究相应法律责任。</w:t>
      </w:r>
    </w:p>
    <w:p>
      <w:pPr>
        <w:pStyle w:val="4"/>
        <w:pageBreakBefore w:val="0"/>
        <w:widowControl/>
        <w:kinsoku/>
        <w:wordWrap w:val="0"/>
        <w:overflowPunct/>
        <w:topLinePunct w:val="0"/>
        <w:autoSpaceDE w:val="0"/>
        <w:autoSpaceDN w:val="0"/>
        <w:bidi w:val="0"/>
        <w:adjustRightInd w:val="0"/>
        <w:snapToGrid w:val="0"/>
        <w:spacing w:before="0" w:after="0" w:line="560" w:lineRule="exact"/>
        <w:ind w:left="0" w:right="0" w:firstLine="600" w:firstLineChars="200"/>
        <w:jc w:val="both"/>
        <w:textAlignment w:val="baseline"/>
        <w:rPr>
          <w:rFonts w:hint="eastAsia" w:ascii="黑体" w:hAnsi="黑体" w:eastAsia="黑体"/>
          <w:b w:val="0"/>
          <w:sz w:val="30"/>
          <w:szCs w:val="30"/>
          <w:highlight w:val="none"/>
        </w:rPr>
      </w:pPr>
      <w:r>
        <w:rPr>
          <w:rFonts w:hint="eastAsia" w:ascii="黑体" w:hAnsi="黑体" w:eastAsia="黑体"/>
          <w:b w:val="0"/>
          <w:sz w:val="30"/>
          <w:szCs w:val="30"/>
          <w:highlight w:val="none"/>
          <w:lang w:val="en-US" w:eastAsia="zh-CN"/>
        </w:rPr>
        <w:t>十四、</w:t>
      </w:r>
      <w:r>
        <w:rPr>
          <w:rFonts w:hint="eastAsia" w:ascii="黑体" w:hAnsi="黑体" w:eastAsia="黑体"/>
          <w:b w:val="0"/>
          <w:sz w:val="30"/>
          <w:szCs w:val="30"/>
          <w:highlight w:val="none"/>
        </w:rPr>
        <w:t>技术环境</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highlight w:val="none"/>
        </w:rPr>
      </w:pPr>
      <w:r>
        <w:rPr>
          <w:rFonts w:hint="eastAsia" w:ascii="方正楷体_GBK" w:hAnsi="方正楷体_GBK" w:eastAsia="方正楷体_GBK" w:cs="方正楷体_GBK"/>
          <w:bCs/>
          <w:sz w:val="30"/>
          <w:szCs w:val="30"/>
          <w:highlight w:val="none"/>
        </w:rPr>
        <w:t>（一）环境要求</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color w:val="000000" w:themeColor="text1"/>
          <w:sz w:val="30"/>
          <w:szCs w:val="30"/>
          <w:highlight w:val="none"/>
          <w14:textFill>
            <w14:solidFill>
              <w14:schemeClr w14:val="tx1"/>
            </w14:solidFill>
          </w14:textFill>
        </w:rPr>
        <w:t>1.竞赛场地设在电脑机</w:t>
      </w:r>
      <w:r>
        <w:rPr>
          <w:rFonts w:hint="eastAsia" w:ascii="仿宋" w:hAnsi="仿宋" w:eastAsia="仿宋" w:cs="仿宋"/>
          <w:bCs/>
          <w:sz w:val="30"/>
          <w:szCs w:val="30"/>
          <w:highlight w:val="none"/>
        </w:rPr>
        <w:t>房，场地满足所有团队的竞赛环境。</w:t>
      </w:r>
    </w:p>
    <w:p>
      <w:pPr>
        <w:pageBreakBefore w:val="0"/>
        <w:widowControl w:val="0"/>
        <w:overflowPunct/>
        <w:topLinePunct w:val="0"/>
        <w:bidi w:val="0"/>
        <w:spacing w:line="560" w:lineRule="exact"/>
        <w:ind w:firstLine="600" w:firstLineChars="200"/>
        <w:rPr>
          <w:rFonts w:hint="eastAsia" w:ascii="仿宋" w:hAnsi="仿宋" w:eastAsia="仿宋" w:cs="仿宋"/>
          <w:bCs/>
          <w:color w:val="000000" w:themeColor="text1"/>
          <w:sz w:val="30"/>
          <w:szCs w:val="30"/>
          <w:highlight w:val="none"/>
          <w14:textFill>
            <w14:solidFill>
              <w14:schemeClr w14:val="tx1"/>
            </w14:solidFill>
          </w14:textFill>
        </w:rPr>
      </w:pPr>
      <w:r>
        <w:rPr>
          <w:rFonts w:hint="eastAsia" w:ascii="仿宋" w:hAnsi="仿宋" w:eastAsia="仿宋" w:cs="仿宋"/>
          <w:bCs/>
          <w:color w:val="000000" w:themeColor="text1"/>
          <w:sz w:val="30"/>
          <w:szCs w:val="30"/>
          <w:highlight w:val="none"/>
          <w14:textFill>
            <w14:solidFill>
              <w14:schemeClr w14:val="tx1"/>
            </w14:solidFill>
          </w14:textFill>
        </w:rPr>
        <w:t>2.赛场各赛位统一使用清晰的工位标识，一个参赛队一个工位，每个工位三台电脑，其中一台备用，两张桌子，四把椅子。</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3.竞赛场地内设置背景板、宣传横幅及壁挂图，营造竞赛氛围。</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4.局域网络，不连接Internet或其他公共网络。采用星形网络拓扑结构，安装千兆交换机，网线与电源线隐蔽铺设。</w:t>
      </w:r>
    </w:p>
    <w:p>
      <w:pPr>
        <w:pageBreakBefore w:val="0"/>
        <w:widowControl w:val="0"/>
        <w:overflowPunct/>
        <w:topLinePunct w:val="0"/>
        <w:bidi w:val="0"/>
        <w:spacing w:line="560" w:lineRule="exact"/>
        <w:ind w:firstLine="600" w:firstLineChars="200"/>
        <w:rPr>
          <w:rFonts w:hint="eastAsia" w:ascii="仿宋" w:hAnsi="仿宋" w:eastAsia="仿宋" w:cs="仿宋"/>
          <w:bCs/>
          <w:sz w:val="30"/>
          <w:szCs w:val="30"/>
          <w:highlight w:val="none"/>
        </w:rPr>
      </w:pPr>
      <w:r>
        <w:rPr>
          <w:rFonts w:hint="eastAsia" w:ascii="仿宋" w:hAnsi="仿宋" w:eastAsia="仿宋" w:cs="仿宋"/>
          <w:bCs/>
          <w:sz w:val="30"/>
          <w:szCs w:val="30"/>
          <w:highlight w:val="none"/>
        </w:rPr>
        <w:t>5.利用UPS防止现场因突然断电导致的系统数据丢失，额定功率：3kW，后备时间：2小时，电池类型：输出电压：230V±5%。</w:t>
      </w:r>
    </w:p>
    <w:p>
      <w:pPr>
        <w:pageBreakBefore w:val="0"/>
        <w:widowControl w:val="0"/>
        <w:overflowPunct/>
        <w:topLinePunct w:val="0"/>
        <w:bidi w:val="0"/>
        <w:spacing w:line="560" w:lineRule="exact"/>
        <w:ind w:firstLine="600" w:firstLineChars="200"/>
        <w:rPr>
          <w:rFonts w:hint="eastAsia" w:ascii="方正楷体_GBK" w:hAnsi="方正楷体_GBK" w:eastAsia="方正楷体_GBK" w:cs="方正楷体_GBK"/>
          <w:bCs/>
          <w:sz w:val="30"/>
          <w:szCs w:val="30"/>
          <w:highlight w:val="none"/>
        </w:rPr>
      </w:pPr>
      <w:r>
        <w:rPr>
          <w:rFonts w:hint="eastAsia" w:ascii="方正楷体_GBK" w:hAnsi="方正楷体_GBK" w:eastAsia="方正楷体_GBK" w:cs="方正楷体_GBK"/>
          <w:bCs/>
          <w:sz w:val="30"/>
          <w:szCs w:val="30"/>
          <w:highlight w:val="none"/>
        </w:rPr>
        <w:t>（二）技术平台</w:t>
      </w:r>
    </w:p>
    <w:p>
      <w:pPr>
        <w:widowControl w:val="0"/>
        <w:spacing w:line="360" w:lineRule="auto"/>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表4 设备名称及技术参数表</w:t>
      </w:r>
    </w:p>
    <w:tbl>
      <w:tblPr>
        <w:tblStyle w:val="11"/>
        <w:tblW w:w="9665" w:type="dxa"/>
        <w:tblInd w:w="0" w:type="dxa"/>
        <w:shd w:val="clear" w:color="auto" w:fill="FFFFFF"/>
        <w:tblLayout w:type="autofit"/>
        <w:tblCellMar>
          <w:top w:w="15" w:type="dxa"/>
          <w:left w:w="15" w:type="dxa"/>
          <w:bottom w:w="15" w:type="dxa"/>
          <w:right w:w="15" w:type="dxa"/>
        </w:tblCellMar>
      </w:tblPr>
      <w:tblGrid>
        <w:gridCol w:w="2689"/>
        <w:gridCol w:w="6976"/>
      </w:tblGrid>
      <w:tr>
        <w:tblPrEx>
          <w:tblCellMar>
            <w:top w:w="15" w:type="dxa"/>
            <w:left w:w="15" w:type="dxa"/>
            <w:bottom w:w="15" w:type="dxa"/>
            <w:right w:w="15" w:type="dxa"/>
          </w:tblCellMar>
        </w:tblPrEx>
        <w:trPr>
          <w:trHeight w:val="567" w:hRule="atLeast"/>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360" w:lineRule="auto"/>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品名</w:t>
            </w:r>
          </w:p>
        </w:tc>
        <w:tc>
          <w:tcPr>
            <w:tcW w:w="6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360" w:lineRule="auto"/>
              <w:jc w:val="center"/>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规格要求说明</w:t>
            </w:r>
          </w:p>
        </w:tc>
      </w:tr>
      <w:tr>
        <w:tblPrEx>
          <w:shd w:val="clear" w:color="auto" w:fill="FFFFFF"/>
          <w:tblCellMar>
            <w:top w:w="15" w:type="dxa"/>
            <w:left w:w="15" w:type="dxa"/>
            <w:bottom w:w="15" w:type="dxa"/>
            <w:right w:w="15" w:type="dxa"/>
          </w:tblCellMar>
        </w:tblPrEx>
        <w:trPr>
          <w:trHeight w:val="567" w:hRule="atLeast"/>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360" w:lineRule="auto"/>
              <w:jc w:val="center"/>
              <w:rPr>
                <w:rFonts w:hint="eastAsia" w:ascii="仿宋" w:hAnsi="仿宋" w:eastAsia="仿宋" w:cs="仿宋"/>
                <w:highlight w:val="none"/>
              </w:rPr>
            </w:pPr>
            <w:r>
              <w:rPr>
                <w:rFonts w:hint="eastAsia" w:ascii="仿宋" w:hAnsi="仿宋" w:eastAsia="仿宋" w:cs="仿宋"/>
                <w:highlight w:val="none"/>
              </w:rPr>
              <w:t>参赛选手计算机</w:t>
            </w:r>
          </w:p>
        </w:tc>
        <w:tc>
          <w:tcPr>
            <w:tcW w:w="6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360" w:lineRule="auto"/>
              <w:jc w:val="both"/>
              <w:rPr>
                <w:rFonts w:hint="eastAsia" w:ascii="仿宋" w:hAnsi="仿宋" w:eastAsia="仿宋" w:cs="仿宋"/>
                <w:highlight w:val="none"/>
              </w:rPr>
            </w:pPr>
            <w:r>
              <w:rPr>
                <w:rFonts w:hint="eastAsia" w:ascii="仿宋" w:hAnsi="仿宋" w:eastAsia="仿宋" w:cs="仿宋"/>
                <w:highlight w:val="none"/>
              </w:rPr>
              <w:t>配置要求：酷睿i5及以上CPU；8G以上内存；100G以上硬盘；千兆网卡；具有声卡；屏蔽USB等外接存储设备接口。预装 Windows7及以上操作系统；预装火狐、谷歌浏览器；预装Winrar解压缩软件；预装微软五笔、微软拼音搜狗拼音等中文输入法和英文输入法；预装Dreamweaver CS6简体中文版；预装 Adobe Photoshop CS6 版本；预装OFFICE 2016；预装录屏软件。</w:t>
            </w:r>
          </w:p>
        </w:tc>
      </w:tr>
      <w:tr>
        <w:tblPrEx>
          <w:shd w:val="clear" w:color="auto" w:fill="FFFFFF"/>
          <w:tblCellMar>
            <w:top w:w="15" w:type="dxa"/>
            <w:left w:w="15" w:type="dxa"/>
            <w:bottom w:w="15" w:type="dxa"/>
            <w:right w:w="15" w:type="dxa"/>
          </w:tblCellMar>
        </w:tblPrEx>
        <w:trPr>
          <w:trHeight w:val="567" w:hRule="atLeast"/>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360" w:lineRule="auto"/>
              <w:jc w:val="center"/>
              <w:rPr>
                <w:rFonts w:hint="eastAsia" w:ascii="仿宋" w:hAnsi="仿宋" w:eastAsia="仿宋" w:cs="仿宋"/>
                <w:highlight w:val="none"/>
              </w:rPr>
            </w:pPr>
            <w:r>
              <w:rPr>
                <w:rFonts w:hint="eastAsia" w:ascii="仿宋" w:hAnsi="仿宋" w:eastAsia="仿宋" w:cs="仿宋"/>
                <w:highlight w:val="none"/>
              </w:rPr>
              <w:t>竞赛服务器</w:t>
            </w:r>
          </w:p>
        </w:tc>
        <w:tc>
          <w:tcPr>
            <w:tcW w:w="6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360" w:lineRule="auto"/>
              <w:jc w:val="both"/>
              <w:rPr>
                <w:rFonts w:hint="eastAsia" w:ascii="仿宋" w:hAnsi="仿宋" w:eastAsia="仿宋" w:cs="仿宋"/>
                <w:highlight w:val="none"/>
              </w:rPr>
            </w:pPr>
            <w:r>
              <w:rPr>
                <w:rFonts w:hint="eastAsia" w:ascii="仿宋" w:hAnsi="仿宋" w:eastAsia="仿宋" w:cs="仿宋"/>
                <w:highlight w:val="none"/>
              </w:rPr>
              <w:t>配置要求：英特尔至强E5系列 E5-2683 v4 十六核以上CPU；16GB以上内存；硬盘：500G以上；转速：10000 RPM或固态P4510；千兆网卡。预装Windows Server 2008 R2操作系统及IIS 7.5；预装Microsoft SQL Server 2008数据库。</w:t>
            </w:r>
          </w:p>
        </w:tc>
      </w:tr>
      <w:tr>
        <w:tblPrEx>
          <w:shd w:val="clear" w:color="auto" w:fill="FFFFFF"/>
          <w:tblCellMar>
            <w:top w:w="15" w:type="dxa"/>
            <w:left w:w="15" w:type="dxa"/>
            <w:bottom w:w="15" w:type="dxa"/>
            <w:right w:w="15" w:type="dxa"/>
          </w:tblCellMar>
        </w:tblPrEx>
        <w:trPr>
          <w:trHeight w:val="567" w:hRule="atLeast"/>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360" w:lineRule="auto"/>
              <w:jc w:val="center"/>
              <w:rPr>
                <w:rFonts w:hint="eastAsia" w:ascii="仿宋" w:hAnsi="仿宋" w:eastAsia="仿宋" w:cs="仿宋"/>
                <w:highlight w:val="none"/>
              </w:rPr>
            </w:pPr>
            <w:r>
              <w:rPr>
                <w:rFonts w:hint="eastAsia" w:ascii="仿宋" w:hAnsi="仿宋" w:eastAsia="仿宋" w:cs="仿宋"/>
                <w:highlight w:val="none"/>
              </w:rPr>
              <w:t>竞赛设备与耗材</w:t>
            </w:r>
          </w:p>
        </w:tc>
        <w:tc>
          <w:tcPr>
            <w:tcW w:w="6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由承办方提供三脚架、补光灯、直播商品，并提供充足的备用设备。由参赛选手自带安卓（Android）手机（比赛软件仅支持安卓系统</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手机经检查后方可带入赛场</w:t>
            </w:r>
            <w:r>
              <w:rPr>
                <w:rFonts w:hint="eastAsia" w:ascii="仿宋" w:hAnsi="仿宋" w:eastAsia="仿宋" w:cs="仿宋"/>
                <w:color w:val="000000" w:themeColor="text1"/>
                <w:highlight w:val="none"/>
                <w14:textFill>
                  <w14:solidFill>
                    <w14:schemeClr w14:val="tx1"/>
                  </w14:solidFill>
                </w14:textFill>
              </w:rPr>
              <w:t>），满足前摄主摄像素500万或以上，3GB+32GB或以上；由选手自带圆孔（直径3.5mm）、直插型、入耳式有线耳机，线长不低于1.5m（耳机需同时适配直播手机与竞赛电脑）</w:t>
            </w:r>
          </w:p>
        </w:tc>
      </w:tr>
      <w:tr>
        <w:tblPrEx>
          <w:shd w:val="clear" w:color="auto" w:fill="FFFFFF"/>
          <w:tblCellMar>
            <w:top w:w="15" w:type="dxa"/>
            <w:left w:w="15" w:type="dxa"/>
            <w:bottom w:w="15" w:type="dxa"/>
            <w:right w:w="15" w:type="dxa"/>
          </w:tblCellMar>
        </w:tblPrEx>
        <w:trPr>
          <w:trHeight w:val="567" w:hRule="atLeast"/>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360" w:lineRule="auto"/>
              <w:jc w:val="center"/>
              <w:rPr>
                <w:rFonts w:hint="eastAsia" w:ascii="仿宋" w:hAnsi="仿宋" w:eastAsia="仿宋" w:cs="仿宋"/>
                <w:highlight w:val="none"/>
              </w:rPr>
            </w:pPr>
            <w:r>
              <w:rPr>
                <w:rFonts w:hint="eastAsia" w:ascii="仿宋" w:hAnsi="仿宋" w:eastAsia="仿宋" w:cs="仿宋"/>
                <w:highlight w:val="none"/>
              </w:rPr>
              <w:t>现场布置</w:t>
            </w:r>
          </w:p>
        </w:tc>
        <w:tc>
          <w:tcPr>
            <w:tcW w:w="6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360" w:lineRule="auto"/>
              <w:rPr>
                <w:rFonts w:hint="eastAsia" w:ascii="仿宋" w:hAnsi="仿宋" w:eastAsia="仿宋" w:cs="仿宋"/>
                <w:highlight w:val="none"/>
              </w:rPr>
            </w:pPr>
            <w:r>
              <w:rPr>
                <w:rFonts w:hint="eastAsia" w:ascii="仿宋" w:hAnsi="仿宋" w:eastAsia="仿宋" w:cs="仿宋"/>
                <w:highlight w:val="none"/>
              </w:rPr>
              <w:t>工位隔断、环境布置、桌椅等；提供网络布线、千兆交换机。</w:t>
            </w:r>
          </w:p>
        </w:tc>
      </w:tr>
    </w:tbl>
    <w:p>
      <w:pPr>
        <w:pStyle w:val="4"/>
        <w:pageBreakBefore w:val="0"/>
        <w:widowControl/>
        <w:kinsoku/>
        <w:wordWrap w:val="0"/>
        <w:overflowPunct/>
        <w:topLinePunct w:val="0"/>
        <w:autoSpaceDE w:val="0"/>
        <w:autoSpaceDN w:val="0"/>
        <w:bidi w:val="0"/>
        <w:adjustRightInd w:val="0"/>
        <w:snapToGrid w:val="0"/>
        <w:spacing w:before="0" w:after="0" w:line="360" w:lineRule="auto"/>
        <w:ind w:left="0" w:right="0" w:firstLine="640" w:firstLineChars="200"/>
        <w:jc w:val="both"/>
        <w:textAlignment w:val="baseline"/>
        <w:rPr>
          <w:rFonts w:hint="eastAsia" w:ascii="黑体" w:hAnsi="黑体" w:eastAsia="黑体"/>
          <w:b w:val="0"/>
          <w:sz w:val="32"/>
          <w:szCs w:val="32"/>
          <w:highlight w:val="none"/>
        </w:rPr>
      </w:pPr>
    </w:p>
    <w:p>
      <w:pPr>
        <w:pStyle w:val="4"/>
        <w:pageBreakBefore w:val="0"/>
        <w:widowControl/>
        <w:kinsoku/>
        <w:wordWrap w:val="0"/>
        <w:overflowPunct/>
        <w:topLinePunct w:val="0"/>
        <w:autoSpaceDE w:val="0"/>
        <w:autoSpaceDN w:val="0"/>
        <w:bidi w:val="0"/>
        <w:adjustRightInd w:val="0"/>
        <w:snapToGrid w:val="0"/>
        <w:spacing w:before="0" w:after="0" w:line="360" w:lineRule="auto"/>
        <w:ind w:left="0" w:right="0" w:firstLine="640" w:firstLineChars="200"/>
        <w:jc w:val="both"/>
        <w:textAlignment w:val="baseline"/>
        <w:rPr>
          <w:rFonts w:hint="eastAsia" w:ascii="黑体" w:hAnsi="黑体" w:eastAsia="黑体"/>
          <w:b w:val="0"/>
          <w:color w:val="000000" w:themeColor="text1"/>
          <w:szCs w:val="30"/>
          <w:highlight w:val="none"/>
          <w:lang w:val="en-US" w:eastAsia="zh-CN"/>
          <w14:textFill>
            <w14:solidFill>
              <w14:schemeClr w14:val="tx1"/>
            </w14:solidFill>
          </w14:textFill>
        </w:rPr>
      </w:pPr>
      <w:r>
        <w:rPr>
          <w:rFonts w:hint="eastAsia" w:ascii="黑体" w:hAnsi="黑体" w:eastAsia="黑体"/>
          <w:b w:val="0"/>
          <w:color w:val="000000" w:themeColor="text1"/>
          <w:sz w:val="32"/>
          <w:szCs w:val="32"/>
          <w:highlight w:val="none"/>
          <w14:textFill>
            <w14:solidFill>
              <w14:schemeClr w14:val="tx1"/>
            </w14:solidFill>
          </w14:textFill>
        </w:rPr>
        <w:t>十</w:t>
      </w:r>
      <w:r>
        <w:rPr>
          <w:rFonts w:hint="eastAsia" w:ascii="黑体" w:hAnsi="黑体" w:eastAsia="黑体"/>
          <w:b w:val="0"/>
          <w:color w:val="000000" w:themeColor="text1"/>
          <w:sz w:val="32"/>
          <w:szCs w:val="32"/>
          <w:highlight w:val="none"/>
          <w:lang w:val="en-US" w:eastAsia="zh-CN"/>
          <w14:textFill>
            <w14:solidFill>
              <w14:schemeClr w14:val="tx1"/>
            </w14:solidFill>
          </w14:textFill>
        </w:rPr>
        <w:t>五</w:t>
      </w:r>
      <w:r>
        <w:rPr>
          <w:rFonts w:hint="eastAsia" w:ascii="黑体" w:hAnsi="黑体" w:eastAsia="黑体"/>
          <w:b w:val="0"/>
          <w:color w:val="000000" w:themeColor="text1"/>
          <w:sz w:val="32"/>
          <w:szCs w:val="32"/>
          <w:highlight w:val="none"/>
          <w14:textFill>
            <w14:solidFill>
              <w14:schemeClr w14:val="tx1"/>
            </w14:solidFill>
          </w14:textFill>
        </w:rPr>
        <w:t>、</w:t>
      </w:r>
      <w:r>
        <w:rPr>
          <w:rFonts w:hint="eastAsia" w:ascii="黑体" w:hAnsi="黑体" w:eastAsia="黑体"/>
          <w:b w:val="0"/>
          <w:color w:val="000000" w:themeColor="text1"/>
          <w:szCs w:val="30"/>
          <w:highlight w:val="none"/>
          <w:lang w:val="en-US" w:eastAsia="zh-CN"/>
          <w14:textFill>
            <w14:solidFill>
              <w14:schemeClr w14:val="tx1"/>
            </w14:solidFill>
          </w14:textFill>
        </w:rPr>
        <w:t>其他</w:t>
      </w:r>
    </w:p>
    <w:p>
      <w:pPr>
        <w:widowControl w:val="0"/>
        <w:spacing w:line="360" w:lineRule="auto"/>
        <w:ind w:firstLine="600" w:firstLineChars="200"/>
        <w:rPr>
          <w:rFonts w:hint="eastAsia" w:ascii="仿宋" w:hAnsi="仿宋" w:eastAsia="仿宋" w:cs="仿宋"/>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Cs/>
          <w:color w:val="000000" w:themeColor="text1"/>
          <w:sz w:val="30"/>
          <w:szCs w:val="30"/>
          <w:highlight w:val="none"/>
          <w:lang w:val="en-US" w:eastAsia="zh-CN"/>
          <w14:textFill>
            <w14:solidFill>
              <w14:schemeClr w14:val="tx1"/>
            </w14:solidFill>
          </w14:textFill>
        </w:rPr>
        <w:t>1. 各院校请仔细阅读公示文件《承办学校提供的设备和场地信息清单》，赛场只提供且保持局域网络（含自带设备）。院校自带软件及服务器的，设备安装调试、承办校设备和场地还原时间，请在申报的比赛时间内完成。</w:t>
      </w:r>
    </w:p>
    <w:p>
      <w:pPr>
        <w:widowControl w:val="0"/>
        <w:spacing w:line="360" w:lineRule="auto"/>
        <w:ind w:firstLine="600" w:firstLineChars="200"/>
        <w:rPr>
          <w:rFonts w:hint="eastAsia" w:ascii="仿宋" w:hAnsi="仿宋" w:eastAsia="仿宋" w:cs="仿宋"/>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Cs/>
          <w:color w:val="000000" w:themeColor="text1"/>
          <w:sz w:val="30"/>
          <w:szCs w:val="30"/>
          <w:highlight w:val="none"/>
          <w:lang w:val="en-US" w:eastAsia="zh-CN"/>
          <w14:textFill>
            <w14:solidFill>
              <w14:schemeClr w14:val="tx1"/>
            </w14:solidFill>
          </w14:textFill>
        </w:rPr>
        <w:t>2. 严禁携带通讯、摄录设备和未经许可的记录用具进入比赛区域。</w:t>
      </w:r>
    </w:p>
    <w:p>
      <w:pPr>
        <w:rPr>
          <w:rFonts w:hint="eastAsia" w:ascii="黑体" w:hAnsi="黑体" w:eastAsia="黑体"/>
          <w:sz w:val="32"/>
          <w:szCs w:val="32"/>
          <w:highlight w:val="none"/>
        </w:rPr>
      </w:pPr>
      <w:r>
        <w:rPr>
          <w:rFonts w:hint="eastAsia" w:ascii="黑体" w:hAnsi="黑体" w:eastAsia="黑体"/>
          <w:sz w:val="32"/>
          <w:szCs w:val="32"/>
          <w:highlight w:val="none"/>
        </w:rPr>
        <w:br w:type="page"/>
      </w:r>
    </w:p>
    <w:p>
      <w:pPr>
        <w:pStyle w:val="2"/>
        <w:rPr>
          <w:rFonts w:hint="default" w:eastAsia="宋体"/>
          <w:highlight w:val="none"/>
          <w:lang w:val="en-US" w:eastAsia="zh-CN"/>
        </w:rPr>
      </w:pPr>
      <w:r>
        <w:rPr>
          <w:rFonts w:hint="eastAsia" w:ascii="黑体" w:hAnsi="黑体" w:eastAsia="黑体"/>
          <w:sz w:val="32"/>
          <w:szCs w:val="32"/>
          <w:highlight w:val="none"/>
          <w:lang w:val="en-US" w:eastAsia="zh-CN"/>
        </w:rPr>
        <w:t>附件1</w:t>
      </w:r>
    </w:p>
    <w:p>
      <w:pPr>
        <w:pStyle w:val="2"/>
        <w:rPr>
          <w:highlight w:val="none"/>
        </w:rPr>
      </w:pPr>
    </w:p>
    <w:p>
      <w:pPr>
        <w:snapToGrid w:val="0"/>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承办学校提供的设备和场地信息清单</w:t>
      </w:r>
    </w:p>
    <w:p>
      <w:pPr>
        <w:spacing w:before="162" w:line="205" w:lineRule="auto"/>
        <w:ind w:left="1341"/>
        <w:outlineLvl w:val="0"/>
        <w:rPr>
          <w:rFonts w:ascii="宋体" w:hAnsi="宋体" w:eastAsia="宋体" w:cs="宋体"/>
          <w:sz w:val="42"/>
          <w:szCs w:val="42"/>
          <w:highlight w:val="none"/>
        </w:rPr>
      </w:pPr>
    </w:p>
    <w:tbl>
      <w:tblPr>
        <w:tblStyle w:val="15"/>
        <w:tblW w:w="94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13"/>
        <w:gridCol w:w="971"/>
        <w:gridCol w:w="2651"/>
        <w:gridCol w:w="1050"/>
        <w:gridCol w:w="1268"/>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814" w:type="dxa"/>
            <w:vAlign w:val="top"/>
          </w:tcPr>
          <w:p>
            <w:pPr>
              <w:pStyle w:val="17"/>
              <w:spacing w:before="213" w:line="308" w:lineRule="auto"/>
              <w:ind w:left="128" w:right="145"/>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pacing w:val="-9"/>
                <w:sz w:val="24"/>
                <w:szCs w:val="24"/>
                <w:highlight w:val="none"/>
              </w:rPr>
              <w:t>承办</w:t>
            </w: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b/>
                <w:bCs/>
                <w:spacing w:val="-11"/>
                <w:sz w:val="24"/>
                <w:szCs w:val="24"/>
                <w:highlight w:val="none"/>
              </w:rPr>
              <w:t>学校</w:t>
            </w:r>
          </w:p>
        </w:tc>
        <w:tc>
          <w:tcPr>
            <w:tcW w:w="8640" w:type="dxa"/>
            <w:gridSpan w:val="6"/>
            <w:vAlign w:val="top"/>
          </w:tcPr>
          <w:p>
            <w:pPr>
              <w:spacing w:line="404" w:lineRule="auto"/>
              <w:rPr>
                <w:rFonts w:hint="eastAsia" w:ascii="方正仿宋_GBK" w:hAnsi="方正仿宋_GBK" w:eastAsia="方正仿宋_GBK" w:cs="方正仿宋_GBK"/>
                <w:sz w:val="24"/>
                <w:szCs w:val="24"/>
                <w:highlight w:val="none"/>
              </w:rPr>
            </w:pPr>
          </w:p>
          <w:p>
            <w:pPr>
              <w:pStyle w:val="17"/>
              <w:spacing w:before="87" w:line="219"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
                <w:sz w:val="24"/>
                <w:szCs w:val="24"/>
                <w:highlight w:val="none"/>
                <w:lang w:val="en-US" w:eastAsia="zh-CN"/>
              </w:rPr>
              <w:t>河南经贸</w:t>
            </w:r>
            <w:r>
              <w:rPr>
                <w:rFonts w:hint="eastAsia" w:ascii="方正仿宋_GBK" w:hAnsi="方正仿宋_GBK" w:eastAsia="方正仿宋_GBK" w:cs="方正仿宋_GBK"/>
                <w:spacing w:val="2"/>
                <w:sz w:val="24"/>
                <w:szCs w:val="24"/>
                <w:highlight w:val="none"/>
              </w:rPr>
              <w:t>职业</w:t>
            </w:r>
            <w:r>
              <w:rPr>
                <w:rFonts w:hint="eastAsia" w:ascii="方正仿宋_GBK" w:hAnsi="方正仿宋_GBK" w:eastAsia="方正仿宋_GBK" w:cs="方正仿宋_GBK"/>
                <w:spacing w:val="2"/>
                <w:sz w:val="24"/>
                <w:szCs w:val="24"/>
                <w:highlight w:val="none"/>
                <w:lang w:val="en-US" w:eastAsia="zh-CN"/>
              </w:rPr>
              <w:t>学</w:t>
            </w:r>
            <w:r>
              <w:rPr>
                <w:rFonts w:hint="eastAsia" w:ascii="方正仿宋_GBK" w:hAnsi="方正仿宋_GBK" w:eastAsia="方正仿宋_GBK" w:cs="方正仿宋_GBK"/>
                <w:spacing w:val="2"/>
                <w:sz w:val="24"/>
                <w:szCs w:val="24"/>
                <w:highlight w:val="none"/>
              </w:rPr>
              <w:t>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814" w:type="dxa"/>
            <w:vAlign w:val="center"/>
          </w:tcPr>
          <w:p>
            <w:pPr>
              <w:pStyle w:val="17"/>
              <w:spacing w:before="59" w:line="220" w:lineRule="auto"/>
              <w:ind w:left="128"/>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pacing w:val="4"/>
                <w:sz w:val="24"/>
                <w:szCs w:val="24"/>
                <w:highlight w:val="none"/>
              </w:rPr>
              <w:t>组别</w:t>
            </w:r>
          </w:p>
        </w:tc>
        <w:tc>
          <w:tcPr>
            <w:tcW w:w="1813" w:type="dxa"/>
            <w:vAlign w:val="center"/>
          </w:tcPr>
          <w:p>
            <w:pPr>
              <w:pStyle w:val="17"/>
              <w:spacing w:before="88" w:line="219"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高职</w:t>
            </w:r>
          </w:p>
        </w:tc>
        <w:tc>
          <w:tcPr>
            <w:tcW w:w="971" w:type="dxa"/>
            <w:vAlign w:val="center"/>
          </w:tcPr>
          <w:p>
            <w:pPr>
              <w:pStyle w:val="17"/>
              <w:spacing w:before="88" w:line="219"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pacing w:val="-6"/>
                <w:sz w:val="24"/>
                <w:szCs w:val="24"/>
                <w:highlight w:val="none"/>
              </w:rPr>
              <w:t>赛道</w:t>
            </w:r>
          </w:p>
        </w:tc>
        <w:tc>
          <w:tcPr>
            <w:tcW w:w="2651" w:type="dxa"/>
            <w:vAlign w:val="center"/>
          </w:tcPr>
          <w:p>
            <w:pPr>
              <w:pStyle w:val="17"/>
              <w:spacing w:before="83" w:line="222"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
                <w:sz w:val="24"/>
                <w:szCs w:val="24"/>
                <w:highlight w:val="none"/>
              </w:rPr>
              <w:t>赛道小组赛</w:t>
            </w:r>
          </w:p>
        </w:tc>
        <w:tc>
          <w:tcPr>
            <w:tcW w:w="1050" w:type="dxa"/>
            <w:vAlign w:val="center"/>
          </w:tcPr>
          <w:p>
            <w:pPr>
              <w:pStyle w:val="17"/>
              <w:spacing w:before="271" w:line="221"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pacing w:val="-8"/>
                <w:sz w:val="24"/>
                <w:szCs w:val="24"/>
                <w:highlight w:val="none"/>
              </w:rPr>
              <w:t>小组</w:t>
            </w:r>
          </w:p>
        </w:tc>
        <w:tc>
          <w:tcPr>
            <w:tcW w:w="2155" w:type="dxa"/>
            <w:gridSpan w:val="2"/>
            <w:vAlign w:val="center"/>
          </w:tcPr>
          <w:p>
            <w:pPr>
              <w:pStyle w:val="17"/>
              <w:spacing w:before="88" w:line="260" w:lineRule="auto"/>
              <w:ind w:left="517" w:right="171" w:hanging="339"/>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
                <w:sz w:val="24"/>
                <w:szCs w:val="24"/>
                <w:highlight w:val="none"/>
              </w:rPr>
              <w:t>跨境电子商务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14" w:type="dxa"/>
            <w:vAlign w:val="center"/>
          </w:tcPr>
          <w:p>
            <w:pPr>
              <w:jc w:val="center"/>
              <w:rPr>
                <w:rFonts w:hint="eastAsia" w:ascii="方正仿宋_GBK" w:hAnsi="方正仿宋_GBK" w:eastAsia="方正仿宋_GBK" w:cs="方正仿宋_GBK"/>
                <w:sz w:val="24"/>
                <w:szCs w:val="24"/>
                <w:highlight w:val="none"/>
              </w:rPr>
            </w:pPr>
          </w:p>
        </w:tc>
        <w:tc>
          <w:tcPr>
            <w:tcW w:w="1813" w:type="dxa"/>
            <w:vAlign w:val="center"/>
          </w:tcPr>
          <w:p>
            <w:pPr>
              <w:keepNext w:val="0"/>
              <w:keepLines w:val="0"/>
              <w:pageBreakBefore w:val="0"/>
              <w:widowControl/>
              <w:kinsoku/>
              <w:wordWrap w:val="0"/>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z w:val="24"/>
                <w:szCs w:val="24"/>
                <w:highlight w:val="none"/>
              </w:rPr>
              <w:t>名称</w:t>
            </w:r>
          </w:p>
        </w:tc>
        <w:tc>
          <w:tcPr>
            <w:tcW w:w="971" w:type="dxa"/>
            <w:vAlign w:val="center"/>
          </w:tcPr>
          <w:p>
            <w:pPr>
              <w:keepNext w:val="0"/>
              <w:keepLines w:val="0"/>
              <w:pageBreakBefore w:val="0"/>
              <w:widowControl/>
              <w:kinsoku/>
              <w:wordWrap w:val="0"/>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z w:val="24"/>
                <w:szCs w:val="24"/>
                <w:highlight w:val="none"/>
              </w:rPr>
              <w:t>型号</w:t>
            </w:r>
          </w:p>
        </w:tc>
        <w:tc>
          <w:tcPr>
            <w:tcW w:w="2651" w:type="dxa"/>
            <w:vAlign w:val="center"/>
          </w:tcPr>
          <w:p>
            <w:pPr>
              <w:keepNext w:val="0"/>
              <w:keepLines w:val="0"/>
              <w:pageBreakBefore w:val="0"/>
              <w:widowControl/>
              <w:kinsoku/>
              <w:wordWrap w:val="0"/>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bCs/>
                <w:sz w:val="24"/>
                <w:szCs w:val="24"/>
                <w:highlight w:val="none"/>
              </w:rPr>
              <w:t>主要技术参数</w:t>
            </w:r>
          </w:p>
        </w:tc>
        <w:tc>
          <w:tcPr>
            <w:tcW w:w="1050" w:type="dxa"/>
            <w:vAlign w:val="center"/>
          </w:tcPr>
          <w:p>
            <w:pPr>
              <w:keepNext w:val="0"/>
              <w:keepLines w:val="0"/>
              <w:pageBreakBefore w:val="0"/>
              <w:widowControl/>
              <w:kinsoku/>
              <w:wordWrap w:val="0"/>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台套数</w:t>
            </w:r>
          </w:p>
        </w:tc>
        <w:tc>
          <w:tcPr>
            <w:tcW w:w="1268" w:type="dxa"/>
            <w:vAlign w:val="center"/>
          </w:tcPr>
          <w:p>
            <w:pPr>
              <w:keepNext w:val="0"/>
              <w:keepLines w:val="0"/>
              <w:pageBreakBefore w:val="0"/>
              <w:widowControl/>
              <w:kinsoku/>
              <w:wordWrap w:val="0"/>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设备厂商</w:t>
            </w:r>
          </w:p>
        </w:tc>
        <w:tc>
          <w:tcPr>
            <w:tcW w:w="887" w:type="dxa"/>
            <w:textDirection w:val="tbRlV"/>
            <w:vAlign w:val="center"/>
          </w:tcPr>
          <w:p>
            <w:pPr>
              <w:pStyle w:val="17"/>
              <w:keepNext w:val="0"/>
              <w:keepLines w:val="0"/>
              <w:pageBreakBefore w:val="0"/>
              <w:widowControl/>
              <w:overflowPunct/>
              <w:topLinePunct w:val="0"/>
              <w:autoSpaceDE w:val="0"/>
              <w:autoSpaceDN w:val="0"/>
              <w:bidi w:val="0"/>
              <w:adjustRightInd w:val="0"/>
              <w:snapToGrid w:val="0"/>
              <w:spacing w:line="240" w:lineRule="auto"/>
              <w:ind w:left="88"/>
              <w:jc w:val="center"/>
              <w:textAlignment w:val="baseline"/>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z w:val="24"/>
                <w:szCs w:val="24"/>
                <w:highlight w:val="none"/>
              </w:rPr>
              <w:t>备</w:t>
            </w:r>
            <w:r>
              <w:rPr>
                <w:rFonts w:hint="eastAsia" w:ascii="方正仿宋_GBK" w:hAnsi="方正仿宋_GBK" w:eastAsia="方正仿宋_GBK" w:cs="方正仿宋_GBK"/>
                <w:b/>
                <w:bCs/>
                <w:spacing w:val="9"/>
                <w:sz w:val="24"/>
                <w:szCs w:val="24"/>
                <w:highlight w:val="none"/>
              </w:rPr>
              <w:t xml:space="preserve"> </w:t>
            </w:r>
            <w:r>
              <w:rPr>
                <w:rFonts w:hint="eastAsia" w:ascii="方正仿宋_GBK" w:hAnsi="方正仿宋_GBK" w:eastAsia="方正仿宋_GBK" w:cs="方正仿宋_GBK"/>
                <w:b/>
                <w:bCs/>
                <w:sz w:val="24"/>
                <w:szCs w:val="24"/>
                <w:highlight w:val="none"/>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814" w:type="dxa"/>
            <w:vMerge w:val="restart"/>
            <w:vAlign w:val="center"/>
          </w:tcPr>
          <w:p>
            <w:pPr>
              <w:jc w:val="center"/>
              <w:rPr>
                <w:rFonts w:hint="eastAsia" w:ascii="方正仿宋_GBK" w:hAnsi="方正仿宋_GBK" w:eastAsia="方正仿宋_GBK" w:cs="方正仿宋_GBK"/>
                <w:b/>
                <w:bCs/>
                <w:sz w:val="24"/>
                <w:szCs w:val="24"/>
                <w:highlight w:val="none"/>
              </w:rPr>
            </w:pPr>
          </w:p>
        </w:tc>
        <w:tc>
          <w:tcPr>
            <w:tcW w:w="1813" w:type="dxa"/>
            <w:vAlign w:val="center"/>
          </w:tcPr>
          <w:p>
            <w:pPr>
              <w:pStyle w:val="17"/>
              <w:spacing w:before="88" w:line="219" w:lineRule="auto"/>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3"/>
                <w:sz w:val="24"/>
                <w:szCs w:val="24"/>
                <w:highlight w:val="none"/>
              </w:rPr>
              <w:t>台式机</w:t>
            </w:r>
          </w:p>
        </w:tc>
        <w:tc>
          <w:tcPr>
            <w:tcW w:w="971" w:type="dxa"/>
            <w:vAlign w:val="center"/>
          </w:tcPr>
          <w:p>
            <w:pPr>
              <w:pStyle w:val="17"/>
              <w:spacing w:before="160" w:line="184" w:lineRule="auto"/>
              <w:ind w:left="283"/>
              <w:jc w:val="center"/>
              <w:rPr>
                <w:rFonts w:hint="eastAsia" w:ascii="方正仿宋_GBK" w:hAnsi="方正仿宋_GBK" w:eastAsia="方正仿宋_GBK" w:cs="方正仿宋_GBK"/>
                <w:sz w:val="24"/>
                <w:szCs w:val="24"/>
                <w:highlight w:val="none"/>
              </w:rPr>
            </w:pPr>
          </w:p>
        </w:tc>
        <w:tc>
          <w:tcPr>
            <w:tcW w:w="2651" w:type="dxa"/>
            <w:vAlign w:val="center"/>
          </w:tcPr>
          <w:p>
            <w:pPr>
              <w:pStyle w:val="17"/>
              <w:spacing w:before="205" w:line="221" w:lineRule="auto"/>
              <w:ind w:left="265"/>
              <w:jc w:val="center"/>
              <w:rPr>
                <w:rFonts w:hint="eastAsia" w:ascii="方正仿宋_GBK" w:hAnsi="方正仿宋_GBK" w:eastAsia="方正仿宋_GBK" w:cs="方正仿宋_GBK"/>
                <w:spacing w:val="5"/>
                <w:sz w:val="24"/>
                <w:szCs w:val="24"/>
                <w:highlight w:val="none"/>
              </w:rPr>
            </w:pPr>
            <w:r>
              <w:rPr>
                <w:rFonts w:hint="eastAsia" w:ascii="方正仿宋_GBK" w:hAnsi="方正仿宋_GBK" w:eastAsia="方正仿宋_GBK" w:cs="方正仿宋_GBK"/>
                <w:spacing w:val="5"/>
                <w:sz w:val="24"/>
                <w:szCs w:val="24"/>
                <w:highlight w:val="none"/>
              </w:rPr>
              <w:t>酷睿i5及以上CPU；</w:t>
            </w:r>
            <w:r>
              <w:rPr>
                <w:rFonts w:hint="eastAsia" w:ascii="方正仿宋_GBK" w:hAnsi="方正仿宋_GBK" w:eastAsia="方正仿宋_GBK" w:cs="方正仿宋_GBK"/>
                <w:spacing w:val="5"/>
                <w:sz w:val="24"/>
                <w:szCs w:val="24"/>
                <w:highlight w:val="none"/>
                <w:lang w:val="en-US" w:eastAsia="zh-CN"/>
              </w:rPr>
              <w:t>4</w:t>
            </w:r>
            <w:r>
              <w:rPr>
                <w:rFonts w:hint="eastAsia" w:ascii="方正仿宋_GBK" w:hAnsi="方正仿宋_GBK" w:eastAsia="方正仿宋_GBK" w:cs="方正仿宋_GBK"/>
                <w:spacing w:val="5"/>
                <w:sz w:val="24"/>
                <w:szCs w:val="24"/>
                <w:highlight w:val="none"/>
              </w:rPr>
              <w:t>G及以上内存；</w:t>
            </w:r>
            <w:r>
              <w:rPr>
                <w:rFonts w:hint="eastAsia" w:ascii="方正仿宋_GBK" w:hAnsi="方正仿宋_GBK" w:eastAsia="方正仿宋_GBK" w:cs="方正仿宋_GBK"/>
                <w:spacing w:val="5"/>
                <w:sz w:val="24"/>
                <w:szCs w:val="24"/>
                <w:highlight w:val="none"/>
                <w:lang w:val="en-US" w:eastAsia="zh-CN"/>
              </w:rPr>
              <w:t>50</w:t>
            </w:r>
            <w:r>
              <w:rPr>
                <w:rFonts w:hint="eastAsia" w:ascii="方正仿宋_GBK" w:hAnsi="方正仿宋_GBK" w:eastAsia="方正仿宋_GBK" w:cs="方正仿宋_GBK"/>
                <w:spacing w:val="5"/>
                <w:sz w:val="24"/>
                <w:szCs w:val="24"/>
                <w:highlight w:val="none"/>
              </w:rPr>
              <w:t>G及以上硬盘</w:t>
            </w:r>
          </w:p>
        </w:tc>
        <w:tc>
          <w:tcPr>
            <w:tcW w:w="1050" w:type="dxa"/>
            <w:vAlign w:val="center"/>
          </w:tcPr>
          <w:p>
            <w:pPr>
              <w:pStyle w:val="17"/>
              <w:tabs>
                <w:tab w:val="left" w:pos="266"/>
              </w:tabs>
              <w:spacing w:before="88" w:line="320" w:lineRule="auto"/>
              <w:ind w:left="117" w:right="90" w:firstLine="59"/>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7"/>
                <w:sz w:val="24"/>
                <w:szCs w:val="24"/>
                <w:highlight w:val="none"/>
                <w:lang w:val="en-US" w:eastAsia="zh-CN"/>
              </w:rPr>
              <w:t>3</w:t>
            </w:r>
            <w:r>
              <w:rPr>
                <w:rFonts w:hint="eastAsia" w:ascii="方正仿宋_GBK" w:hAnsi="方正仿宋_GBK" w:eastAsia="方正仿宋_GBK" w:cs="方正仿宋_GBK"/>
                <w:spacing w:val="17"/>
                <w:sz w:val="24"/>
                <w:szCs w:val="24"/>
                <w:highlight w:val="none"/>
              </w:rPr>
              <w:t>台</w:t>
            </w:r>
          </w:p>
        </w:tc>
        <w:tc>
          <w:tcPr>
            <w:tcW w:w="1268" w:type="dxa"/>
            <w:vAlign w:val="center"/>
          </w:tcPr>
          <w:p>
            <w:pPr>
              <w:jc w:val="center"/>
              <w:rPr>
                <w:rFonts w:hint="eastAsia" w:ascii="方正仿宋_GBK" w:hAnsi="方正仿宋_GBK" w:eastAsia="方正仿宋_GBK" w:cs="方正仿宋_GBK"/>
                <w:sz w:val="24"/>
                <w:szCs w:val="24"/>
                <w:highlight w:val="none"/>
              </w:rPr>
            </w:pPr>
          </w:p>
        </w:tc>
        <w:tc>
          <w:tcPr>
            <w:tcW w:w="887"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814" w:type="dxa"/>
            <w:vMerge w:val="continue"/>
            <w:vAlign w:val="center"/>
          </w:tcPr>
          <w:p>
            <w:pPr>
              <w:jc w:val="center"/>
              <w:rPr>
                <w:rFonts w:hint="eastAsia" w:ascii="方正仿宋_GBK" w:hAnsi="方正仿宋_GBK" w:eastAsia="方正仿宋_GBK" w:cs="方正仿宋_GBK"/>
                <w:b/>
                <w:bCs/>
                <w:sz w:val="24"/>
                <w:szCs w:val="24"/>
                <w:highlight w:val="none"/>
              </w:rPr>
            </w:pPr>
          </w:p>
        </w:tc>
        <w:tc>
          <w:tcPr>
            <w:tcW w:w="1813"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工作台</w:t>
            </w:r>
          </w:p>
        </w:tc>
        <w:tc>
          <w:tcPr>
            <w:tcW w:w="97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p>
        </w:tc>
        <w:tc>
          <w:tcPr>
            <w:tcW w:w="265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2张桌子</w:t>
            </w:r>
          </w:p>
        </w:tc>
        <w:tc>
          <w:tcPr>
            <w:tcW w:w="1050"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1套</w:t>
            </w:r>
          </w:p>
        </w:tc>
        <w:tc>
          <w:tcPr>
            <w:tcW w:w="1268"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p>
        </w:tc>
        <w:tc>
          <w:tcPr>
            <w:tcW w:w="887"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814" w:type="dxa"/>
            <w:vMerge w:val="continue"/>
            <w:vAlign w:val="center"/>
          </w:tcPr>
          <w:p>
            <w:pPr>
              <w:jc w:val="center"/>
              <w:rPr>
                <w:rFonts w:hint="eastAsia" w:ascii="方正仿宋_GBK" w:hAnsi="方正仿宋_GBK" w:eastAsia="方正仿宋_GBK" w:cs="方正仿宋_GBK"/>
                <w:b/>
                <w:bCs/>
                <w:sz w:val="24"/>
                <w:szCs w:val="24"/>
                <w:highlight w:val="none"/>
              </w:rPr>
            </w:pPr>
          </w:p>
        </w:tc>
        <w:tc>
          <w:tcPr>
            <w:tcW w:w="1813"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椅子</w:t>
            </w:r>
          </w:p>
        </w:tc>
        <w:tc>
          <w:tcPr>
            <w:tcW w:w="97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p>
        </w:tc>
        <w:tc>
          <w:tcPr>
            <w:tcW w:w="265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p>
        </w:tc>
        <w:tc>
          <w:tcPr>
            <w:tcW w:w="1050"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lang w:val="en-US" w:eastAsia="zh-CN"/>
              </w:rPr>
              <w:t>4</w:t>
            </w:r>
            <w:r>
              <w:rPr>
                <w:rFonts w:hint="eastAsia" w:ascii="方正仿宋_GBK" w:hAnsi="方正仿宋_GBK" w:eastAsia="方正仿宋_GBK" w:cs="方正仿宋_GBK"/>
                <w:spacing w:val="3"/>
                <w:sz w:val="24"/>
                <w:szCs w:val="24"/>
                <w:highlight w:val="none"/>
              </w:rPr>
              <w:t>把</w:t>
            </w:r>
          </w:p>
        </w:tc>
        <w:tc>
          <w:tcPr>
            <w:tcW w:w="1268"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p>
        </w:tc>
        <w:tc>
          <w:tcPr>
            <w:tcW w:w="887"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814" w:type="dxa"/>
            <w:vMerge w:val="continue"/>
            <w:vAlign w:val="center"/>
          </w:tcPr>
          <w:p>
            <w:pPr>
              <w:jc w:val="center"/>
              <w:rPr>
                <w:rFonts w:hint="eastAsia" w:ascii="方正仿宋_GBK" w:hAnsi="方正仿宋_GBK" w:eastAsia="方正仿宋_GBK" w:cs="方正仿宋_GBK"/>
                <w:b/>
                <w:bCs/>
                <w:sz w:val="24"/>
                <w:szCs w:val="24"/>
                <w:highlight w:val="none"/>
              </w:rPr>
            </w:pPr>
          </w:p>
        </w:tc>
        <w:tc>
          <w:tcPr>
            <w:tcW w:w="1813"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柔光灯</w:t>
            </w:r>
          </w:p>
        </w:tc>
        <w:tc>
          <w:tcPr>
            <w:tcW w:w="97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p>
        </w:tc>
        <w:tc>
          <w:tcPr>
            <w:tcW w:w="265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p>
        </w:tc>
        <w:tc>
          <w:tcPr>
            <w:tcW w:w="1050"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1个</w:t>
            </w:r>
          </w:p>
        </w:tc>
        <w:tc>
          <w:tcPr>
            <w:tcW w:w="1268"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p>
        </w:tc>
        <w:tc>
          <w:tcPr>
            <w:tcW w:w="887"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814" w:type="dxa"/>
            <w:vMerge w:val="continue"/>
            <w:vAlign w:val="center"/>
          </w:tcPr>
          <w:p>
            <w:pPr>
              <w:jc w:val="center"/>
              <w:rPr>
                <w:rFonts w:hint="eastAsia" w:ascii="方正仿宋_GBK" w:hAnsi="方正仿宋_GBK" w:eastAsia="方正仿宋_GBK" w:cs="方正仿宋_GBK"/>
                <w:b/>
                <w:bCs/>
                <w:sz w:val="24"/>
                <w:szCs w:val="24"/>
                <w:highlight w:val="none"/>
              </w:rPr>
            </w:pPr>
          </w:p>
        </w:tc>
        <w:tc>
          <w:tcPr>
            <w:tcW w:w="1813"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直播支架</w:t>
            </w:r>
          </w:p>
        </w:tc>
        <w:tc>
          <w:tcPr>
            <w:tcW w:w="97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p>
        </w:tc>
        <w:tc>
          <w:tcPr>
            <w:tcW w:w="265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p>
        </w:tc>
        <w:tc>
          <w:tcPr>
            <w:tcW w:w="1050"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1个</w:t>
            </w:r>
          </w:p>
        </w:tc>
        <w:tc>
          <w:tcPr>
            <w:tcW w:w="1268"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p>
        </w:tc>
        <w:tc>
          <w:tcPr>
            <w:tcW w:w="887"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814" w:type="dxa"/>
            <w:vMerge w:val="continue"/>
            <w:vAlign w:val="center"/>
          </w:tcPr>
          <w:p>
            <w:pPr>
              <w:jc w:val="center"/>
              <w:rPr>
                <w:rFonts w:hint="eastAsia" w:ascii="方正仿宋_GBK" w:hAnsi="方正仿宋_GBK" w:eastAsia="方正仿宋_GBK" w:cs="方正仿宋_GBK"/>
                <w:b/>
                <w:bCs/>
                <w:sz w:val="24"/>
                <w:szCs w:val="24"/>
                <w:highlight w:val="none"/>
              </w:rPr>
            </w:pPr>
          </w:p>
        </w:tc>
        <w:tc>
          <w:tcPr>
            <w:tcW w:w="1813"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直播商品</w:t>
            </w:r>
          </w:p>
        </w:tc>
        <w:tc>
          <w:tcPr>
            <w:tcW w:w="97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p>
        </w:tc>
        <w:tc>
          <w:tcPr>
            <w:tcW w:w="265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p>
        </w:tc>
        <w:tc>
          <w:tcPr>
            <w:tcW w:w="1050"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1个</w:t>
            </w:r>
          </w:p>
        </w:tc>
        <w:tc>
          <w:tcPr>
            <w:tcW w:w="1268"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p>
        </w:tc>
        <w:tc>
          <w:tcPr>
            <w:tcW w:w="887"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814" w:type="dxa"/>
            <w:vMerge w:val="restart"/>
            <w:tcBorders>
              <w:bottom w:val="nil"/>
            </w:tcBorders>
            <w:vAlign w:val="center"/>
          </w:tcPr>
          <w:p>
            <w:pPr>
              <w:spacing w:line="248" w:lineRule="auto"/>
              <w:jc w:val="center"/>
              <w:rPr>
                <w:rFonts w:hint="eastAsia" w:ascii="方正仿宋_GBK" w:hAnsi="方正仿宋_GBK" w:eastAsia="方正仿宋_GBK" w:cs="方正仿宋_GBK"/>
                <w:b/>
                <w:bCs/>
                <w:sz w:val="24"/>
                <w:szCs w:val="24"/>
                <w:highlight w:val="none"/>
              </w:rPr>
            </w:pPr>
          </w:p>
          <w:p>
            <w:pPr>
              <w:spacing w:line="248" w:lineRule="auto"/>
              <w:jc w:val="center"/>
              <w:rPr>
                <w:rFonts w:hint="eastAsia" w:ascii="方正仿宋_GBK" w:hAnsi="方正仿宋_GBK" w:eastAsia="方正仿宋_GBK" w:cs="方正仿宋_GBK"/>
                <w:b/>
                <w:bCs/>
                <w:sz w:val="24"/>
                <w:szCs w:val="24"/>
                <w:highlight w:val="none"/>
              </w:rPr>
            </w:pPr>
          </w:p>
          <w:p>
            <w:pPr>
              <w:spacing w:line="248" w:lineRule="auto"/>
              <w:jc w:val="center"/>
              <w:rPr>
                <w:rFonts w:hint="eastAsia" w:ascii="方正仿宋_GBK" w:hAnsi="方正仿宋_GBK" w:eastAsia="方正仿宋_GBK" w:cs="方正仿宋_GBK"/>
                <w:b/>
                <w:bCs/>
                <w:sz w:val="24"/>
                <w:szCs w:val="24"/>
                <w:highlight w:val="none"/>
              </w:rPr>
            </w:pPr>
          </w:p>
          <w:p>
            <w:pPr>
              <w:spacing w:line="248" w:lineRule="auto"/>
              <w:jc w:val="center"/>
              <w:rPr>
                <w:rFonts w:hint="eastAsia" w:ascii="方正仿宋_GBK" w:hAnsi="方正仿宋_GBK" w:eastAsia="方正仿宋_GBK" w:cs="方正仿宋_GBK"/>
                <w:b/>
                <w:bCs/>
                <w:sz w:val="24"/>
                <w:szCs w:val="24"/>
                <w:highlight w:val="none"/>
              </w:rPr>
            </w:pPr>
          </w:p>
          <w:p>
            <w:pPr>
              <w:spacing w:line="249" w:lineRule="auto"/>
              <w:jc w:val="center"/>
              <w:rPr>
                <w:rFonts w:hint="eastAsia" w:ascii="方正仿宋_GBK" w:hAnsi="方正仿宋_GBK" w:eastAsia="方正仿宋_GBK" w:cs="方正仿宋_GBK"/>
                <w:b/>
                <w:bCs/>
                <w:sz w:val="24"/>
                <w:szCs w:val="24"/>
                <w:highlight w:val="none"/>
              </w:rPr>
            </w:pPr>
          </w:p>
          <w:p>
            <w:pPr>
              <w:spacing w:line="249" w:lineRule="auto"/>
              <w:jc w:val="center"/>
              <w:rPr>
                <w:rFonts w:hint="eastAsia" w:ascii="方正仿宋_GBK" w:hAnsi="方正仿宋_GBK" w:eastAsia="方正仿宋_GBK" w:cs="方正仿宋_GBK"/>
                <w:b/>
                <w:bCs/>
                <w:sz w:val="24"/>
                <w:szCs w:val="24"/>
                <w:highlight w:val="none"/>
              </w:rPr>
            </w:pPr>
          </w:p>
          <w:p>
            <w:pPr>
              <w:pStyle w:val="17"/>
              <w:spacing w:before="84" w:line="219" w:lineRule="auto"/>
              <w:ind w:left="125"/>
              <w:jc w:val="center"/>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pacing w:val="5"/>
                <w:sz w:val="24"/>
                <w:szCs w:val="24"/>
                <w:highlight w:val="none"/>
              </w:rPr>
              <w:t>软件</w:t>
            </w:r>
          </w:p>
        </w:tc>
        <w:tc>
          <w:tcPr>
            <w:tcW w:w="1813"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输入法</w:t>
            </w:r>
          </w:p>
        </w:tc>
        <w:tc>
          <w:tcPr>
            <w:tcW w:w="97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p>
        </w:tc>
        <w:tc>
          <w:tcPr>
            <w:tcW w:w="2651" w:type="dxa"/>
            <w:vAlign w:val="center"/>
          </w:tcPr>
          <w:p>
            <w:pPr>
              <w:pStyle w:val="17"/>
              <w:spacing w:before="88" w:line="219" w:lineRule="auto"/>
              <w:jc w:val="center"/>
              <w:rPr>
                <w:rFonts w:hint="eastAsia" w:ascii="方正仿宋_GBK" w:hAnsi="方正仿宋_GBK" w:eastAsia="方正仿宋_GBK" w:cs="方正仿宋_GBK"/>
                <w:snapToGrid w:val="0"/>
                <w:color w:val="000000"/>
                <w:spacing w:val="3"/>
                <w:kern w:val="0"/>
                <w:sz w:val="24"/>
                <w:szCs w:val="24"/>
                <w:highlight w:val="none"/>
                <w:lang w:val="en-US" w:eastAsia="zh-CN" w:bidi="ar-SA"/>
              </w:rPr>
            </w:pPr>
            <w:r>
              <w:rPr>
                <w:rFonts w:hint="eastAsia" w:ascii="方正仿宋_GBK" w:hAnsi="方正仿宋_GBK" w:eastAsia="方正仿宋_GBK" w:cs="方正仿宋_GBK"/>
                <w:spacing w:val="3"/>
                <w:sz w:val="24"/>
                <w:szCs w:val="24"/>
                <w:highlight w:val="none"/>
              </w:rPr>
              <w:t>搜狗拼音输入</w:t>
            </w:r>
            <w:r>
              <w:rPr>
                <w:rFonts w:hint="eastAsia" w:ascii="方正仿宋_GBK" w:hAnsi="方正仿宋_GBK" w:eastAsia="方正仿宋_GBK" w:cs="方正仿宋_GBK"/>
                <w:spacing w:val="3"/>
                <w:sz w:val="24"/>
                <w:szCs w:val="24"/>
                <w:highlight w:val="none"/>
                <w:lang w:val="en-US" w:eastAsia="zh-CN"/>
              </w:rPr>
              <w:t>法/搜狗五笔输入法</w:t>
            </w:r>
          </w:p>
        </w:tc>
        <w:tc>
          <w:tcPr>
            <w:tcW w:w="1050"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1套</w:t>
            </w:r>
          </w:p>
        </w:tc>
        <w:tc>
          <w:tcPr>
            <w:tcW w:w="1268"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北京搜狗信息服务有限公司</w:t>
            </w:r>
          </w:p>
        </w:tc>
        <w:tc>
          <w:tcPr>
            <w:tcW w:w="887"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14" w:type="dxa"/>
            <w:vMerge w:val="continue"/>
            <w:tcBorders>
              <w:top w:val="nil"/>
              <w:bottom w:val="nil"/>
            </w:tcBorders>
            <w:vAlign w:val="center"/>
          </w:tcPr>
          <w:p>
            <w:pPr>
              <w:jc w:val="center"/>
              <w:rPr>
                <w:rFonts w:hint="eastAsia" w:ascii="方正仿宋_GBK" w:hAnsi="方正仿宋_GBK" w:eastAsia="方正仿宋_GBK" w:cs="方正仿宋_GBK"/>
                <w:b/>
                <w:bCs/>
                <w:sz w:val="24"/>
                <w:szCs w:val="24"/>
                <w:highlight w:val="none"/>
              </w:rPr>
            </w:pPr>
          </w:p>
        </w:tc>
        <w:tc>
          <w:tcPr>
            <w:tcW w:w="1813" w:type="dxa"/>
            <w:vMerge w:val="restart"/>
            <w:shd w:val="clear" w:color="auto" w:fill="auto"/>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浏览器</w:t>
            </w:r>
          </w:p>
        </w:tc>
        <w:tc>
          <w:tcPr>
            <w:tcW w:w="971" w:type="dxa"/>
            <w:tcBorders>
              <w:bottom w:val="single" w:color="auto" w:sz="4" w:space="0"/>
            </w:tcBorders>
            <w:shd w:val="clear" w:color="auto" w:fill="auto"/>
            <w:vAlign w:val="center"/>
          </w:tcPr>
          <w:p>
            <w:pPr>
              <w:pStyle w:val="17"/>
              <w:spacing w:before="88" w:line="219" w:lineRule="auto"/>
              <w:jc w:val="center"/>
              <w:rPr>
                <w:rFonts w:hint="eastAsia" w:ascii="方正仿宋_GBK" w:hAnsi="方正仿宋_GBK" w:eastAsia="方正仿宋_GBK" w:cs="方正仿宋_GBK"/>
                <w:snapToGrid w:val="0"/>
                <w:color w:val="000000"/>
                <w:spacing w:val="3"/>
                <w:kern w:val="0"/>
                <w:sz w:val="24"/>
                <w:szCs w:val="24"/>
                <w:highlight w:val="none"/>
                <w:lang w:val="en-US" w:eastAsia="zh-CN" w:bidi="ar-SA"/>
              </w:rPr>
            </w:pPr>
            <w:r>
              <w:rPr>
                <w:rFonts w:hint="eastAsia" w:ascii="方正仿宋_GBK" w:hAnsi="方正仿宋_GBK" w:eastAsia="方正仿宋_GBK" w:cs="方正仿宋_GBK"/>
                <w:snapToGrid w:val="0"/>
                <w:color w:val="000000"/>
                <w:spacing w:val="3"/>
                <w:kern w:val="0"/>
                <w:sz w:val="24"/>
                <w:szCs w:val="24"/>
                <w:highlight w:val="none"/>
                <w:lang w:val="en-US" w:eastAsia="zh-CN" w:bidi="ar-SA"/>
              </w:rPr>
              <w:t>谷歌浏览器</w:t>
            </w:r>
          </w:p>
        </w:tc>
        <w:tc>
          <w:tcPr>
            <w:tcW w:w="2651" w:type="dxa"/>
            <w:tcBorders>
              <w:bottom w:val="single" w:color="auto" w:sz="4" w:space="0"/>
            </w:tcBorders>
            <w:shd w:val="clear" w:color="auto" w:fill="auto"/>
            <w:vAlign w:val="center"/>
          </w:tcPr>
          <w:p>
            <w:pPr>
              <w:pStyle w:val="17"/>
              <w:spacing w:before="88" w:line="219" w:lineRule="auto"/>
              <w:jc w:val="center"/>
              <w:rPr>
                <w:rFonts w:hint="eastAsia" w:ascii="方正仿宋_GBK" w:hAnsi="方正仿宋_GBK" w:eastAsia="方正仿宋_GBK" w:cs="方正仿宋_GBK"/>
                <w:snapToGrid w:val="0"/>
                <w:color w:val="000000"/>
                <w:spacing w:val="3"/>
                <w:kern w:val="0"/>
                <w:sz w:val="24"/>
                <w:szCs w:val="24"/>
                <w:highlight w:val="none"/>
                <w:lang w:val="en-US" w:eastAsia="zh-CN" w:bidi="ar-SA"/>
              </w:rPr>
            </w:pPr>
            <w:r>
              <w:rPr>
                <w:rFonts w:hint="eastAsia" w:ascii="方正仿宋_GBK" w:hAnsi="方正仿宋_GBK" w:eastAsia="方正仿宋_GBK" w:cs="方正仿宋_GBK"/>
                <w:snapToGrid w:val="0"/>
                <w:color w:val="000000"/>
                <w:spacing w:val="3"/>
                <w:kern w:val="0"/>
                <w:sz w:val="24"/>
                <w:szCs w:val="24"/>
                <w:highlight w:val="none"/>
                <w:lang w:val="en-US" w:eastAsia="zh-CN" w:bidi="ar-SA"/>
              </w:rPr>
              <w:t>谷歌浏览器</w:t>
            </w:r>
          </w:p>
        </w:tc>
        <w:tc>
          <w:tcPr>
            <w:tcW w:w="1050" w:type="dxa"/>
            <w:tcBorders>
              <w:bottom w:val="single" w:color="auto" w:sz="4" w:space="0"/>
            </w:tcBorders>
            <w:shd w:val="clear" w:color="auto" w:fill="auto"/>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1套</w:t>
            </w:r>
          </w:p>
        </w:tc>
        <w:tc>
          <w:tcPr>
            <w:tcW w:w="1268" w:type="dxa"/>
            <w:tcBorders>
              <w:bottom w:val="single" w:color="auto" w:sz="4" w:space="0"/>
            </w:tcBorders>
            <w:shd w:val="clear" w:color="auto" w:fill="auto"/>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Google Inc.</w:t>
            </w:r>
          </w:p>
        </w:tc>
        <w:tc>
          <w:tcPr>
            <w:tcW w:w="887" w:type="dxa"/>
            <w:tcBorders>
              <w:bottom w:val="single" w:color="auto" w:sz="4" w:space="0"/>
            </w:tcBorders>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4" w:type="dxa"/>
            <w:vMerge w:val="continue"/>
            <w:tcBorders>
              <w:top w:val="nil"/>
              <w:bottom w:val="nil"/>
            </w:tcBorders>
            <w:vAlign w:val="center"/>
          </w:tcPr>
          <w:p>
            <w:pPr>
              <w:jc w:val="center"/>
              <w:rPr>
                <w:rFonts w:hint="eastAsia" w:ascii="方正仿宋_GBK" w:hAnsi="方正仿宋_GBK" w:eastAsia="方正仿宋_GBK" w:cs="方正仿宋_GBK"/>
                <w:b/>
                <w:bCs/>
                <w:sz w:val="24"/>
                <w:szCs w:val="24"/>
                <w:highlight w:val="none"/>
              </w:rPr>
            </w:pPr>
          </w:p>
        </w:tc>
        <w:tc>
          <w:tcPr>
            <w:tcW w:w="1813" w:type="dxa"/>
            <w:vMerge w:val="continue"/>
            <w:shd w:val="clear" w:color="auto" w:fill="auto"/>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p>
        </w:tc>
        <w:tc>
          <w:tcPr>
            <w:tcW w:w="971" w:type="dxa"/>
            <w:tcBorders>
              <w:top w:val="single" w:color="auto" w:sz="4" w:space="0"/>
            </w:tcBorders>
            <w:shd w:val="clear" w:color="auto" w:fill="auto"/>
            <w:vAlign w:val="center"/>
          </w:tcPr>
          <w:p>
            <w:pPr>
              <w:pStyle w:val="17"/>
              <w:spacing w:before="88" w:line="219" w:lineRule="auto"/>
              <w:jc w:val="center"/>
              <w:rPr>
                <w:rFonts w:hint="eastAsia" w:ascii="方正仿宋_GBK" w:hAnsi="方正仿宋_GBK" w:eastAsia="方正仿宋_GBK" w:cs="方正仿宋_GBK"/>
                <w:snapToGrid w:val="0"/>
                <w:color w:val="000000"/>
                <w:spacing w:val="3"/>
                <w:kern w:val="0"/>
                <w:sz w:val="24"/>
                <w:szCs w:val="24"/>
                <w:highlight w:val="none"/>
                <w:lang w:val="en-US" w:eastAsia="zh-CN" w:bidi="ar-SA"/>
              </w:rPr>
            </w:pPr>
            <w:r>
              <w:rPr>
                <w:rFonts w:hint="eastAsia" w:ascii="方正仿宋_GBK" w:hAnsi="方正仿宋_GBK" w:eastAsia="方正仿宋_GBK" w:cs="方正仿宋_GBK"/>
                <w:snapToGrid w:val="0"/>
                <w:color w:val="000000"/>
                <w:spacing w:val="3"/>
                <w:kern w:val="0"/>
                <w:sz w:val="24"/>
                <w:szCs w:val="24"/>
                <w:highlight w:val="none"/>
                <w:lang w:val="en-US" w:eastAsia="zh-CN" w:bidi="ar-SA"/>
              </w:rPr>
              <w:t>火狐浏览器</w:t>
            </w:r>
          </w:p>
        </w:tc>
        <w:tc>
          <w:tcPr>
            <w:tcW w:w="2651" w:type="dxa"/>
            <w:tcBorders>
              <w:top w:val="single" w:color="auto" w:sz="4" w:space="0"/>
            </w:tcBorders>
            <w:shd w:val="clear" w:color="auto" w:fill="auto"/>
            <w:vAlign w:val="center"/>
          </w:tcPr>
          <w:p>
            <w:pPr>
              <w:pStyle w:val="17"/>
              <w:spacing w:before="88" w:line="219" w:lineRule="auto"/>
              <w:jc w:val="center"/>
              <w:rPr>
                <w:rFonts w:hint="eastAsia" w:ascii="方正仿宋_GBK" w:hAnsi="方正仿宋_GBK" w:eastAsia="方正仿宋_GBK" w:cs="方正仿宋_GBK"/>
                <w:snapToGrid w:val="0"/>
                <w:color w:val="000000"/>
                <w:spacing w:val="3"/>
                <w:kern w:val="0"/>
                <w:sz w:val="24"/>
                <w:szCs w:val="24"/>
                <w:highlight w:val="none"/>
                <w:lang w:val="en-US" w:eastAsia="zh-CN" w:bidi="ar-SA"/>
              </w:rPr>
            </w:pPr>
            <w:r>
              <w:rPr>
                <w:rFonts w:hint="eastAsia" w:ascii="方正仿宋_GBK" w:hAnsi="方正仿宋_GBK" w:eastAsia="方正仿宋_GBK" w:cs="方正仿宋_GBK"/>
                <w:snapToGrid w:val="0"/>
                <w:color w:val="000000"/>
                <w:spacing w:val="3"/>
                <w:kern w:val="0"/>
                <w:sz w:val="24"/>
                <w:szCs w:val="24"/>
                <w:highlight w:val="none"/>
                <w:lang w:val="en-US" w:eastAsia="zh-CN" w:bidi="ar-SA"/>
              </w:rPr>
              <w:t>火狐浏览器</w:t>
            </w:r>
          </w:p>
        </w:tc>
        <w:tc>
          <w:tcPr>
            <w:tcW w:w="1050" w:type="dxa"/>
            <w:tcBorders>
              <w:top w:val="single" w:color="auto" w:sz="4" w:space="0"/>
            </w:tcBorders>
            <w:shd w:val="clear" w:color="auto" w:fill="auto"/>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1套</w:t>
            </w:r>
          </w:p>
        </w:tc>
        <w:tc>
          <w:tcPr>
            <w:tcW w:w="1268" w:type="dxa"/>
            <w:tcBorders>
              <w:top w:val="single" w:color="auto" w:sz="4" w:space="0"/>
            </w:tcBorders>
            <w:shd w:val="clear" w:color="auto" w:fill="auto"/>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北京谋智网络技术有限公司</w:t>
            </w:r>
          </w:p>
        </w:tc>
        <w:tc>
          <w:tcPr>
            <w:tcW w:w="887" w:type="dxa"/>
            <w:tcBorders>
              <w:top w:val="single" w:color="auto" w:sz="4" w:space="0"/>
            </w:tcBorders>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14" w:type="dxa"/>
            <w:vMerge w:val="continue"/>
            <w:tcBorders>
              <w:top w:val="nil"/>
              <w:bottom w:val="nil"/>
            </w:tcBorders>
            <w:vAlign w:val="center"/>
          </w:tcPr>
          <w:p>
            <w:pPr>
              <w:jc w:val="center"/>
              <w:rPr>
                <w:rFonts w:hint="eastAsia" w:ascii="方正仿宋_GBK" w:hAnsi="方正仿宋_GBK" w:eastAsia="方正仿宋_GBK" w:cs="方正仿宋_GBK"/>
                <w:b/>
                <w:bCs/>
                <w:sz w:val="24"/>
                <w:szCs w:val="24"/>
                <w:highlight w:val="none"/>
              </w:rPr>
            </w:pPr>
          </w:p>
        </w:tc>
        <w:tc>
          <w:tcPr>
            <w:tcW w:w="1813" w:type="dxa"/>
            <w:shd w:val="clear" w:color="auto" w:fill="auto"/>
            <w:vAlign w:val="center"/>
          </w:tcPr>
          <w:p>
            <w:pPr>
              <w:pStyle w:val="17"/>
              <w:spacing w:before="88" w:line="219" w:lineRule="auto"/>
              <w:jc w:val="center"/>
              <w:rPr>
                <w:rFonts w:hint="eastAsia" w:ascii="方正仿宋_GBK" w:hAnsi="方正仿宋_GBK" w:eastAsia="方正仿宋_GBK" w:cs="方正仿宋_GBK"/>
                <w:snapToGrid w:val="0"/>
                <w:color w:val="000000"/>
                <w:spacing w:val="3"/>
                <w:kern w:val="0"/>
                <w:sz w:val="24"/>
                <w:szCs w:val="24"/>
                <w:highlight w:val="none"/>
                <w:lang w:val="en-US" w:eastAsia="en-US" w:bidi="ar-SA"/>
              </w:rPr>
            </w:pPr>
            <w:r>
              <w:rPr>
                <w:rFonts w:hint="eastAsia" w:ascii="方正仿宋_GBK" w:hAnsi="方正仿宋_GBK" w:eastAsia="方正仿宋_GBK" w:cs="方正仿宋_GBK"/>
                <w:spacing w:val="3"/>
                <w:sz w:val="24"/>
                <w:szCs w:val="24"/>
                <w:highlight w:val="none"/>
              </w:rPr>
              <w:t>Photoshop</w:t>
            </w:r>
          </w:p>
        </w:tc>
        <w:tc>
          <w:tcPr>
            <w:tcW w:w="971" w:type="dxa"/>
            <w:shd w:val="clear" w:color="auto" w:fill="auto"/>
            <w:vAlign w:val="center"/>
          </w:tcPr>
          <w:p>
            <w:pPr>
              <w:pStyle w:val="17"/>
              <w:spacing w:before="88" w:line="219" w:lineRule="auto"/>
              <w:jc w:val="center"/>
              <w:rPr>
                <w:rFonts w:hint="eastAsia" w:ascii="方正仿宋_GBK" w:hAnsi="方正仿宋_GBK" w:eastAsia="方正仿宋_GBK" w:cs="方正仿宋_GBK"/>
                <w:snapToGrid w:val="0"/>
                <w:color w:val="000000"/>
                <w:spacing w:val="3"/>
                <w:kern w:val="0"/>
                <w:sz w:val="24"/>
                <w:szCs w:val="24"/>
                <w:highlight w:val="none"/>
                <w:lang w:val="en-US" w:eastAsia="zh-CN" w:bidi="ar-SA"/>
              </w:rPr>
            </w:pPr>
          </w:p>
        </w:tc>
        <w:tc>
          <w:tcPr>
            <w:tcW w:w="2651" w:type="dxa"/>
            <w:shd w:val="clear" w:color="auto" w:fill="auto"/>
            <w:vAlign w:val="center"/>
          </w:tcPr>
          <w:p>
            <w:pPr>
              <w:pStyle w:val="17"/>
              <w:spacing w:before="88" w:line="219" w:lineRule="auto"/>
              <w:jc w:val="center"/>
              <w:rPr>
                <w:rFonts w:hint="eastAsia" w:ascii="方正仿宋_GBK" w:hAnsi="方正仿宋_GBK" w:eastAsia="方正仿宋_GBK" w:cs="方正仿宋_GBK"/>
                <w:snapToGrid w:val="0"/>
                <w:color w:val="000000"/>
                <w:spacing w:val="3"/>
                <w:kern w:val="0"/>
                <w:sz w:val="24"/>
                <w:szCs w:val="24"/>
                <w:highlight w:val="none"/>
                <w:lang w:val="en-US" w:eastAsia="en-US" w:bidi="ar-SA"/>
              </w:rPr>
            </w:pPr>
            <w:r>
              <w:rPr>
                <w:rFonts w:hint="eastAsia" w:ascii="方正仿宋_GBK" w:hAnsi="方正仿宋_GBK" w:eastAsia="方正仿宋_GBK" w:cs="方正仿宋_GBK"/>
                <w:spacing w:val="3"/>
                <w:sz w:val="24"/>
                <w:szCs w:val="24"/>
                <w:highlight w:val="none"/>
              </w:rPr>
              <w:t>Photoshop CS6</w:t>
            </w:r>
          </w:p>
        </w:tc>
        <w:tc>
          <w:tcPr>
            <w:tcW w:w="1050" w:type="dxa"/>
            <w:shd w:val="clear" w:color="auto" w:fill="auto"/>
            <w:vAlign w:val="center"/>
          </w:tcPr>
          <w:p>
            <w:pPr>
              <w:pStyle w:val="17"/>
              <w:spacing w:before="88" w:line="219" w:lineRule="auto"/>
              <w:jc w:val="center"/>
              <w:rPr>
                <w:rFonts w:hint="eastAsia" w:ascii="方正仿宋_GBK" w:hAnsi="方正仿宋_GBK" w:eastAsia="方正仿宋_GBK" w:cs="方正仿宋_GBK"/>
                <w:snapToGrid w:val="0"/>
                <w:color w:val="000000"/>
                <w:spacing w:val="3"/>
                <w:kern w:val="0"/>
                <w:sz w:val="24"/>
                <w:szCs w:val="24"/>
                <w:highlight w:val="none"/>
                <w:lang w:val="en-US" w:eastAsia="en-US" w:bidi="ar-SA"/>
              </w:rPr>
            </w:pPr>
            <w:r>
              <w:rPr>
                <w:rFonts w:hint="eastAsia" w:ascii="方正仿宋_GBK" w:hAnsi="方正仿宋_GBK" w:eastAsia="方正仿宋_GBK" w:cs="方正仿宋_GBK"/>
                <w:spacing w:val="3"/>
                <w:sz w:val="24"/>
                <w:szCs w:val="24"/>
                <w:highlight w:val="none"/>
              </w:rPr>
              <w:t>1套</w:t>
            </w:r>
          </w:p>
        </w:tc>
        <w:tc>
          <w:tcPr>
            <w:tcW w:w="1268" w:type="dxa"/>
            <w:shd w:val="clear" w:color="auto" w:fill="auto"/>
            <w:vAlign w:val="center"/>
          </w:tcPr>
          <w:p>
            <w:pPr>
              <w:pStyle w:val="17"/>
              <w:spacing w:before="88" w:line="219" w:lineRule="auto"/>
              <w:jc w:val="center"/>
              <w:rPr>
                <w:rFonts w:hint="eastAsia" w:ascii="方正仿宋_GBK" w:hAnsi="方正仿宋_GBK" w:eastAsia="方正仿宋_GBK" w:cs="方正仿宋_GBK"/>
                <w:snapToGrid w:val="0"/>
                <w:color w:val="000000"/>
                <w:spacing w:val="3"/>
                <w:kern w:val="0"/>
                <w:sz w:val="24"/>
                <w:szCs w:val="24"/>
                <w:highlight w:val="none"/>
                <w:lang w:val="en-US" w:eastAsia="en-US" w:bidi="ar-SA"/>
              </w:rPr>
            </w:pPr>
            <w:r>
              <w:rPr>
                <w:rFonts w:hint="eastAsia" w:ascii="方正仿宋_GBK" w:hAnsi="方正仿宋_GBK" w:eastAsia="方正仿宋_GBK" w:cs="方正仿宋_GBK"/>
                <w:spacing w:val="3"/>
                <w:sz w:val="24"/>
                <w:szCs w:val="24"/>
                <w:highlight w:val="none"/>
              </w:rPr>
              <w:t>Adobe</w:t>
            </w:r>
          </w:p>
        </w:tc>
        <w:tc>
          <w:tcPr>
            <w:tcW w:w="887"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814" w:type="dxa"/>
            <w:vMerge w:val="continue"/>
            <w:tcBorders>
              <w:top w:val="nil"/>
              <w:bottom w:val="nil"/>
            </w:tcBorders>
            <w:vAlign w:val="center"/>
          </w:tcPr>
          <w:p>
            <w:pPr>
              <w:jc w:val="center"/>
              <w:rPr>
                <w:rFonts w:hint="eastAsia" w:ascii="方正仿宋_GBK" w:hAnsi="方正仿宋_GBK" w:eastAsia="方正仿宋_GBK" w:cs="方正仿宋_GBK"/>
                <w:b/>
                <w:bCs/>
                <w:sz w:val="24"/>
                <w:szCs w:val="24"/>
                <w:highlight w:val="none"/>
              </w:rPr>
            </w:pPr>
          </w:p>
        </w:tc>
        <w:tc>
          <w:tcPr>
            <w:tcW w:w="1813"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OFFICE</w:t>
            </w:r>
          </w:p>
        </w:tc>
        <w:tc>
          <w:tcPr>
            <w:tcW w:w="97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p>
        </w:tc>
        <w:tc>
          <w:tcPr>
            <w:tcW w:w="265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rPr>
              <w:t>OFFICE</w:t>
            </w:r>
          </w:p>
        </w:tc>
        <w:tc>
          <w:tcPr>
            <w:tcW w:w="1050"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1套</w:t>
            </w:r>
          </w:p>
        </w:tc>
        <w:tc>
          <w:tcPr>
            <w:tcW w:w="1268"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Microsoft</w:t>
            </w:r>
          </w:p>
        </w:tc>
        <w:tc>
          <w:tcPr>
            <w:tcW w:w="887"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814" w:type="dxa"/>
            <w:vMerge w:val="continue"/>
            <w:tcBorders>
              <w:top w:val="nil"/>
              <w:bottom w:val="nil"/>
            </w:tcBorders>
            <w:vAlign w:val="center"/>
          </w:tcPr>
          <w:p>
            <w:pPr>
              <w:jc w:val="center"/>
              <w:rPr>
                <w:rFonts w:hint="eastAsia" w:ascii="方正仿宋_GBK" w:hAnsi="方正仿宋_GBK" w:eastAsia="方正仿宋_GBK" w:cs="方正仿宋_GBK"/>
                <w:b/>
                <w:bCs/>
                <w:sz w:val="24"/>
                <w:szCs w:val="24"/>
                <w:highlight w:val="none"/>
              </w:rPr>
            </w:pPr>
          </w:p>
        </w:tc>
        <w:tc>
          <w:tcPr>
            <w:tcW w:w="1813" w:type="dxa"/>
            <w:shd w:val="clear" w:color="auto" w:fill="auto"/>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跨境电子商务视觉营销设计实训系统</w:t>
            </w:r>
          </w:p>
        </w:tc>
        <w:tc>
          <w:tcPr>
            <w:tcW w:w="97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V1.0</w:t>
            </w:r>
          </w:p>
        </w:tc>
        <w:tc>
          <w:tcPr>
            <w:tcW w:w="2651" w:type="dxa"/>
            <w:vAlign w:val="top"/>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面向视觉营销设计岗位(群)，提供实际工作所需的店铺LOGO、店招、Banner 设计制作、商品主图设计制作、商品详情页视觉营销设计制作等功能。</w:t>
            </w:r>
          </w:p>
        </w:tc>
        <w:tc>
          <w:tcPr>
            <w:tcW w:w="1050"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1套</w:t>
            </w:r>
          </w:p>
        </w:tc>
        <w:tc>
          <w:tcPr>
            <w:tcW w:w="1268"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中教畅享科技股份有限公司</w:t>
            </w:r>
          </w:p>
        </w:tc>
        <w:tc>
          <w:tcPr>
            <w:tcW w:w="887"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814" w:type="dxa"/>
            <w:vMerge w:val="continue"/>
            <w:tcBorders>
              <w:top w:val="nil"/>
            </w:tcBorders>
            <w:vAlign w:val="center"/>
          </w:tcPr>
          <w:p>
            <w:pPr>
              <w:jc w:val="center"/>
              <w:rPr>
                <w:rFonts w:hint="eastAsia" w:ascii="方正仿宋_GBK" w:hAnsi="方正仿宋_GBK" w:eastAsia="方正仿宋_GBK" w:cs="方正仿宋_GBK"/>
                <w:b/>
                <w:bCs/>
                <w:sz w:val="24"/>
                <w:szCs w:val="24"/>
                <w:highlight w:val="none"/>
              </w:rPr>
            </w:pPr>
          </w:p>
        </w:tc>
        <w:tc>
          <w:tcPr>
            <w:tcW w:w="1813" w:type="dxa"/>
            <w:shd w:val="clear" w:color="auto" w:fill="auto"/>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跨境电子商务直播实训系统</w:t>
            </w:r>
          </w:p>
        </w:tc>
        <w:tc>
          <w:tcPr>
            <w:tcW w:w="97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V1.0</w:t>
            </w:r>
          </w:p>
        </w:tc>
        <w:tc>
          <w:tcPr>
            <w:tcW w:w="265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面向跨境电商直播岗位(群)，提供实际工作所需的直播策划、直播销售等功能。</w:t>
            </w:r>
          </w:p>
        </w:tc>
        <w:tc>
          <w:tcPr>
            <w:tcW w:w="1050"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en-US"/>
              </w:rPr>
            </w:pPr>
            <w:r>
              <w:rPr>
                <w:rFonts w:hint="eastAsia" w:ascii="方正仿宋_GBK" w:hAnsi="方正仿宋_GBK" w:eastAsia="方正仿宋_GBK" w:cs="方正仿宋_GBK"/>
                <w:spacing w:val="3"/>
                <w:sz w:val="24"/>
                <w:szCs w:val="24"/>
                <w:highlight w:val="none"/>
              </w:rPr>
              <w:t>1套</w:t>
            </w:r>
          </w:p>
        </w:tc>
        <w:tc>
          <w:tcPr>
            <w:tcW w:w="1268"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en-US"/>
              </w:rPr>
            </w:pPr>
            <w:r>
              <w:rPr>
                <w:rFonts w:hint="eastAsia" w:ascii="方正仿宋_GBK" w:hAnsi="方正仿宋_GBK" w:eastAsia="方正仿宋_GBK" w:cs="方正仿宋_GBK"/>
                <w:spacing w:val="3"/>
                <w:sz w:val="24"/>
                <w:szCs w:val="24"/>
                <w:highlight w:val="none"/>
                <w:lang w:val="en-US" w:eastAsia="zh-CN"/>
              </w:rPr>
              <w:t>中教畅享科技股份有限公司</w:t>
            </w:r>
          </w:p>
        </w:tc>
        <w:tc>
          <w:tcPr>
            <w:tcW w:w="887"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814" w:type="dxa"/>
            <w:vMerge w:val="continue"/>
            <w:tcBorders>
              <w:top w:val="nil"/>
            </w:tcBorders>
            <w:vAlign w:val="center"/>
          </w:tcPr>
          <w:p>
            <w:pPr>
              <w:jc w:val="center"/>
              <w:rPr>
                <w:rFonts w:hint="eastAsia" w:ascii="方正仿宋_GBK" w:hAnsi="方正仿宋_GBK" w:eastAsia="方正仿宋_GBK" w:cs="方正仿宋_GBK"/>
                <w:b/>
                <w:bCs/>
                <w:sz w:val="24"/>
                <w:szCs w:val="24"/>
                <w:highlight w:val="none"/>
              </w:rPr>
            </w:pPr>
          </w:p>
        </w:tc>
        <w:tc>
          <w:tcPr>
            <w:tcW w:w="1813" w:type="dxa"/>
            <w:shd w:val="clear" w:color="auto" w:fill="auto"/>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跨境电子商务数据分析与应用系统</w:t>
            </w:r>
          </w:p>
        </w:tc>
        <w:tc>
          <w:tcPr>
            <w:tcW w:w="97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lang w:val="en-US" w:eastAsia="zh-CN"/>
              </w:rPr>
              <w:t>V1.0</w:t>
            </w:r>
          </w:p>
        </w:tc>
        <w:tc>
          <w:tcPr>
            <w:tcW w:w="2651"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面向跨境电商数据分析岗位（群），提供实际工作所需的数据采集、数据处理、数据分析、数据可视化等功能。</w:t>
            </w:r>
          </w:p>
        </w:tc>
        <w:tc>
          <w:tcPr>
            <w:tcW w:w="1050"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1套</w:t>
            </w:r>
          </w:p>
        </w:tc>
        <w:tc>
          <w:tcPr>
            <w:tcW w:w="1268" w:type="dxa"/>
            <w:vAlign w:val="center"/>
          </w:tcPr>
          <w:p>
            <w:pPr>
              <w:pStyle w:val="17"/>
              <w:spacing w:before="88" w:line="219" w:lineRule="auto"/>
              <w:jc w:val="center"/>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lang w:val="en-US" w:eastAsia="zh-CN"/>
              </w:rPr>
              <w:t>中教畅享科技股份有限公司</w:t>
            </w:r>
          </w:p>
        </w:tc>
        <w:tc>
          <w:tcPr>
            <w:tcW w:w="887"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814" w:type="dxa"/>
            <w:vAlign w:val="center"/>
          </w:tcPr>
          <w:p>
            <w:pPr>
              <w:pStyle w:val="17"/>
              <w:spacing w:before="85" w:line="221" w:lineRule="auto"/>
              <w:ind w:left="125"/>
              <w:jc w:val="center"/>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pacing w:val="7"/>
                <w:sz w:val="24"/>
                <w:szCs w:val="24"/>
                <w:highlight w:val="none"/>
              </w:rPr>
              <w:t>工具</w:t>
            </w:r>
          </w:p>
        </w:tc>
        <w:tc>
          <w:tcPr>
            <w:tcW w:w="1813" w:type="dxa"/>
            <w:vAlign w:val="center"/>
          </w:tcPr>
          <w:p>
            <w:pPr>
              <w:pStyle w:val="17"/>
              <w:spacing w:before="85" w:line="227" w:lineRule="auto"/>
              <w:ind w:left="661"/>
              <w:jc w:val="both"/>
              <w:rPr>
                <w:rFonts w:hint="eastAsia" w:ascii="方正仿宋_GBK" w:hAnsi="方正仿宋_GBK" w:eastAsia="方正仿宋_GBK" w:cs="方正仿宋_GBK"/>
                <w:sz w:val="24"/>
                <w:szCs w:val="24"/>
                <w:highlight w:val="none"/>
              </w:rPr>
            </w:pPr>
          </w:p>
        </w:tc>
        <w:tc>
          <w:tcPr>
            <w:tcW w:w="971" w:type="dxa"/>
            <w:vAlign w:val="center"/>
          </w:tcPr>
          <w:p>
            <w:pPr>
              <w:pStyle w:val="17"/>
              <w:spacing w:before="187" w:line="188" w:lineRule="auto"/>
              <w:ind w:left="123"/>
              <w:jc w:val="center"/>
              <w:rPr>
                <w:rFonts w:hint="eastAsia" w:ascii="方正仿宋_GBK" w:hAnsi="方正仿宋_GBK" w:eastAsia="方正仿宋_GBK" w:cs="方正仿宋_GBK"/>
                <w:sz w:val="24"/>
                <w:szCs w:val="24"/>
                <w:highlight w:val="none"/>
              </w:rPr>
            </w:pPr>
          </w:p>
        </w:tc>
        <w:tc>
          <w:tcPr>
            <w:tcW w:w="2651" w:type="dxa"/>
            <w:vAlign w:val="center"/>
          </w:tcPr>
          <w:p>
            <w:pPr>
              <w:jc w:val="center"/>
              <w:rPr>
                <w:rFonts w:hint="eastAsia" w:ascii="方正仿宋_GBK" w:hAnsi="方正仿宋_GBK" w:eastAsia="方正仿宋_GBK" w:cs="方正仿宋_GBK"/>
                <w:sz w:val="24"/>
                <w:szCs w:val="24"/>
                <w:highlight w:val="none"/>
              </w:rPr>
            </w:pPr>
          </w:p>
        </w:tc>
        <w:tc>
          <w:tcPr>
            <w:tcW w:w="1050" w:type="dxa"/>
            <w:vAlign w:val="center"/>
          </w:tcPr>
          <w:p>
            <w:pPr>
              <w:pStyle w:val="17"/>
              <w:spacing w:before="85" w:line="219" w:lineRule="auto"/>
              <w:ind w:left="187"/>
              <w:jc w:val="both"/>
              <w:rPr>
                <w:rFonts w:hint="eastAsia" w:ascii="方正仿宋_GBK" w:hAnsi="方正仿宋_GBK" w:eastAsia="方正仿宋_GBK" w:cs="方正仿宋_GBK"/>
                <w:sz w:val="24"/>
                <w:szCs w:val="24"/>
                <w:highlight w:val="none"/>
              </w:rPr>
            </w:pPr>
          </w:p>
        </w:tc>
        <w:tc>
          <w:tcPr>
            <w:tcW w:w="1268" w:type="dxa"/>
            <w:vAlign w:val="center"/>
          </w:tcPr>
          <w:p>
            <w:pPr>
              <w:jc w:val="center"/>
              <w:rPr>
                <w:rFonts w:hint="eastAsia" w:ascii="方正仿宋_GBK" w:hAnsi="方正仿宋_GBK" w:eastAsia="方正仿宋_GBK" w:cs="方正仿宋_GBK"/>
                <w:sz w:val="24"/>
                <w:szCs w:val="24"/>
                <w:highlight w:val="none"/>
              </w:rPr>
            </w:pPr>
          </w:p>
        </w:tc>
        <w:tc>
          <w:tcPr>
            <w:tcW w:w="887"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14" w:type="dxa"/>
            <w:vAlign w:val="center"/>
          </w:tcPr>
          <w:p>
            <w:pPr>
              <w:pStyle w:val="17"/>
              <w:spacing w:before="177" w:line="219" w:lineRule="auto"/>
              <w:ind w:left="125"/>
              <w:jc w:val="both"/>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pacing w:val="6"/>
                <w:sz w:val="24"/>
                <w:szCs w:val="24"/>
                <w:highlight w:val="none"/>
              </w:rPr>
              <w:t>技术</w:t>
            </w:r>
          </w:p>
          <w:p>
            <w:pPr>
              <w:pStyle w:val="17"/>
              <w:spacing w:before="277" w:line="219" w:lineRule="auto"/>
              <w:ind w:left="128"/>
              <w:jc w:val="both"/>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pacing w:val="-6"/>
                <w:sz w:val="24"/>
                <w:szCs w:val="24"/>
                <w:highlight w:val="none"/>
              </w:rPr>
              <w:t>支持</w:t>
            </w:r>
          </w:p>
        </w:tc>
        <w:tc>
          <w:tcPr>
            <w:tcW w:w="8640" w:type="dxa"/>
            <w:gridSpan w:val="6"/>
            <w:vAlign w:val="center"/>
          </w:tcPr>
          <w:p>
            <w:pPr>
              <w:pStyle w:val="17"/>
              <w:spacing w:before="167" w:line="219" w:lineRule="auto"/>
              <w:ind w:left="12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
                <w:sz w:val="24"/>
                <w:szCs w:val="24"/>
                <w:highlight w:val="none"/>
              </w:rPr>
              <w:t>(情况概述包括设备技术保障、安全操作规范要求等)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814" w:type="dxa"/>
            <w:vAlign w:val="center"/>
          </w:tcPr>
          <w:p>
            <w:pPr>
              <w:pStyle w:val="17"/>
              <w:spacing w:before="175" w:line="220" w:lineRule="auto"/>
              <w:ind w:left="128"/>
              <w:jc w:val="both"/>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pacing w:val="-6"/>
                <w:sz w:val="24"/>
                <w:szCs w:val="24"/>
                <w:highlight w:val="none"/>
              </w:rPr>
              <w:t>场地</w:t>
            </w:r>
          </w:p>
          <w:p>
            <w:pPr>
              <w:pStyle w:val="17"/>
              <w:spacing w:before="302" w:line="221" w:lineRule="auto"/>
              <w:ind w:left="128"/>
              <w:jc w:val="both"/>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pacing w:val="-6"/>
                <w:sz w:val="24"/>
                <w:szCs w:val="24"/>
                <w:highlight w:val="none"/>
              </w:rPr>
              <w:t>及环</w:t>
            </w:r>
          </w:p>
          <w:p>
            <w:pPr>
              <w:pStyle w:val="17"/>
              <w:spacing w:before="266" w:line="220" w:lineRule="auto"/>
              <w:ind w:left="258"/>
              <w:jc w:val="both"/>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pacing w:val="-3"/>
                <w:sz w:val="24"/>
                <w:szCs w:val="24"/>
                <w:highlight w:val="none"/>
              </w:rPr>
              <w:t>境</w:t>
            </w:r>
          </w:p>
        </w:tc>
        <w:tc>
          <w:tcPr>
            <w:tcW w:w="8640" w:type="dxa"/>
            <w:gridSpan w:val="6"/>
            <w:vAlign w:val="center"/>
          </w:tcPr>
          <w:p>
            <w:pPr>
              <w:pStyle w:val="17"/>
              <w:spacing w:before="198" w:line="219" w:lineRule="auto"/>
              <w:ind w:left="12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4"/>
                <w:sz w:val="24"/>
                <w:szCs w:val="24"/>
                <w:highlight w:val="none"/>
              </w:rPr>
              <w:t>(场地、水、气、电、网等)</w:t>
            </w:r>
          </w:p>
          <w:p>
            <w:pPr>
              <w:pStyle w:val="17"/>
              <w:spacing w:before="159" w:line="219" w:lineRule="auto"/>
              <w:ind w:left="12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标识</w:t>
            </w:r>
            <w:r>
              <w:rPr>
                <w:rFonts w:hint="eastAsia" w:ascii="方正仿宋_GBK" w:hAnsi="方正仿宋_GBK" w:eastAsia="方正仿宋_GBK" w:cs="方正仿宋_GBK"/>
                <w:sz w:val="24"/>
                <w:szCs w:val="24"/>
                <w:highlight w:val="none"/>
              </w:rPr>
              <w:t>清晰的</w:t>
            </w:r>
            <w:r>
              <w:rPr>
                <w:rFonts w:hint="eastAsia" w:ascii="方正仿宋_GBK" w:hAnsi="方正仿宋_GBK" w:eastAsia="方正仿宋_GBK" w:cs="方正仿宋_GBK"/>
                <w:sz w:val="24"/>
                <w:szCs w:val="24"/>
                <w:highlight w:val="none"/>
                <w:lang w:val="en-US" w:eastAsia="zh-CN"/>
              </w:rPr>
              <w:t>工作台</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220V电源；不提供互联网接入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14" w:type="dxa"/>
            <w:vAlign w:val="center"/>
          </w:tcPr>
          <w:p>
            <w:pPr>
              <w:pStyle w:val="17"/>
              <w:spacing w:before="85" w:line="220" w:lineRule="auto"/>
              <w:ind w:left="128"/>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pacing w:val="-6"/>
                <w:sz w:val="24"/>
                <w:szCs w:val="24"/>
                <w:highlight w:val="none"/>
              </w:rPr>
              <w:t>其他</w:t>
            </w:r>
          </w:p>
        </w:tc>
        <w:tc>
          <w:tcPr>
            <w:tcW w:w="8640" w:type="dxa"/>
            <w:gridSpan w:val="6"/>
            <w:vAlign w:val="center"/>
          </w:tcPr>
          <w:p>
            <w:pPr>
              <w:jc w:val="center"/>
              <w:rPr>
                <w:rFonts w:hint="eastAsia" w:ascii="方正仿宋_GBK" w:hAnsi="方正仿宋_GBK" w:eastAsia="方正仿宋_GBK" w:cs="方正仿宋_GBK"/>
                <w:sz w:val="24"/>
                <w:szCs w:val="24"/>
                <w:highlight w:val="none"/>
              </w:rPr>
            </w:pPr>
          </w:p>
        </w:tc>
      </w:tr>
    </w:tbl>
    <w:p>
      <w:pPr>
        <w:rPr>
          <w:rFonts w:hint="eastAsia" w:ascii="黑体" w:hAnsi="黑体" w:eastAsia="黑体"/>
          <w:sz w:val="32"/>
          <w:szCs w:val="32"/>
          <w:highlight w:val="none"/>
        </w:rPr>
      </w:pPr>
      <w:r>
        <w:rPr>
          <w:rFonts w:hint="eastAsia" w:ascii="黑体" w:hAnsi="黑体" w:eastAsia="黑体"/>
          <w:sz w:val="32"/>
          <w:szCs w:val="32"/>
          <w:highlight w:val="none"/>
        </w:rPr>
        <w:br w:type="page"/>
      </w:r>
    </w:p>
    <w:p>
      <w:pPr>
        <w:pageBreakBefore w:val="0"/>
        <w:kinsoku/>
        <w:wordWrap w:val="0"/>
        <w:overflowPunct/>
        <w:topLinePunct w:val="0"/>
        <w:autoSpaceDN w:val="0"/>
        <w:bidi w:val="0"/>
        <w:spacing w:line="360" w:lineRule="auto"/>
        <w:jc w:val="both"/>
        <w:rPr>
          <w:rFonts w:hint="default" w:ascii="黑体" w:hAnsi="黑体" w:eastAsia="黑体"/>
          <w:sz w:val="32"/>
          <w:szCs w:val="32"/>
          <w:highlight w:val="none"/>
          <w:lang w:val="en-US" w:eastAsia="zh-CN"/>
        </w:rPr>
      </w:pPr>
      <w:r>
        <w:rPr>
          <w:rFonts w:hint="eastAsia" w:ascii="黑体" w:hAnsi="黑体" w:eastAsia="黑体"/>
          <w:sz w:val="32"/>
          <w:szCs w:val="32"/>
          <w:highlight w:val="none"/>
        </w:rPr>
        <w:t>附</w:t>
      </w:r>
      <w:r>
        <w:rPr>
          <w:rFonts w:hint="eastAsia" w:ascii="黑体" w:hAnsi="黑体" w:eastAsia="黑体"/>
          <w:sz w:val="32"/>
          <w:szCs w:val="32"/>
          <w:highlight w:val="none"/>
          <w:lang w:val="en-US" w:eastAsia="zh-CN"/>
        </w:rPr>
        <w:t>件2</w:t>
      </w:r>
    </w:p>
    <w:p>
      <w:pPr>
        <w:pageBreakBefore w:val="0"/>
        <w:kinsoku/>
        <w:wordWrap w:val="0"/>
        <w:overflowPunct/>
        <w:topLinePunct w:val="0"/>
        <w:bidi w:val="0"/>
        <w:spacing w:line="60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参赛学校自带设备清单及赛场环境要求</w:t>
      </w:r>
    </w:p>
    <w:p>
      <w:pPr>
        <w:pageBreakBefore w:val="0"/>
        <w:kinsoku/>
        <w:wordWrap w:val="0"/>
        <w:overflowPunct/>
        <w:topLinePunct w:val="0"/>
        <w:bidi w:val="0"/>
        <w:spacing w:line="600" w:lineRule="exact"/>
        <w:jc w:val="center"/>
        <w:rPr>
          <w:rFonts w:hint="eastAsia" w:ascii="黑体" w:hAnsi="黑体" w:eastAsia="黑体"/>
          <w:sz w:val="32"/>
          <w:szCs w:val="32"/>
          <w:highlight w:val="none"/>
        </w:rPr>
      </w:pPr>
      <w:r>
        <w:rPr>
          <w:rFonts w:hint="eastAsia" w:ascii="方正小标宋简体" w:eastAsia="方正小标宋简体"/>
          <w:sz w:val="44"/>
          <w:szCs w:val="44"/>
          <w:highlight w:val="none"/>
        </w:rPr>
        <w:t>确认信息</w:t>
      </w:r>
      <w:r>
        <w:rPr>
          <w:rFonts w:hint="eastAsia" w:ascii="黑体" w:hAnsi="黑体" w:eastAsia="黑体"/>
          <w:sz w:val="32"/>
          <w:szCs w:val="32"/>
          <w:highlight w:val="none"/>
        </w:rPr>
        <w:t>（模板）</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382"/>
        <w:gridCol w:w="1085"/>
        <w:gridCol w:w="298"/>
        <w:gridCol w:w="1383"/>
        <w:gridCol w:w="786"/>
        <w:gridCol w:w="59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参赛校</w:t>
            </w:r>
          </w:p>
        </w:tc>
        <w:tc>
          <w:tcPr>
            <w:tcW w:w="7402" w:type="dxa"/>
            <w:gridSpan w:val="7"/>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13" w:type="dxa"/>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所属赛道</w:t>
            </w:r>
          </w:p>
        </w:tc>
        <w:tc>
          <w:tcPr>
            <w:tcW w:w="2467" w:type="dxa"/>
            <w:gridSpan w:val="2"/>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rPr>
            </w:pPr>
          </w:p>
        </w:tc>
        <w:tc>
          <w:tcPr>
            <w:tcW w:w="2467" w:type="dxa"/>
            <w:gridSpan w:val="3"/>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rPr>
              <w:t>组别</w:t>
            </w:r>
            <w:r>
              <w:rPr>
                <w:rFonts w:hint="eastAsia" w:ascii="方正仿宋_GBK" w:hAnsi="方正仿宋_GBK" w:eastAsia="方正仿宋_GBK" w:cs="方正仿宋_GBK"/>
                <w:b/>
                <w:bCs/>
                <w:sz w:val="28"/>
                <w:szCs w:val="28"/>
                <w:highlight w:val="none"/>
                <w:lang w:val="en-US" w:eastAsia="zh-CN"/>
              </w:rPr>
              <w:t xml:space="preserve"> </w:t>
            </w:r>
          </w:p>
        </w:tc>
        <w:tc>
          <w:tcPr>
            <w:tcW w:w="2468" w:type="dxa"/>
            <w:gridSpan w:val="2"/>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813" w:type="dxa"/>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自带设备</w:t>
            </w:r>
          </w:p>
        </w:tc>
        <w:tc>
          <w:tcPr>
            <w:tcW w:w="1382" w:type="dxa"/>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名称</w:t>
            </w:r>
          </w:p>
        </w:tc>
        <w:tc>
          <w:tcPr>
            <w:tcW w:w="1383" w:type="dxa"/>
            <w:gridSpan w:val="2"/>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型号</w:t>
            </w:r>
          </w:p>
        </w:tc>
        <w:tc>
          <w:tcPr>
            <w:tcW w:w="1383" w:type="dxa"/>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主要技术参数</w:t>
            </w:r>
          </w:p>
        </w:tc>
        <w:tc>
          <w:tcPr>
            <w:tcW w:w="1383" w:type="dxa"/>
            <w:gridSpan w:val="2"/>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台套数</w:t>
            </w:r>
          </w:p>
        </w:tc>
        <w:tc>
          <w:tcPr>
            <w:tcW w:w="1871" w:type="dxa"/>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813" w:type="dxa"/>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硬件</w:t>
            </w:r>
          </w:p>
        </w:tc>
        <w:tc>
          <w:tcPr>
            <w:tcW w:w="1382" w:type="dxa"/>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383" w:type="dxa"/>
            <w:gridSpan w:val="2"/>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383" w:type="dxa"/>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383" w:type="dxa"/>
            <w:gridSpan w:val="2"/>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871" w:type="dxa"/>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813" w:type="dxa"/>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软件</w:t>
            </w:r>
          </w:p>
        </w:tc>
        <w:tc>
          <w:tcPr>
            <w:tcW w:w="1382" w:type="dxa"/>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383" w:type="dxa"/>
            <w:gridSpan w:val="2"/>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383" w:type="dxa"/>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383" w:type="dxa"/>
            <w:gridSpan w:val="2"/>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871" w:type="dxa"/>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13" w:type="dxa"/>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工具</w:t>
            </w:r>
          </w:p>
        </w:tc>
        <w:tc>
          <w:tcPr>
            <w:tcW w:w="1382" w:type="dxa"/>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383" w:type="dxa"/>
            <w:gridSpan w:val="2"/>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383" w:type="dxa"/>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383" w:type="dxa"/>
            <w:gridSpan w:val="2"/>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871" w:type="dxa"/>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13" w:type="dxa"/>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w:t>
            </w:r>
          </w:p>
        </w:tc>
        <w:tc>
          <w:tcPr>
            <w:tcW w:w="1382" w:type="dxa"/>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383" w:type="dxa"/>
            <w:gridSpan w:val="2"/>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383" w:type="dxa"/>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383" w:type="dxa"/>
            <w:gridSpan w:val="2"/>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c>
          <w:tcPr>
            <w:tcW w:w="1871" w:type="dxa"/>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13" w:type="dxa"/>
            <w:vAlign w:val="center"/>
          </w:tcPr>
          <w:p>
            <w:pPr>
              <w:pageBreakBefore w:val="0"/>
              <w:kinsoku/>
              <w:wordWrap w:val="0"/>
              <w:overflowPunct/>
              <w:topLinePunct w:val="0"/>
              <w:bidi w:val="0"/>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技术支持</w:t>
            </w:r>
          </w:p>
        </w:tc>
        <w:tc>
          <w:tcPr>
            <w:tcW w:w="7402" w:type="dxa"/>
            <w:gridSpan w:val="7"/>
            <w:vAlign w:val="center"/>
          </w:tcPr>
          <w:p>
            <w:pPr>
              <w:pageBreakBefore w:val="0"/>
              <w:kinsoku/>
              <w:wordWrap w:val="0"/>
              <w:overflowPunct/>
              <w:topLinePunct w:val="0"/>
              <w:bidi w:val="0"/>
              <w:spacing w:line="600" w:lineRule="exact"/>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（情况概述包括设备技术保障、安全操作要求等）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813" w:type="dxa"/>
            <w:vAlign w:val="center"/>
          </w:tcPr>
          <w:p>
            <w:pPr>
              <w:spacing w:before="91" w:line="402" w:lineRule="auto"/>
              <w:ind w:left="0" w:leftChars="0" w:right="0" w:rightChars="0" w:firstLine="0" w:firstLineChars="0"/>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场地及环境要求</w:t>
            </w:r>
          </w:p>
        </w:tc>
        <w:tc>
          <w:tcPr>
            <w:tcW w:w="7402" w:type="dxa"/>
            <w:gridSpan w:val="7"/>
            <w:vAlign w:val="center"/>
          </w:tcPr>
          <w:p>
            <w:pPr>
              <w:spacing w:before="242" w:line="219" w:lineRule="auto"/>
              <w:ind w:left="0" w:leftChars="0" w:right="0" w:rightChars="0" w:firstLine="0" w:firstLineChars="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14"/>
                <w:sz w:val="28"/>
                <w:szCs w:val="28"/>
                <w:highlight w:val="none"/>
              </w:rPr>
              <w:t>(</w:t>
            </w:r>
            <w:r>
              <w:rPr>
                <w:rFonts w:hint="eastAsia" w:ascii="方正仿宋_GBK" w:hAnsi="方正仿宋_GBK" w:eastAsia="方正仿宋_GBK" w:cs="方正仿宋_GBK"/>
                <w:spacing w:val="7"/>
                <w:sz w:val="28"/>
                <w:szCs w:val="28"/>
                <w:highlight w:val="none"/>
              </w:rPr>
              <w:t>场地、承重、水、气、电、网等)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813" w:type="dxa"/>
            <w:vAlign w:val="center"/>
          </w:tcPr>
          <w:p>
            <w:pPr>
              <w:spacing w:before="91" w:line="217" w:lineRule="auto"/>
              <w:ind w:left="0" w:leftChars="0" w:right="0" w:rightChars="0" w:firstLine="0" w:firstLineChars="0"/>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其他要求</w:t>
            </w:r>
          </w:p>
        </w:tc>
        <w:tc>
          <w:tcPr>
            <w:tcW w:w="7402" w:type="dxa"/>
            <w:gridSpan w:val="7"/>
            <w:vAlign w:val="center"/>
          </w:tcPr>
          <w:p>
            <w:pPr>
              <w:ind w:left="0" w:leftChars="0" w:right="0" w:rightChars="0" w:firstLine="0" w:firstLineChars="0"/>
              <w:jc w:val="center"/>
              <w:rPr>
                <w:rFonts w:hint="eastAsia" w:ascii="方正仿宋_GBK" w:hAnsi="方正仿宋_GBK" w:eastAsia="方正仿宋_GBK" w:cs="方正仿宋_GBK"/>
                <w:sz w:val="28"/>
                <w:szCs w:val="28"/>
                <w:highlight w:val="none"/>
              </w:rPr>
            </w:pPr>
          </w:p>
        </w:tc>
      </w:tr>
    </w:tbl>
    <w:p>
      <w:pPr>
        <w:pageBreakBefore w:val="0"/>
        <w:kinsoku/>
        <w:wordWrap w:val="0"/>
        <w:overflowPunct/>
        <w:topLinePunct w:val="0"/>
        <w:bidi w:val="0"/>
        <w:jc w:val="both"/>
        <w:rPr>
          <w:rFonts w:hint="default" w:ascii="仿宋" w:hAnsi="仿宋" w:eastAsia="仿宋" w:cs="仿宋"/>
          <w:spacing w:val="8"/>
          <w:sz w:val="31"/>
          <w:szCs w:val="31"/>
          <w:highlight w:val="none"/>
          <w:lang w:val="en-US" w:eastAsia="zh-CN"/>
        </w:rPr>
      </w:pPr>
      <w:r>
        <w:rPr>
          <w:rFonts w:hint="default" w:ascii="仿宋" w:hAnsi="仿宋" w:eastAsia="仿宋" w:cs="仿宋"/>
          <w:spacing w:val="8"/>
          <w:sz w:val="31"/>
          <w:szCs w:val="31"/>
          <w:highlight w:val="none"/>
          <w:lang w:val="en-US" w:eastAsia="zh-CN"/>
        </w:rPr>
        <w:br w:type="page"/>
      </w:r>
    </w:p>
    <w:p>
      <w:pPr>
        <w:pStyle w:val="2"/>
        <w:pageBreakBefore w:val="0"/>
        <w:kinsoku/>
        <w:wordWrap w:val="0"/>
        <w:overflowPunct/>
        <w:topLinePunct w:val="0"/>
        <w:bidi w:val="0"/>
        <w:jc w:val="both"/>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附件3</w:t>
      </w:r>
    </w:p>
    <w:p>
      <w:pPr>
        <w:pStyle w:val="2"/>
        <w:pageBreakBefore w:val="0"/>
        <w:kinsoku/>
        <w:wordWrap w:val="0"/>
        <w:overflowPunct/>
        <w:topLinePunct w:val="0"/>
        <w:bidi w:val="0"/>
        <w:jc w:val="both"/>
        <w:rPr>
          <w:rFonts w:hint="eastAsia" w:ascii="黑体" w:hAnsi="黑体" w:eastAsia="黑体"/>
          <w:sz w:val="32"/>
          <w:szCs w:val="32"/>
          <w:highlight w:val="none"/>
          <w:lang w:val="en-US" w:eastAsia="zh-CN"/>
        </w:rPr>
      </w:pPr>
    </w:p>
    <w:p>
      <w:pPr>
        <w:pStyle w:val="2"/>
        <w:pageBreakBefore w:val="0"/>
        <w:kinsoku/>
        <w:wordWrap w:val="0"/>
        <w:overflowPunct/>
        <w:topLinePunct w:val="0"/>
        <w:bidi w:val="0"/>
        <w:ind w:left="0" w:leftChars="0" w:right="0" w:rightChars="0" w:firstLine="0" w:firstLineChars="0"/>
        <w:jc w:val="center"/>
        <w:rPr>
          <w:rFonts w:hint="eastAsia" w:ascii="方正小标宋简体" w:hAnsi="Arial" w:eastAsia="方正小标宋简体" w:cs="Arial"/>
          <w:snapToGrid w:val="0"/>
          <w:color w:val="000000"/>
          <w:kern w:val="0"/>
          <w:sz w:val="44"/>
          <w:szCs w:val="44"/>
          <w:highlight w:val="none"/>
          <w:lang w:val="en-US" w:eastAsia="zh-CN"/>
        </w:rPr>
      </w:pPr>
      <w:r>
        <w:rPr>
          <w:rFonts w:hint="eastAsia" w:ascii="方正小标宋简体" w:hAnsi="Arial" w:eastAsia="方正小标宋简体" w:cs="Arial"/>
          <w:snapToGrid w:val="0"/>
          <w:color w:val="000000"/>
          <w:kern w:val="0"/>
          <w:sz w:val="44"/>
          <w:szCs w:val="44"/>
          <w:highlight w:val="none"/>
          <w:lang w:val="en-US" w:eastAsia="zh-CN"/>
        </w:rPr>
        <w:t>参赛学校与承办学校就自带设备协商后确认书</w:t>
      </w:r>
    </w:p>
    <w:p>
      <w:pPr>
        <w:spacing w:before="101" w:line="223" w:lineRule="auto"/>
        <w:ind w:left="0" w:leftChars="0" w:right="0" w:rightChars="0" w:firstLine="0" w:firstLineChars="0"/>
        <w:jc w:val="center"/>
        <w:rPr>
          <w:rFonts w:hint="eastAsia" w:ascii="黑体" w:hAnsi="黑体" w:eastAsia="黑体"/>
          <w:sz w:val="32"/>
          <w:szCs w:val="32"/>
          <w:highlight w:val="none"/>
        </w:rPr>
      </w:pPr>
      <w:r>
        <w:rPr>
          <w:rFonts w:hint="eastAsia" w:ascii="黑体" w:hAnsi="黑体" w:eastAsia="黑体"/>
          <w:sz w:val="32"/>
          <w:szCs w:val="32"/>
          <w:highlight w:val="none"/>
        </w:rPr>
        <w:t>（模板）</w:t>
      </w:r>
    </w:p>
    <w:p>
      <w:pPr>
        <w:spacing w:before="101" w:line="223" w:lineRule="auto"/>
        <w:ind w:left="0" w:leftChars="0" w:right="0" w:rightChars="0" w:firstLine="0" w:firstLineChars="0"/>
        <w:jc w:val="center"/>
        <w:rPr>
          <w:rFonts w:hint="eastAsia" w:ascii="黑体" w:hAnsi="黑体" w:eastAsia="黑体"/>
          <w:sz w:val="32"/>
          <w:szCs w:val="32"/>
          <w:highlight w:val="none"/>
        </w:rPr>
      </w:pPr>
    </w:p>
    <w:p>
      <w:pPr>
        <w:spacing w:before="101" w:line="223" w:lineRule="auto"/>
        <w:ind w:left="42"/>
        <w:rPr>
          <w:rFonts w:ascii="仿宋" w:hAnsi="仿宋" w:eastAsia="仿宋" w:cs="仿宋"/>
          <w:sz w:val="31"/>
          <w:szCs w:val="31"/>
          <w:highlight w:val="none"/>
        </w:rPr>
      </w:pPr>
      <w:r>
        <w:rPr>
          <w:rFonts w:ascii="仿宋" w:hAnsi="仿宋" w:eastAsia="仿宋" w:cs="仿宋"/>
          <w:spacing w:val="1"/>
          <w:sz w:val="31"/>
          <w:szCs w:val="31"/>
          <w:highlight w:val="none"/>
        </w:rPr>
        <w:t>甲方：(承办学校)</w:t>
      </w:r>
    </w:p>
    <w:p>
      <w:pPr>
        <w:spacing w:before="225" w:line="225" w:lineRule="auto"/>
        <w:ind w:left="22"/>
        <w:rPr>
          <w:rFonts w:ascii="仿宋" w:hAnsi="仿宋" w:eastAsia="仿宋" w:cs="仿宋"/>
          <w:sz w:val="31"/>
          <w:szCs w:val="31"/>
          <w:highlight w:val="none"/>
        </w:rPr>
      </w:pPr>
      <w:r>
        <w:rPr>
          <w:rFonts w:ascii="仿宋" w:hAnsi="仿宋" w:eastAsia="仿宋" w:cs="仿宋"/>
          <w:spacing w:val="5"/>
          <w:sz w:val="31"/>
          <w:szCs w:val="31"/>
          <w:highlight w:val="none"/>
        </w:rPr>
        <w:t>乙方：(参赛队所在学校</w:t>
      </w:r>
      <w:r>
        <w:rPr>
          <w:rFonts w:ascii="仿宋" w:hAnsi="仿宋" w:eastAsia="仿宋" w:cs="仿宋"/>
          <w:spacing w:val="4"/>
          <w:sz w:val="31"/>
          <w:szCs w:val="31"/>
          <w:highlight w:val="none"/>
        </w:rPr>
        <w:t>)</w:t>
      </w:r>
    </w:p>
    <w:p>
      <w:pPr>
        <w:spacing w:line="358" w:lineRule="auto"/>
        <w:rPr>
          <w:rFonts w:ascii="Arial"/>
          <w:sz w:val="21"/>
          <w:highlight w:val="none"/>
        </w:rPr>
      </w:pPr>
    </w:p>
    <w:p>
      <w:pPr>
        <w:spacing w:before="101" w:line="357" w:lineRule="auto"/>
        <w:ind w:left="1" w:firstLine="662"/>
        <w:rPr>
          <w:rFonts w:ascii="仿宋" w:hAnsi="仿宋" w:eastAsia="仿宋" w:cs="仿宋"/>
          <w:sz w:val="31"/>
          <w:szCs w:val="31"/>
          <w:highlight w:val="none"/>
        </w:rPr>
      </w:pPr>
      <w:r>
        <w:rPr>
          <w:rFonts w:ascii="仿宋" w:hAnsi="仿宋" w:eastAsia="仿宋" w:cs="仿宋"/>
          <w:spacing w:val="-8"/>
          <w:sz w:val="31"/>
          <w:szCs w:val="31"/>
          <w:highlight w:val="none"/>
        </w:rPr>
        <w:t xml:space="preserve">乙方参加 </w:t>
      </w:r>
      <w:r>
        <w:rPr>
          <w:rFonts w:ascii="仿宋" w:hAnsi="仿宋" w:eastAsia="仿宋" w:cs="仿宋"/>
          <w:spacing w:val="-4"/>
          <w:sz w:val="31"/>
          <w:szCs w:val="31"/>
          <w:highlight w:val="none"/>
        </w:rPr>
        <w:t>XXX</w:t>
      </w:r>
      <w:r>
        <w:rPr>
          <w:rFonts w:ascii="仿宋" w:hAnsi="仿宋" w:eastAsia="仿宋" w:cs="仿宋"/>
          <w:spacing w:val="-5"/>
          <w:sz w:val="31"/>
          <w:szCs w:val="31"/>
          <w:highlight w:val="none"/>
        </w:rPr>
        <w:t xml:space="preserve"> </w:t>
      </w:r>
      <w:r>
        <w:rPr>
          <w:rFonts w:ascii="仿宋" w:hAnsi="仿宋" w:eastAsia="仿宋" w:cs="仿宋"/>
          <w:spacing w:val="-4"/>
          <w:sz w:val="31"/>
          <w:szCs w:val="31"/>
          <w:highlight w:val="none"/>
        </w:rPr>
        <w:t>组别XXX 赛道 XXXX 小组比赛。在比赛过程中，</w:t>
      </w:r>
      <w:r>
        <w:rPr>
          <w:rFonts w:ascii="仿宋" w:hAnsi="仿宋" w:eastAsia="仿宋" w:cs="仿宋"/>
          <w:sz w:val="31"/>
          <w:szCs w:val="31"/>
          <w:highlight w:val="none"/>
        </w:rPr>
        <w:t xml:space="preserve"> </w:t>
      </w:r>
      <w:r>
        <w:rPr>
          <w:rFonts w:ascii="仿宋" w:hAnsi="仿宋" w:eastAsia="仿宋" w:cs="仿宋"/>
          <w:spacing w:val="14"/>
          <w:sz w:val="31"/>
          <w:szCs w:val="31"/>
          <w:highlight w:val="none"/>
        </w:rPr>
        <w:t>决</w:t>
      </w:r>
      <w:r>
        <w:rPr>
          <w:rFonts w:ascii="仿宋" w:hAnsi="仿宋" w:eastAsia="仿宋" w:cs="仿宋"/>
          <w:spacing w:val="13"/>
          <w:sz w:val="31"/>
          <w:szCs w:val="31"/>
          <w:highlight w:val="none"/>
        </w:rPr>
        <w:t>定</w:t>
      </w:r>
      <w:r>
        <w:rPr>
          <w:rFonts w:ascii="仿宋" w:hAnsi="仿宋" w:eastAsia="仿宋" w:cs="仿宋"/>
          <w:spacing w:val="7"/>
          <w:sz w:val="31"/>
          <w:szCs w:val="31"/>
          <w:highlight w:val="none"/>
        </w:rPr>
        <w:t>自带比赛设备，现与甲方协商沟通后，确定以下事宜。</w:t>
      </w:r>
    </w:p>
    <w:p>
      <w:pPr>
        <w:spacing w:before="1" w:line="226" w:lineRule="auto"/>
        <w:ind w:left="637"/>
        <w:rPr>
          <w:rFonts w:ascii="黑体" w:hAnsi="黑体" w:eastAsia="黑体" w:cs="黑体"/>
          <w:sz w:val="31"/>
          <w:szCs w:val="31"/>
          <w:highlight w:val="none"/>
        </w:rPr>
      </w:pPr>
      <w:r>
        <w:rPr>
          <w:rFonts w:ascii="黑体" w:hAnsi="黑体" w:eastAsia="黑体" w:cs="黑体"/>
          <w:spacing w:val="11"/>
          <w:sz w:val="31"/>
          <w:szCs w:val="31"/>
          <w:highlight w:val="none"/>
        </w:rPr>
        <w:t>一</w:t>
      </w:r>
      <w:r>
        <w:rPr>
          <w:rFonts w:ascii="黑体" w:hAnsi="黑体" w:eastAsia="黑体" w:cs="黑体"/>
          <w:spacing w:val="7"/>
          <w:sz w:val="31"/>
          <w:szCs w:val="31"/>
          <w:highlight w:val="none"/>
        </w:rPr>
        <w:t>、需要甲方提供</w:t>
      </w:r>
    </w:p>
    <w:p>
      <w:pPr>
        <w:tabs>
          <w:tab w:val="left" w:pos="816"/>
        </w:tabs>
        <w:spacing w:before="176" w:line="344" w:lineRule="auto"/>
        <w:ind w:left="1" w:right="102" w:firstLine="661"/>
        <w:rPr>
          <w:rFonts w:ascii="Arial"/>
          <w:sz w:val="21"/>
          <w:highlight w:val="none"/>
        </w:rPr>
      </w:pPr>
      <w:r>
        <w:rPr>
          <w:rFonts w:ascii="华文楷体" w:hAnsi="华文楷体" w:eastAsia="华文楷体" w:cs="华文楷体"/>
          <w:sz w:val="31"/>
          <w:szCs w:val="31"/>
          <w:highlight w:val="none"/>
        </w:rPr>
        <w:tab/>
      </w:r>
      <w:r>
        <w:rPr>
          <w:rFonts w:ascii="华文楷体" w:hAnsi="华文楷体" w:eastAsia="华文楷体" w:cs="华文楷体"/>
          <w:spacing w:val="14"/>
          <w:sz w:val="31"/>
          <w:szCs w:val="31"/>
          <w:highlight w:val="none"/>
        </w:rPr>
        <w:t>(</w:t>
      </w:r>
      <w:r>
        <w:rPr>
          <w:rFonts w:ascii="华文楷体" w:hAnsi="华文楷体" w:eastAsia="华文楷体" w:cs="华文楷体"/>
          <w:spacing w:val="8"/>
          <w:sz w:val="31"/>
          <w:szCs w:val="31"/>
          <w:highlight w:val="none"/>
        </w:rPr>
        <w:t xml:space="preserve">一)   场地  </w:t>
      </w:r>
      <w:r>
        <w:rPr>
          <w:rFonts w:ascii="仿宋" w:hAnsi="仿宋" w:eastAsia="仿宋" w:cs="仿宋"/>
          <w:spacing w:val="8"/>
          <w:sz w:val="31"/>
          <w:szCs w:val="31"/>
          <w:highlight w:val="none"/>
        </w:rPr>
        <w:t>(包括：工位的面积、水、电、气、网、照明、</w:t>
      </w:r>
      <w:r>
        <w:rPr>
          <w:rFonts w:ascii="仿宋" w:hAnsi="仿宋" w:eastAsia="仿宋" w:cs="仿宋"/>
          <w:sz w:val="31"/>
          <w:szCs w:val="31"/>
          <w:highlight w:val="none"/>
        </w:rPr>
        <w:t xml:space="preserve"> </w:t>
      </w:r>
      <w:r>
        <w:rPr>
          <w:rFonts w:ascii="仿宋" w:hAnsi="仿宋" w:eastAsia="仿宋" w:cs="仿宋"/>
          <w:spacing w:val="10"/>
          <w:sz w:val="31"/>
          <w:szCs w:val="31"/>
          <w:highlight w:val="none"/>
        </w:rPr>
        <w:t>场</w:t>
      </w:r>
      <w:r>
        <w:rPr>
          <w:rFonts w:ascii="仿宋" w:hAnsi="仿宋" w:eastAsia="仿宋" w:cs="仿宋"/>
          <w:spacing w:val="8"/>
          <w:sz w:val="31"/>
          <w:szCs w:val="31"/>
          <w:highlight w:val="none"/>
        </w:rPr>
        <w:t>地承重等环境要求及实时录像要求等)</w:t>
      </w:r>
    </w:p>
    <w:p>
      <w:pPr>
        <w:tabs>
          <w:tab w:val="left" w:pos="816"/>
        </w:tabs>
        <w:spacing w:before="113" w:line="344" w:lineRule="auto"/>
        <w:ind w:right="105" w:firstLine="662"/>
        <w:rPr>
          <w:rFonts w:ascii="仿宋" w:hAnsi="仿宋" w:eastAsia="仿宋" w:cs="仿宋"/>
          <w:sz w:val="31"/>
          <w:szCs w:val="31"/>
          <w:highlight w:val="none"/>
        </w:rPr>
      </w:pPr>
      <w:r>
        <w:rPr>
          <w:rFonts w:ascii="华文楷体" w:hAnsi="华文楷体" w:eastAsia="华文楷体" w:cs="华文楷体"/>
          <w:sz w:val="31"/>
          <w:szCs w:val="31"/>
          <w:highlight w:val="none"/>
        </w:rPr>
        <w:tab/>
      </w:r>
      <w:r>
        <w:rPr>
          <w:rFonts w:ascii="华文楷体" w:hAnsi="华文楷体" w:eastAsia="华文楷体" w:cs="华文楷体"/>
          <w:spacing w:val="12"/>
          <w:sz w:val="31"/>
          <w:szCs w:val="31"/>
          <w:highlight w:val="none"/>
        </w:rPr>
        <w:t>(</w:t>
      </w:r>
      <w:r>
        <w:rPr>
          <w:rFonts w:ascii="华文楷体" w:hAnsi="华文楷体" w:eastAsia="华文楷体" w:cs="华文楷体"/>
          <w:spacing w:val="8"/>
          <w:sz w:val="31"/>
          <w:szCs w:val="31"/>
          <w:highlight w:val="none"/>
        </w:rPr>
        <w:t xml:space="preserve">二)   设备进场对接  </w:t>
      </w:r>
      <w:r>
        <w:rPr>
          <w:rFonts w:ascii="仿宋" w:hAnsi="仿宋" w:eastAsia="仿宋" w:cs="仿宋"/>
          <w:spacing w:val="8"/>
          <w:sz w:val="31"/>
          <w:szCs w:val="31"/>
          <w:highlight w:val="none"/>
        </w:rPr>
        <w:t>(包括：进场时间、撤离时间；安装、</w:t>
      </w:r>
      <w:r>
        <w:rPr>
          <w:rFonts w:ascii="仿宋" w:hAnsi="仿宋" w:eastAsia="仿宋" w:cs="仿宋"/>
          <w:sz w:val="31"/>
          <w:szCs w:val="31"/>
          <w:highlight w:val="none"/>
        </w:rPr>
        <w:t xml:space="preserve"> </w:t>
      </w:r>
      <w:r>
        <w:rPr>
          <w:rFonts w:ascii="仿宋" w:hAnsi="仿宋" w:eastAsia="仿宋" w:cs="仿宋"/>
          <w:spacing w:val="14"/>
          <w:sz w:val="31"/>
          <w:szCs w:val="31"/>
          <w:highlight w:val="none"/>
        </w:rPr>
        <w:t>调</w:t>
      </w:r>
      <w:r>
        <w:rPr>
          <w:rFonts w:ascii="仿宋" w:hAnsi="仿宋" w:eastAsia="仿宋" w:cs="仿宋"/>
          <w:spacing w:val="11"/>
          <w:sz w:val="31"/>
          <w:szCs w:val="31"/>
          <w:highlight w:val="none"/>
        </w:rPr>
        <w:t>试</w:t>
      </w:r>
      <w:r>
        <w:rPr>
          <w:rFonts w:ascii="仿宋" w:hAnsi="仿宋" w:eastAsia="仿宋" w:cs="仿宋"/>
          <w:spacing w:val="7"/>
          <w:sz w:val="31"/>
          <w:szCs w:val="31"/>
          <w:highlight w:val="none"/>
        </w:rPr>
        <w:t>等需要承办学校的配合及帮助事项等)</w:t>
      </w:r>
    </w:p>
    <w:p>
      <w:pPr>
        <w:spacing w:line="267" w:lineRule="auto"/>
        <w:rPr>
          <w:rFonts w:ascii="Arial"/>
          <w:sz w:val="21"/>
          <w:highlight w:val="none"/>
        </w:rPr>
      </w:pPr>
    </w:p>
    <w:p>
      <w:pPr>
        <w:numPr>
          <w:ilvl w:val="0"/>
          <w:numId w:val="1"/>
        </w:numPr>
        <w:spacing w:before="114" w:line="199" w:lineRule="auto"/>
        <w:ind w:left="644"/>
        <w:rPr>
          <w:rFonts w:ascii="华文楷体" w:hAnsi="华文楷体" w:eastAsia="华文楷体" w:cs="华文楷体"/>
          <w:sz w:val="31"/>
          <w:szCs w:val="31"/>
          <w:highlight w:val="none"/>
        </w:rPr>
      </w:pPr>
      <w:r>
        <w:rPr>
          <w:rFonts w:ascii="华文楷体" w:hAnsi="华文楷体" w:eastAsia="华文楷体" w:cs="华文楷体"/>
          <w:spacing w:val="8"/>
          <w:sz w:val="31"/>
          <w:szCs w:val="31"/>
          <w:highlight w:val="none"/>
        </w:rPr>
        <w:t>开赛前的设备封存要求</w:t>
      </w:r>
    </w:p>
    <w:p>
      <w:pPr>
        <w:spacing w:line="354" w:lineRule="auto"/>
        <w:rPr>
          <w:rFonts w:ascii="Arial"/>
          <w:sz w:val="21"/>
          <w:highlight w:val="none"/>
        </w:rPr>
      </w:pPr>
    </w:p>
    <w:p>
      <w:pPr>
        <w:spacing w:before="113" w:line="188" w:lineRule="auto"/>
        <w:ind w:left="654"/>
        <w:rPr>
          <w:rFonts w:ascii="华文楷体" w:hAnsi="华文楷体" w:eastAsia="华文楷体" w:cs="华文楷体"/>
          <w:sz w:val="31"/>
          <w:szCs w:val="31"/>
          <w:highlight w:val="none"/>
        </w:rPr>
      </w:pPr>
      <w:r>
        <w:rPr>
          <w:rFonts w:ascii="华文楷体" w:hAnsi="华文楷体" w:eastAsia="华文楷体" w:cs="华文楷体"/>
          <w:spacing w:val="14"/>
          <w:sz w:val="31"/>
          <w:szCs w:val="31"/>
          <w:highlight w:val="none"/>
        </w:rPr>
        <w:t>…</w:t>
      </w:r>
      <w:r>
        <w:rPr>
          <w:rFonts w:ascii="华文楷体" w:hAnsi="华文楷体" w:eastAsia="华文楷体" w:cs="华文楷体"/>
          <w:spacing w:val="12"/>
          <w:sz w:val="31"/>
          <w:szCs w:val="31"/>
          <w:highlight w:val="none"/>
        </w:rPr>
        <w:t>…  (其他)</w:t>
      </w:r>
    </w:p>
    <w:p>
      <w:pPr>
        <w:spacing w:line="356" w:lineRule="auto"/>
        <w:rPr>
          <w:rFonts w:ascii="Arial"/>
          <w:sz w:val="21"/>
          <w:highlight w:val="none"/>
        </w:rPr>
      </w:pPr>
    </w:p>
    <w:p>
      <w:pPr>
        <w:spacing w:before="101" w:line="226" w:lineRule="auto"/>
        <w:ind w:left="637"/>
        <w:rPr>
          <w:rFonts w:ascii="Arial"/>
          <w:sz w:val="21"/>
          <w:highlight w:val="none"/>
        </w:rPr>
      </w:pPr>
      <w:r>
        <w:rPr>
          <w:rFonts w:ascii="黑体" w:hAnsi="黑体" w:eastAsia="黑体" w:cs="黑体"/>
          <w:spacing w:val="8"/>
          <w:sz w:val="31"/>
          <w:szCs w:val="31"/>
          <w:highlight w:val="none"/>
        </w:rPr>
        <w:t>二、乙方须自行承担</w:t>
      </w:r>
    </w:p>
    <w:p>
      <w:pPr>
        <w:tabs>
          <w:tab w:val="left" w:pos="829"/>
        </w:tabs>
        <w:spacing w:before="113" w:line="197" w:lineRule="auto"/>
        <w:ind w:left="674"/>
        <w:rPr>
          <w:rFonts w:ascii="华文楷体" w:hAnsi="华文楷体" w:eastAsia="华文楷体" w:cs="华文楷体"/>
          <w:sz w:val="31"/>
          <w:szCs w:val="31"/>
          <w:highlight w:val="none"/>
        </w:rPr>
      </w:pPr>
    </w:p>
    <w:p>
      <w:pPr>
        <w:tabs>
          <w:tab w:val="left" w:pos="829"/>
        </w:tabs>
        <w:spacing w:before="113" w:line="197" w:lineRule="auto"/>
        <w:ind w:left="674"/>
        <w:rPr>
          <w:rFonts w:ascii="华文楷体" w:hAnsi="华文楷体" w:eastAsia="华文楷体" w:cs="华文楷体"/>
          <w:sz w:val="31"/>
          <w:szCs w:val="31"/>
          <w:highlight w:val="none"/>
        </w:rPr>
      </w:pPr>
      <w:r>
        <w:rPr>
          <w:rFonts w:ascii="华文楷体" w:hAnsi="华文楷体" w:eastAsia="华文楷体" w:cs="华文楷体"/>
          <w:sz w:val="31"/>
          <w:szCs w:val="31"/>
          <w:highlight w:val="none"/>
        </w:rPr>
        <w:tab/>
      </w:r>
      <w:r>
        <w:rPr>
          <w:rFonts w:ascii="华文楷体" w:hAnsi="华文楷体" w:eastAsia="华文楷体" w:cs="华文楷体"/>
          <w:spacing w:val="37"/>
          <w:sz w:val="31"/>
          <w:szCs w:val="31"/>
          <w:highlight w:val="none"/>
        </w:rPr>
        <w:t>(一)进场设备清</w:t>
      </w:r>
      <w:r>
        <w:rPr>
          <w:rFonts w:ascii="华文楷体" w:hAnsi="华文楷体" w:eastAsia="华文楷体" w:cs="华文楷体"/>
          <w:spacing w:val="35"/>
          <w:sz w:val="31"/>
          <w:szCs w:val="31"/>
          <w:highlight w:val="none"/>
        </w:rPr>
        <w:t>单</w:t>
      </w:r>
    </w:p>
    <w:p>
      <w:pPr>
        <w:rPr>
          <w:rFonts w:ascii="Arial"/>
          <w:sz w:val="21"/>
          <w:highlight w:val="none"/>
        </w:rPr>
      </w:pPr>
    </w:p>
    <w:p>
      <w:pPr>
        <w:spacing w:line="241" w:lineRule="auto"/>
        <w:rPr>
          <w:rFonts w:ascii="Arial"/>
          <w:sz w:val="21"/>
          <w:highlight w:val="none"/>
        </w:rPr>
      </w:pPr>
    </w:p>
    <w:p>
      <w:pPr>
        <w:tabs>
          <w:tab w:val="left" w:pos="829"/>
        </w:tabs>
        <w:spacing w:before="113" w:line="188" w:lineRule="auto"/>
        <w:ind w:left="674"/>
        <w:rPr>
          <w:rFonts w:ascii="华文楷体" w:hAnsi="华文楷体" w:eastAsia="华文楷体" w:cs="华文楷体"/>
          <w:sz w:val="31"/>
          <w:szCs w:val="31"/>
          <w:highlight w:val="none"/>
        </w:rPr>
      </w:pPr>
      <w:r>
        <w:rPr>
          <w:rFonts w:ascii="华文楷体" w:hAnsi="华文楷体" w:eastAsia="华文楷体" w:cs="华文楷体"/>
          <w:sz w:val="31"/>
          <w:szCs w:val="31"/>
          <w:highlight w:val="none"/>
        </w:rPr>
        <w:tab/>
      </w:r>
      <w:r>
        <w:rPr>
          <w:rFonts w:ascii="华文楷体" w:hAnsi="华文楷体" w:eastAsia="华文楷体" w:cs="华文楷体"/>
          <w:spacing w:val="34"/>
          <w:sz w:val="31"/>
          <w:szCs w:val="31"/>
          <w:highlight w:val="none"/>
        </w:rPr>
        <w:t>(二)设备的往来运输</w:t>
      </w:r>
    </w:p>
    <w:p>
      <w:pPr>
        <w:spacing w:line="243" w:lineRule="auto"/>
        <w:rPr>
          <w:rFonts w:ascii="Arial"/>
          <w:sz w:val="21"/>
          <w:highlight w:val="none"/>
        </w:rPr>
      </w:pPr>
    </w:p>
    <w:p>
      <w:pPr>
        <w:spacing w:line="243" w:lineRule="auto"/>
        <w:rPr>
          <w:rFonts w:ascii="Arial"/>
          <w:sz w:val="21"/>
          <w:highlight w:val="none"/>
        </w:rPr>
      </w:pPr>
    </w:p>
    <w:p>
      <w:pPr>
        <w:tabs>
          <w:tab w:val="left" w:pos="829"/>
        </w:tabs>
        <w:spacing w:before="113" w:line="188" w:lineRule="auto"/>
        <w:ind w:left="674"/>
        <w:rPr>
          <w:rFonts w:ascii="华文楷体" w:hAnsi="华文楷体" w:eastAsia="华文楷体" w:cs="华文楷体"/>
          <w:sz w:val="31"/>
          <w:szCs w:val="31"/>
          <w:highlight w:val="none"/>
        </w:rPr>
      </w:pPr>
      <w:r>
        <w:rPr>
          <w:rFonts w:ascii="华文楷体" w:hAnsi="华文楷体" w:eastAsia="华文楷体" w:cs="华文楷体"/>
          <w:sz w:val="31"/>
          <w:szCs w:val="31"/>
          <w:highlight w:val="none"/>
        </w:rPr>
        <w:tab/>
      </w:r>
      <w:r>
        <w:rPr>
          <w:rFonts w:ascii="华文楷体" w:hAnsi="华文楷体" w:eastAsia="华文楷体" w:cs="华文楷体"/>
          <w:spacing w:val="31"/>
          <w:sz w:val="31"/>
          <w:szCs w:val="31"/>
          <w:highlight w:val="none"/>
        </w:rPr>
        <w:t>(三)设备的安装、调</w:t>
      </w:r>
      <w:r>
        <w:rPr>
          <w:rFonts w:ascii="华文楷体" w:hAnsi="华文楷体" w:eastAsia="华文楷体" w:cs="华文楷体"/>
          <w:spacing w:val="29"/>
          <w:sz w:val="31"/>
          <w:szCs w:val="31"/>
          <w:highlight w:val="none"/>
        </w:rPr>
        <w:t>试</w:t>
      </w:r>
    </w:p>
    <w:p>
      <w:pPr>
        <w:spacing w:line="243" w:lineRule="auto"/>
        <w:rPr>
          <w:rFonts w:ascii="Arial"/>
          <w:sz w:val="21"/>
          <w:highlight w:val="none"/>
        </w:rPr>
      </w:pPr>
    </w:p>
    <w:p>
      <w:pPr>
        <w:spacing w:line="243" w:lineRule="auto"/>
        <w:rPr>
          <w:rFonts w:ascii="Arial"/>
          <w:sz w:val="21"/>
          <w:highlight w:val="none"/>
        </w:rPr>
      </w:pPr>
    </w:p>
    <w:p>
      <w:pPr>
        <w:tabs>
          <w:tab w:val="left" w:pos="829"/>
        </w:tabs>
        <w:spacing w:before="113" w:line="194" w:lineRule="auto"/>
        <w:ind w:left="674"/>
        <w:rPr>
          <w:rFonts w:ascii="华文楷体" w:hAnsi="华文楷体" w:eastAsia="华文楷体" w:cs="华文楷体"/>
          <w:sz w:val="31"/>
          <w:szCs w:val="31"/>
          <w:highlight w:val="none"/>
        </w:rPr>
      </w:pPr>
      <w:r>
        <w:rPr>
          <w:rFonts w:ascii="华文楷体" w:hAnsi="华文楷体" w:eastAsia="华文楷体" w:cs="华文楷体"/>
          <w:sz w:val="31"/>
          <w:szCs w:val="31"/>
          <w:highlight w:val="none"/>
        </w:rPr>
        <w:tab/>
      </w:r>
      <w:r>
        <w:rPr>
          <w:rFonts w:ascii="华文楷体" w:hAnsi="华文楷体" w:eastAsia="华文楷体" w:cs="华文楷体"/>
          <w:spacing w:val="27"/>
          <w:sz w:val="31"/>
          <w:szCs w:val="31"/>
          <w:highlight w:val="none"/>
        </w:rPr>
        <w:t>(</w:t>
      </w:r>
      <w:r>
        <w:rPr>
          <w:rFonts w:ascii="华文楷体" w:hAnsi="华文楷体" w:eastAsia="华文楷体" w:cs="华文楷体"/>
          <w:spacing w:val="26"/>
          <w:sz w:val="31"/>
          <w:szCs w:val="31"/>
          <w:highlight w:val="none"/>
        </w:rPr>
        <w:t>四)设备现场保障及技术支持等</w:t>
      </w:r>
    </w:p>
    <w:p>
      <w:pPr>
        <w:spacing w:line="358" w:lineRule="auto"/>
        <w:rPr>
          <w:rFonts w:ascii="Arial"/>
          <w:sz w:val="21"/>
          <w:highlight w:val="none"/>
        </w:rPr>
      </w:pPr>
    </w:p>
    <w:p>
      <w:pPr>
        <w:tabs>
          <w:tab w:val="left" w:pos="829"/>
        </w:tabs>
        <w:spacing w:before="113" w:line="195" w:lineRule="auto"/>
        <w:ind w:left="674"/>
        <w:rPr>
          <w:rFonts w:ascii="Arial"/>
          <w:sz w:val="21"/>
          <w:highlight w:val="none"/>
        </w:rPr>
      </w:pPr>
      <w:r>
        <w:rPr>
          <w:rFonts w:ascii="华文楷体" w:hAnsi="华文楷体" w:eastAsia="华文楷体" w:cs="华文楷体"/>
          <w:sz w:val="31"/>
          <w:szCs w:val="31"/>
          <w:highlight w:val="none"/>
        </w:rPr>
        <w:tab/>
      </w:r>
      <w:r>
        <w:rPr>
          <w:rFonts w:ascii="华文楷体" w:hAnsi="华文楷体" w:eastAsia="华文楷体" w:cs="华文楷体"/>
          <w:spacing w:val="34"/>
          <w:sz w:val="31"/>
          <w:szCs w:val="31"/>
          <w:highlight w:val="none"/>
        </w:rPr>
        <w:t>(五)工位上所需材料</w:t>
      </w:r>
    </w:p>
    <w:p>
      <w:pPr>
        <w:spacing w:line="323" w:lineRule="auto"/>
        <w:rPr>
          <w:rFonts w:ascii="Arial"/>
          <w:sz w:val="21"/>
          <w:highlight w:val="none"/>
        </w:rPr>
      </w:pPr>
    </w:p>
    <w:p>
      <w:pPr>
        <w:tabs>
          <w:tab w:val="left" w:pos="829"/>
        </w:tabs>
        <w:spacing w:before="112" w:line="478" w:lineRule="exact"/>
        <w:ind w:left="674"/>
        <w:rPr>
          <w:rFonts w:ascii="华文楷体" w:hAnsi="华文楷体" w:eastAsia="华文楷体" w:cs="华文楷体"/>
          <w:sz w:val="31"/>
          <w:szCs w:val="31"/>
          <w:highlight w:val="none"/>
        </w:rPr>
      </w:pPr>
      <w:r>
        <w:rPr>
          <w:rFonts w:ascii="华文楷体" w:hAnsi="华文楷体" w:eastAsia="华文楷体" w:cs="华文楷体"/>
          <w:position w:val="6"/>
          <w:sz w:val="31"/>
          <w:szCs w:val="31"/>
          <w:highlight w:val="none"/>
        </w:rPr>
        <w:tab/>
      </w:r>
      <w:r>
        <w:rPr>
          <w:rFonts w:ascii="华文楷体" w:hAnsi="华文楷体" w:eastAsia="华文楷体" w:cs="华文楷体"/>
          <w:spacing w:val="17"/>
          <w:position w:val="6"/>
          <w:sz w:val="31"/>
          <w:szCs w:val="31"/>
          <w:highlight w:val="none"/>
        </w:rPr>
        <w:t>(</w:t>
      </w:r>
      <w:r>
        <w:rPr>
          <w:rFonts w:ascii="华文楷体" w:hAnsi="华文楷体" w:eastAsia="华文楷体" w:cs="华文楷体"/>
          <w:spacing w:val="12"/>
          <w:position w:val="6"/>
          <w:sz w:val="31"/>
          <w:szCs w:val="31"/>
          <w:highlight w:val="none"/>
        </w:rPr>
        <w:t>六)   ……  (其他)</w:t>
      </w:r>
    </w:p>
    <w:p>
      <w:pPr>
        <w:spacing w:line="329" w:lineRule="auto"/>
        <w:rPr>
          <w:rFonts w:ascii="Arial"/>
          <w:sz w:val="21"/>
          <w:highlight w:val="none"/>
        </w:rPr>
      </w:pPr>
    </w:p>
    <w:p>
      <w:pPr>
        <w:spacing w:line="329" w:lineRule="auto"/>
        <w:rPr>
          <w:rFonts w:ascii="Arial"/>
          <w:sz w:val="21"/>
          <w:highlight w:val="none"/>
        </w:rPr>
      </w:pPr>
    </w:p>
    <w:p>
      <w:pPr>
        <w:spacing w:before="101" w:line="227" w:lineRule="auto"/>
        <w:ind w:left="650"/>
        <w:rPr>
          <w:rFonts w:ascii="黑体" w:hAnsi="黑体" w:eastAsia="黑体" w:cs="黑体"/>
          <w:sz w:val="31"/>
          <w:szCs w:val="31"/>
          <w:highlight w:val="none"/>
        </w:rPr>
      </w:pPr>
      <w:r>
        <w:rPr>
          <w:rFonts w:ascii="黑体" w:hAnsi="黑体" w:eastAsia="黑体" w:cs="黑体"/>
          <w:spacing w:val="9"/>
          <w:sz w:val="31"/>
          <w:szCs w:val="31"/>
          <w:highlight w:val="none"/>
        </w:rPr>
        <w:t>三</w:t>
      </w:r>
      <w:r>
        <w:rPr>
          <w:rFonts w:ascii="黑体" w:hAnsi="黑体" w:eastAsia="黑体" w:cs="黑体"/>
          <w:spacing w:val="8"/>
          <w:sz w:val="31"/>
          <w:szCs w:val="31"/>
          <w:highlight w:val="none"/>
        </w:rPr>
        <w:t>、其他商议确定的事项</w:t>
      </w:r>
    </w:p>
    <w:p>
      <w:pPr>
        <w:spacing w:before="220" w:line="366" w:lineRule="auto"/>
        <w:ind w:left="15" w:firstLine="649"/>
        <w:rPr>
          <w:rFonts w:ascii="仿宋" w:hAnsi="仿宋" w:eastAsia="仿宋" w:cs="仿宋"/>
          <w:sz w:val="31"/>
          <w:szCs w:val="31"/>
          <w:highlight w:val="none"/>
        </w:rPr>
      </w:pPr>
      <w:r>
        <w:rPr>
          <w:rFonts w:ascii="仿宋" w:hAnsi="仿宋" w:eastAsia="仿宋" w:cs="仿宋"/>
          <w:spacing w:val="10"/>
          <w:sz w:val="31"/>
          <w:szCs w:val="31"/>
          <w:highlight w:val="none"/>
        </w:rPr>
        <w:t>…… (根据实际双方自行协商确定，包括设备使用安全等</w:t>
      </w:r>
      <w:r>
        <w:rPr>
          <w:rFonts w:ascii="仿宋" w:hAnsi="仿宋" w:eastAsia="仿宋" w:cs="仿宋"/>
          <w:spacing w:val="6"/>
          <w:sz w:val="31"/>
          <w:szCs w:val="31"/>
          <w:highlight w:val="none"/>
        </w:rPr>
        <w:t>内</w:t>
      </w:r>
      <w:r>
        <w:rPr>
          <w:rFonts w:ascii="仿宋" w:hAnsi="仿宋" w:eastAsia="仿宋" w:cs="仿宋"/>
          <w:spacing w:val="-12"/>
          <w:sz w:val="31"/>
          <w:szCs w:val="31"/>
          <w:highlight w:val="none"/>
        </w:rPr>
        <w:t>容</w:t>
      </w:r>
      <w:r>
        <w:rPr>
          <w:rFonts w:ascii="仿宋" w:hAnsi="仿宋" w:eastAsia="仿宋" w:cs="仿宋"/>
          <w:spacing w:val="-10"/>
          <w:sz w:val="31"/>
          <w:szCs w:val="31"/>
          <w:highlight w:val="none"/>
        </w:rPr>
        <w:t>)</w:t>
      </w:r>
    </w:p>
    <w:p>
      <w:pPr>
        <w:spacing w:line="465" w:lineRule="auto"/>
        <w:rPr>
          <w:rFonts w:ascii="Arial"/>
          <w:sz w:val="21"/>
          <w:highlight w:val="none"/>
        </w:rPr>
      </w:pPr>
    </w:p>
    <w:p>
      <w:pPr>
        <w:spacing w:before="102" w:line="223" w:lineRule="auto"/>
        <w:ind w:left="54"/>
        <w:rPr>
          <w:rFonts w:ascii="仿宋" w:hAnsi="仿宋" w:eastAsia="仿宋" w:cs="仿宋"/>
          <w:sz w:val="31"/>
          <w:szCs w:val="31"/>
          <w:highlight w:val="none"/>
        </w:rPr>
      </w:pPr>
      <w:r>
        <w:rPr>
          <w:rFonts w:ascii="仿宋" w:hAnsi="仿宋" w:eastAsia="仿宋" w:cs="仿宋"/>
          <w:spacing w:val="-18"/>
          <w:sz w:val="31"/>
          <w:szCs w:val="31"/>
          <w:highlight w:val="none"/>
        </w:rPr>
        <w:t>甲 方</w:t>
      </w:r>
      <w:r>
        <w:rPr>
          <w:rFonts w:ascii="仿宋" w:hAnsi="仿宋" w:eastAsia="仿宋" w:cs="仿宋"/>
          <w:spacing w:val="-16"/>
          <w:sz w:val="31"/>
          <w:szCs w:val="31"/>
          <w:highlight w:val="none"/>
        </w:rPr>
        <w:t xml:space="preserve"> </w:t>
      </w:r>
      <w:r>
        <w:rPr>
          <w:rFonts w:ascii="仿宋" w:hAnsi="仿宋" w:eastAsia="仿宋" w:cs="仿宋"/>
          <w:spacing w:val="-9"/>
          <w:sz w:val="31"/>
          <w:szCs w:val="31"/>
          <w:highlight w:val="none"/>
        </w:rPr>
        <w:t>：                                             乙 方 ：</w:t>
      </w:r>
    </w:p>
    <w:p>
      <w:pPr>
        <w:spacing w:before="225" w:line="223" w:lineRule="auto"/>
        <w:ind w:left="16"/>
        <w:rPr>
          <w:rFonts w:ascii="仿宋" w:hAnsi="仿宋" w:eastAsia="仿宋" w:cs="仿宋"/>
          <w:sz w:val="31"/>
          <w:szCs w:val="31"/>
          <w:highlight w:val="none"/>
        </w:rPr>
      </w:pPr>
      <w:r>
        <w:rPr>
          <w:rFonts w:ascii="仿宋" w:hAnsi="仿宋" w:eastAsia="仿宋" w:cs="仿宋"/>
          <w:spacing w:val="8"/>
          <w:sz w:val="31"/>
          <w:szCs w:val="31"/>
          <w:highlight w:val="none"/>
        </w:rPr>
        <w:t>(盖</w:t>
      </w:r>
      <w:r>
        <w:rPr>
          <w:rFonts w:ascii="仿宋" w:hAnsi="仿宋" w:eastAsia="仿宋" w:cs="仿宋"/>
          <w:spacing w:val="4"/>
          <w:sz w:val="31"/>
          <w:szCs w:val="31"/>
          <w:highlight w:val="none"/>
        </w:rPr>
        <w:t>章)                            (盖章)</w:t>
      </w:r>
    </w:p>
    <w:p>
      <w:pPr>
        <w:spacing w:before="301" w:line="223" w:lineRule="auto"/>
        <w:ind w:left="21"/>
        <w:rPr>
          <w:rFonts w:ascii="仿宋" w:hAnsi="仿宋" w:eastAsia="仿宋" w:cs="仿宋"/>
          <w:sz w:val="31"/>
          <w:szCs w:val="31"/>
          <w:highlight w:val="none"/>
        </w:rPr>
      </w:pPr>
      <w:r>
        <w:rPr>
          <w:rFonts w:ascii="仿宋" w:hAnsi="仿宋" w:eastAsia="仿宋" w:cs="仿宋"/>
          <w:spacing w:val="-3"/>
          <w:sz w:val="31"/>
          <w:szCs w:val="31"/>
          <w:highlight w:val="none"/>
        </w:rPr>
        <w:t>法定代表人/代表：                  法定代表人/代表</w:t>
      </w:r>
    </w:p>
    <w:p>
      <w:pPr>
        <w:spacing w:line="402" w:lineRule="auto"/>
        <w:rPr>
          <w:rFonts w:ascii="Arial"/>
          <w:sz w:val="21"/>
          <w:highlight w:val="none"/>
        </w:rPr>
      </w:pPr>
    </w:p>
    <w:p>
      <w:pPr>
        <w:spacing w:before="102" w:line="223" w:lineRule="auto"/>
        <w:ind w:left="34"/>
        <w:rPr>
          <w:rFonts w:ascii="仿宋" w:hAnsi="仿宋" w:eastAsia="仿宋" w:cs="仿宋"/>
          <w:spacing w:val="7"/>
          <w:sz w:val="31"/>
          <w:szCs w:val="31"/>
          <w:highlight w:val="none"/>
        </w:rPr>
      </w:pPr>
      <w:r>
        <w:rPr>
          <w:rFonts w:ascii="仿宋" w:hAnsi="仿宋" w:eastAsia="仿宋" w:cs="仿宋"/>
          <w:spacing w:val="14"/>
          <w:sz w:val="31"/>
          <w:szCs w:val="31"/>
          <w:highlight w:val="none"/>
        </w:rPr>
        <w:t>时</w:t>
      </w:r>
      <w:r>
        <w:rPr>
          <w:rFonts w:ascii="仿宋" w:hAnsi="仿宋" w:eastAsia="仿宋" w:cs="仿宋"/>
          <w:spacing w:val="13"/>
          <w:sz w:val="31"/>
          <w:szCs w:val="31"/>
          <w:highlight w:val="none"/>
        </w:rPr>
        <w:t>间</w:t>
      </w:r>
      <w:r>
        <w:rPr>
          <w:rFonts w:ascii="仿宋" w:hAnsi="仿宋" w:eastAsia="仿宋" w:cs="仿宋"/>
          <w:spacing w:val="7"/>
          <w:sz w:val="31"/>
          <w:szCs w:val="31"/>
          <w:highlight w:val="none"/>
        </w:rPr>
        <w:t>：2024年    月    日      时间：2024年   月   日</w:t>
      </w:r>
    </w:p>
    <w:p>
      <w:pPr>
        <w:rPr>
          <w:rFonts w:ascii="仿宋" w:hAnsi="仿宋" w:eastAsia="仿宋" w:cs="仿宋"/>
          <w:spacing w:val="7"/>
          <w:sz w:val="31"/>
          <w:szCs w:val="31"/>
          <w:highlight w:val="none"/>
        </w:rPr>
      </w:pPr>
      <w:r>
        <w:rPr>
          <w:rFonts w:ascii="仿宋" w:hAnsi="仿宋" w:eastAsia="仿宋" w:cs="仿宋"/>
          <w:spacing w:val="7"/>
          <w:sz w:val="31"/>
          <w:szCs w:val="31"/>
          <w:highlight w:val="none"/>
        </w:rPr>
        <w:br w:type="page"/>
      </w:r>
    </w:p>
    <w:p>
      <w:pPr>
        <w:pStyle w:val="2"/>
        <w:pageBreakBefore w:val="0"/>
        <w:kinsoku/>
        <w:wordWrap w:val="0"/>
        <w:overflowPunct/>
        <w:topLinePunct w:val="0"/>
        <w:bidi w:val="0"/>
        <w:jc w:val="both"/>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附件4</w:t>
      </w:r>
    </w:p>
    <w:p>
      <w:pPr>
        <w:bidi w:val="0"/>
        <w:jc w:val="center"/>
        <w:rPr>
          <w:rFonts w:hint="eastAsia" w:ascii="黑体" w:hAnsi="黑体" w:eastAsia="黑体" w:cs="黑体"/>
          <w:sz w:val="48"/>
          <w:szCs w:val="48"/>
          <w:highlight w:val="none"/>
        </w:rPr>
      </w:pPr>
      <w:r>
        <w:rPr>
          <w:rFonts w:hint="eastAsia" w:ascii="黑体" w:hAnsi="黑体" w:eastAsia="黑体" w:cs="黑体"/>
          <w:sz w:val="48"/>
          <w:szCs w:val="48"/>
          <w:highlight w:val="none"/>
        </w:rPr>
        <w:t>竞赛样题</w:t>
      </w:r>
    </w:p>
    <w:p>
      <w:pPr>
        <w:pStyle w:val="2"/>
        <w:rPr>
          <w:rFonts w:hint="eastAsia"/>
          <w:sz w:val="24"/>
          <w:szCs w:val="24"/>
          <w:highlight w:val="none"/>
        </w:rPr>
      </w:pPr>
    </w:p>
    <w:p>
      <w:pPr>
        <w:rPr>
          <w:rFonts w:hint="eastAsia"/>
          <w:highlight w:val="none"/>
        </w:rPr>
      </w:pPr>
    </w:p>
    <w:p>
      <w:pPr>
        <w:bidi w:val="0"/>
        <w:jc w:val="center"/>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模块一 跨境电子商务直播推广</w:t>
      </w:r>
    </w:p>
    <w:p>
      <w:pPr>
        <w:pStyle w:val="2"/>
        <w:rPr>
          <w:rFonts w:hint="eastAsia"/>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83"/>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模块时长：50 分钟</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83"/>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模块分值：35 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2" w:firstLineChars="200"/>
        <w:jc w:val="left"/>
        <w:textAlignment w:val="baseline"/>
        <w:rPr>
          <w:rFonts w:hint="eastAsia" w:ascii="仿宋" w:hAnsi="仿宋" w:eastAsia="仿宋" w:cs="仿宋"/>
          <w:b/>
          <w:bCs/>
          <w:snapToGrid/>
          <w:color w:val="333333"/>
          <w:kern w:val="2"/>
          <w:sz w:val="28"/>
          <w:szCs w:val="28"/>
          <w:highlight w:val="none"/>
          <w:lang w:val="en-US" w:eastAsia="zh-CN" w:bidi="ar-SA"/>
        </w:rPr>
      </w:pPr>
      <w:r>
        <w:rPr>
          <w:rFonts w:hint="eastAsia" w:ascii="仿宋" w:hAnsi="仿宋" w:eastAsia="仿宋" w:cs="仿宋"/>
          <w:b/>
          <w:bCs/>
          <w:snapToGrid/>
          <w:color w:val="333333"/>
          <w:kern w:val="2"/>
          <w:sz w:val="28"/>
          <w:szCs w:val="28"/>
          <w:highlight w:val="none"/>
          <w:lang w:val="en-US" w:eastAsia="zh-CN" w:bidi="ar-SA"/>
        </w:rPr>
        <w:t>一、任务背景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0" w:firstLineChars="200"/>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强盛数码旗舰店主要通过直播销售耳机、数据线、手机壳、移动电源等消费电子类商品，网店的销量一直很可观，已经积累了很多忠实客户。恰逢店铺购物节活动，振宇数码为了回馈老客户和吸引新客户，选取手机壳作为直播商品，开展一次直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0" w:firstLineChars="200"/>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请以强盛数码直播营销员林肖的身份，根据商品资料和本次海外直播推广活动主题，撰写英文直播脚本，使用英文完成此款手机壳商品10分钟的跨境电商直播销售。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2" w:firstLineChars="200"/>
        <w:jc w:val="left"/>
        <w:textAlignment w:val="baseline"/>
        <w:rPr>
          <w:rFonts w:hint="eastAsia" w:ascii="仿宋" w:hAnsi="仿宋" w:eastAsia="仿宋" w:cs="仿宋"/>
          <w:b/>
          <w:bCs/>
          <w:snapToGrid/>
          <w:color w:val="333333"/>
          <w:kern w:val="2"/>
          <w:sz w:val="28"/>
          <w:szCs w:val="28"/>
          <w:highlight w:val="none"/>
          <w:lang w:val="en-US" w:eastAsia="zh-CN" w:bidi="ar-SA"/>
        </w:rPr>
      </w:pPr>
      <w:r>
        <w:rPr>
          <w:rFonts w:hint="eastAsia" w:ascii="仿宋" w:hAnsi="仿宋" w:eastAsia="仿宋" w:cs="仿宋"/>
          <w:b/>
          <w:bCs/>
          <w:snapToGrid/>
          <w:color w:val="333333"/>
          <w:kern w:val="2"/>
          <w:sz w:val="28"/>
          <w:szCs w:val="28"/>
          <w:highlight w:val="none"/>
          <w:lang w:val="en-US" w:eastAsia="zh-CN" w:bidi="ar-SA"/>
        </w:rPr>
        <w:t>二、操作要求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0" w:firstLineChars="200"/>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1.直播脚本策划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0" w:firstLineChars="200"/>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（1）内容要求：用英文完成直播脚本撰写，内容包含开场问好、自我介绍、活动内容介绍、商品解说、品牌介绍、（功能、性能、外观等）展示、直播结尾。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0" w:firstLineChars="200"/>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（2）格式要求：英文字体统一采用“Times New Roman”，题目三号字加粗，正文采用小四号字，1.5 倍行距。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0" w:firstLineChars="200"/>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2.直播销售实施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0" w:firstLineChars="200"/>
        <w:jc w:val="left"/>
        <w:textAlignment w:val="baseline"/>
        <w:rPr>
          <w:highlight w:val="none"/>
        </w:rPr>
      </w:pPr>
      <w:r>
        <w:rPr>
          <w:rFonts w:hint="eastAsia" w:ascii="仿宋" w:hAnsi="仿宋" w:eastAsia="仿宋" w:cs="仿宋"/>
          <w:snapToGrid/>
          <w:color w:val="333333"/>
          <w:kern w:val="2"/>
          <w:sz w:val="28"/>
          <w:szCs w:val="28"/>
          <w:highlight w:val="none"/>
          <w:lang w:val="en-US" w:eastAsia="zh-CN" w:bidi="ar-SA"/>
        </w:rPr>
        <w:t>根据直播脚本，结合商品资料，利用跨境电商直播 APP，完成直播开场、直播商品介绍、直播商品上架、直播间弹幕问题回复、直播间活动互动、直播收尾等一款商品的跨境电商直播销售。</w:t>
      </w:r>
    </w:p>
    <w:p>
      <w:pPr>
        <w:bidi w:val="0"/>
        <w:jc w:val="center"/>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rPr>
        <w:t>模块</w:t>
      </w:r>
      <w:r>
        <w:rPr>
          <w:rFonts w:hint="eastAsia" w:ascii="黑体" w:hAnsi="黑体" w:eastAsia="黑体" w:cs="黑体"/>
          <w:b/>
          <w:bCs/>
          <w:sz w:val="32"/>
          <w:szCs w:val="32"/>
          <w:highlight w:val="none"/>
          <w:lang w:val="en-US" w:eastAsia="zh-CN"/>
        </w:rPr>
        <w:t>二</w:t>
      </w:r>
      <w:r>
        <w:rPr>
          <w:rFonts w:hint="eastAsia" w:ascii="黑体" w:hAnsi="黑体" w:eastAsia="黑体" w:cs="黑体"/>
          <w:b/>
          <w:bCs/>
          <w:sz w:val="32"/>
          <w:szCs w:val="32"/>
          <w:highlight w:val="none"/>
        </w:rPr>
        <w:t xml:space="preserve"> </w:t>
      </w:r>
      <w:r>
        <w:rPr>
          <w:rFonts w:hint="eastAsia" w:ascii="黑体" w:hAnsi="黑体" w:eastAsia="黑体" w:cs="黑体"/>
          <w:b/>
          <w:bCs/>
          <w:sz w:val="32"/>
          <w:szCs w:val="32"/>
          <w:highlight w:val="none"/>
          <w:lang w:val="en-US" w:eastAsia="zh-CN"/>
        </w:rPr>
        <w:t>跨境电子商务视觉营销设计</w:t>
      </w:r>
    </w:p>
    <w:p>
      <w:pPr>
        <w:pStyle w:val="2"/>
        <w:rPr>
          <w:rFonts w:hint="eastAsia"/>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83"/>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模块时长：90分钟</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83"/>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模块分值：40 分</w:t>
      </w:r>
    </w:p>
    <w:p>
      <w:pPr>
        <w:bidi w:val="0"/>
        <w:jc w:val="center"/>
        <w:rPr>
          <w:rFonts w:hint="eastAsia" w:ascii="黑体" w:hAnsi="黑体" w:eastAsia="黑体" w:cs="黑体"/>
          <w:b/>
          <w:bCs/>
          <w:sz w:val="30"/>
          <w:szCs w:val="30"/>
          <w:highlight w:val="none"/>
          <w:lang w:val="en-US" w:eastAsia="zh-CN"/>
        </w:rPr>
      </w:pPr>
      <w:r>
        <w:rPr>
          <w:rFonts w:hint="eastAsia" w:ascii="黑体" w:hAnsi="黑体" w:eastAsia="黑体" w:cs="黑体"/>
          <w:b/>
          <w:bCs/>
          <w:sz w:val="30"/>
          <w:szCs w:val="30"/>
          <w:highlight w:val="none"/>
          <w:lang w:val="en-US" w:eastAsia="zh-CN"/>
        </w:rPr>
        <w:t>任务1  店铺LOGO店招与Banner设计与制作</w:t>
      </w:r>
    </w:p>
    <w:p>
      <w:pPr>
        <w:pStyle w:val="2"/>
        <w:rPr>
          <w:rFonts w:hint="eastAsia"/>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2" w:firstLineChars="200"/>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b/>
          <w:bCs/>
          <w:snapToGrid/>
          <w:color w:val="333333"/>
          <w:kern w:val="2"/>
          <w:sz w:val="28"/>
          <w:szCs w:val="28"/>
          <w:highlight w:val="none"/>
          <w:lang w:val="en-US" w:eastAsia="zh-CN" w:bidi="ar-SA"/>
        </w:rPr>
        <w:t>任务背景：</w:t>
      </w:r>
      <w:r>
        <w:rPr>
          <w:rFonts w:hint="eastAsia" w:ascii="仿宋" w:hAnsi="仿宋" w:eastAsia="仿宋" w:cs="仿宋"/>
          <w:b w:val="0"/>
          <w:bCs w:val="0"/>
          <w:snapToGrid/>
          <w:color w:val="333333"/>
          <w:kern w:val="2"/>
          <w:sz w:val="28"/>
          <w:szCs w:val="28"/>
          <w:highlight w:val="none"/>
          <w:lang w:val="en-US" w:eastAsia="zh-CN" w:bidi="ar-SA"/>
        </w:rPr>
        <w:t>艾佳服饰旗舰店</w:t>
      </w:r>
      <w:r>
        <w:rPr>
          <w:rFonts w:hint="eastAsia" w:ascii="仿宋" w:hAnsi="仿宋" w:eastAsia="仿宋" w:cs="仿宋"/>
          <w:snapToGrid/>
          <w:color w:val="333333"/>
          <w:kern w:val="2"/>
          <w:sz w:val="28"/>
          <w:szCs w:val="28"/>
          <w:highlight w:val="none"/>
          <w:lang w:val="en-US" w:eastAsia="zh-CN" w:bidi="ar-SA"/>
        </w:rPr>
        <w:t>准备对网店首页进行装修，网店美工利用现有商品图片和相关资料，设计与制作店铺logo、店招，并以女士衬衫、连衣裙等两款商品为基础，分别为每款商品设计1张轮播图。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2" w:firstLineChars="200"/>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b/>
          <w:bCs/>
          <w:snapToGrid/>
          <w:color w:val="333333"/>
          <w:kern w:val="2"/>
          <w:sz w:val="28"/>
          <w:szCs w:val="28"/>
          <w:highlight w:val="none"/>
          <w:lang w:val="en-US" w:eastAsia="zh-CN" w:bidi="ar-SA"/>
        </w:rPr>
        <w:t>操作要求：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0" w:firstLineChars="200"/>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1.店铺logo图片：尺寸为100px*100px，大小不超过200K；</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0" w:firstLineChars="200"/>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2.店招图片：尺寸为1920px*120px，采用JPG、PNG格式，大小不超过2M；</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0" w:firstLineChars="200"/>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3.Banner（轮播图）：设计2张轮播图，每张尺寸为1023像素*500像素，支持JPG、PNG图片格式，每张图大小不得超过3MB。要求一组内的图片宽度、高度必须完全一致。</w:t>
      </w:r>
    </w:p>
    <w:p>
      <w:pPr>
        <w:bidi w:val="0"/>
        <w:jc w:val="center"/>
        <w:rPr>
          <w:rFonts w:hint="eastAsia" w:ascii="黑体" w:hAnsi="黑体" w:eastAsia="黑体" w:cs="黑体"/>
          <w:b/>
          <w:bCs/>
          <w:sz w:val="30"/>
          <w:szCs w:val="30"/>
          <w:highlight w:val="none"/>
          <w:lang w:val="en-US" w:eastAsia="zh-CN"/>
        </w:rPr>
      </w:pPr>
      <w:r>
        <w:rPr>
          <w:rFonts w:hint="eastAsia" w:ascii="黑体" w:hAnsi="黑体" w:eastAsia="黑体" w:cs="黑体"/>
          <w:b/>
          <w:bCs/>
          <w:sz w:val="30"/>
          <w:szCs w:val="30"/>
          <w:highlight w:val="none"/>
          <w:lang w:val="en-US" w:eastAsia="zh-CN"/>
        </w:rPr>
        <w:t>任务2 跨境电商商品主图和详情页视觉营销设计</w:t>
      </w:r>
    </w:p>
    <w:p>
      <w:pPr>
        <w:pStyle w:val="2"/>
        <w:rPr>
          <w:rFonts w:hint="eastAsia"/>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2" w:firstLineChars="200"/>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b/>
          <w:bCs/>
          <w:snapToGrid/>
          <w:color w:val="333333"/>
          <w:kern w:val="2"/>
          <w:sz w:val="28"/>
          <w:szCs w:val="28"/>
          <w:highlight w:val="none"/>
          <w:lang w:val="en-US" w:eastAsia="zh-CN" w:bidi="ar-SA"/>
        </w:rPr>
        <w:t>任务背景：</w:t>
      </w:r>
      <w:r>
        <w:rPr>
          <w:rFonts w:hint="eastAsia" w:ascii="仿宋" w:hAnsi="仿宋" w:eastAsia="仿宋" w:cs="仿宋"/>
          <w:b w:val="0"/>
          <w:bCs w:val="0"/>
          <w:snapToGrid/>
          <w:color w:val="333333"/>
          <w:kern w:val="2"/>
          <w:sz w:val="28"/>
          <w:szCs w:val="28"/>
          <w:highlight w:val="none"/>
          <w:lang w:val="en-US" w:eastAsia="zh-CN" w:bidi="ar-SA"/>
        </w:rPr>
        <w:t>艾佳服饰旗舰店</w:t>
      </w:r>
      <w:r>
        <w:rPr>
          <w:rFonts w:hint="eastAsia" w:ascii="仿宋" w:hAnsi="仿宋" w:eastAsia="仿宋" w:cs="仿宋"/>
          <w:snapToGrid/>
          <w:color w:val="333333"/>
          <w:kern w:val="2"/>
          <w:sz w:val="28"/>
          <w:szCs w:val="28"/>
          <w:highlight w:val="none"/>
          <w:lang w:val="en-US" w:eastAsia="zh-CN" w:bidi="ar-SA"/>
        </w:rPr>
        <w:t>收到工厂提供的商品图片和资料后，开始根据商品详情页发布要求，整理商品资料，提炼商品卖点，完成女士休闲卫衣此款商品主图设计与制作、详情页视觉营销设计与制作。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2" w:firstLineChars="200"/>
        <w:jc w:val="left"/>
        <w:textAlignment w:val="baseline"/>
        <w:rPr>
          <w:rFonts w:hint="eastAsia" w:ascii="仿宋" w:hAnsi="仿宋" w:eastAsia="仿宋" w:cs="仿宋"/>
          <w:b/>
          <w:bCs/>
          <w:snapToGrid/>
          <w:color w:val="333333"/>
          <w:kern w:val="2"/>
          <w:sz w:val="28"/>
          <w:szCs w:val="28"/>
          <w:highlight w:val="none"/>
          <w:lang w:val="en-US" w:eastAsia="zh-CN" w:bidi="ar-SA"/>
        </w:rPr>
      </w:pPr>
      <w:r>
        <w:rPr>
          <w:rFonts w:hint="eastAsia" w:ascii="仿宋" w:hAnsi="仿宋" w:eastAsia="仿宋" w:cs="仿宋"/>
          <w:b/>
          <w:bCs/>
          <w:snapToGrid/>
          <w:color w:val="333333"/>
          <w:kern w:val="2"/>
          <w:sz w:val="28"/>
          <w:szCs w:val="28"/>
          <w:highlight w:val="none"/>
          <w:lang w:val="en-US" w:eastAsia="zh-CN" w:bidi="ar-SA"/>
        </w:rPr>
        <w:t>操作要求：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0" w:firstLineChars="200"/>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1.商品主图：设计5张商品主图，每张尺寸为800*800像素，采用JPG、PNG格式，大小不超过1M。</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snapToGrid/>
          <w:color w:val="333333"/>
          <w:kern w:val="2"/>
          <w:sz w:val="28"/>
          <w:szCs w:val="28"/>
          <w:highlight w:val="none"/>
          <w:lang w:val="en-US" w:eastAsia="zh-CN" w:bidi="ar-SA"/>
        </w:rPr>
        <w:t>2.商品详情页：结合跨境电商店铺营销需求及产品定位，进行详情页设计与优化，包括以下内容：商品信息（图片、文本或图文混排）、商品展示（细节、包装、优点、色彩搭配及效果）、交易说明（购买、支付、收货及验货）、售后信息（退换货、保修、退款）、促销信息（促销活动及优惠方式）等</w:t>
      </w:r>
      <w:r>
        <w:rPr>
          <w:rFonts w:hint="eastAsia" w:ascii="仿宋" w:hAnsi="仿宋" w:eastAsia="仿宋" w:cs="仿宋"/>
          <w:spacing w:val="8"/>
          <w:sz w:val="28"/>
          <w:szCs w:val="28"/>
          <w:highlight w:val="none"/>
        </w:rPr>
        <w:t>。</w:t>
      </w:r>
    </w:p>
    <w:p>
      <w:pPr>
        <w:bidi w:val="0"/>
        <w:jc w:val="center"/>
        <w:rPr>
          <w:rFonts w:hint="eastAsia" w:ascii="黑体" w:hAnsi="黑体" w:eastAsia="黑体" w:cs="黑体"/>
          <w:b/>
          <w:bCs/>
          <w:sz w:val="32"/>
          <w:szCs w:val="32"/>
          <w:highlight w:val="none"/>
          <w:lang w:val="en-US" w:eastAsia="zh-CN"/>
        </w:rPr>
      </w:pPr>
    </w:p>
    <w:p>
      <w:pPr>
        <w:bidi w:val="0"/>
        <w:jc w:val="center"/>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模块三 跨境电子商务数据分析</w:t>
      </w:r>
    </w:p>
    <w:p>
      <w:pPr>
        <w:pStyle w:val="2"/>
        <w:rPr>
          <w:rFonts w:hint="eastAsia"/>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83"/>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模块时长：40 分钟</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83"/>
        <w:jc w:val="left"/>
        <w:textAlignment w:val="baseline"/>
        <w:rPr>
          <w:rFonts w:hint="eastAsia" w:ascii="仿宋" w:hAnsi="仿宋" w:eastAsia="仿宋" w:cs="仿宋"/>
          <w:snapToGrid/>
          <w:color w:val="333333"/>
          <w:kern w:val="2"/>
          <w:sz w:val="28"/>
          <w:szCs w:val="28"/>
          <w:highlight w:val="none"/>
          <w:lang w:val="en-US" w:eastAsia="zh-CN" w:bidi="ar-SA"/>
        </w:rPr>
      </w:pPr>
      <w:r>
        <w:rPr>
          <w:rFonts w:hint="eastAsia" w:ascii="仿宋" w:hAnsi="仿宋" w:eastAsia="仿宋" w:cs="仿宋"/>
          <w:snapToGrid/>
          <w:color w:val="333333"/>
          <w:kern w:val="2"/>
          <w:sz w:val="28"/>
          <w:szCs w:val="28"/>
          <w:highlight w:val="none"/>
          <w:lang w:val="en-US" w:eastAsia="zh-CN" w:bidi="ar-SA"/>
        </w:rPr>
        <w:t>模块分值：25 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2" w:firstLineChars="200"/>
        <w:jc w:val="left"/>
        <w:textAlignment w:val="baseline"/>
        <w:rPr>
          <w:rFonts w:hint="eastAsia" w:ascii="仿宋" w:hAnsi="仿宋" w:eastAsia="仿宋" w:cs="仿宋"/>
          <w:b/>
          <w:bCs/>
          <w:snapToGrid/>
          <w:color w:val="333333"/>
          <w:kern w:val="2"/>
          <w:sz w:val="28"/>
          <w:szCs w:val="28"/>
          <w:highlight w:val="none"/>
          <w:lang w:val="en-US" w:eastAsia="zh-CN" w:bidi="ar-SA"/>
        </w:rPr>
      </w:pPr>
      <w:r>
        <w:rPr>
          <w:rFonts w:hint="eastAsia" w:ascii="仿宋" w:hAnsi="仿宋" w:eastAsia="仿宋" w:cs="仿宋"/>
          <w:b/>
          <w:bCs/>
          <w:snapToGrid/>
          <w:color w:val="333333"/>
          <w:kern w:val="2"/>
          <w:sz w:val="28"/>
          <w:szCs w:val="28"/>
          <w:highlight w:val="none"/>
          <w:lang w:val="en-US" w:eastAsia="zh-CN" w:bidi="ar-SA"/>
        </w:rPr>
        <w:t>一、任务背景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0" w:firstLineChars="200"/>
        <w:jc w:val="left"/>
        <w:textAlignment w:val="baseline"/>
        <w:rPr>
          <w:rFonts w:hint="eastAsia" w:ascii="仿宋" w:hAnsi="仿宋" w:eastAsia="仿宋" w:cs="仿宋"/>
          <w:b w:val="0"/>
          <w:bCs w:val="0"/>
          <w:snapToGrid/>
          <w:color w:val="333333"/>
          <w:kern w:val="2"/>
          <w:sz w:val="28"/>
          <w:szCs w:val="28"/>
          <w:highlight w:val="none"/>
          <w:lang w:val="en-US" w:eastAsia="zh-CN" w:bidi="ar-SA"/>
        </w:rPr>
      </w:pPr>
      <w:r>
        <w:rPr>
          <w:rFonts w:hint="eastAsia" w:ascii="仿宋" w:hAnsi="仿宋" w:eastAsia="仿宋" w:cs="仿宋"/>
          <w:b w:val="0"/>
          <w:bCs w:val="0"/>
          <w:snapToGrid/>
          <w:color w:val="333333"/>
          <w:kern w:val="2"/>
          <w:sz w:val="28"/>
          <w:szCs w:val="28"/>
          <w:highlight w:val="none"/>
          <w:lang w:val="en-US" w:eastAsia="zh-CN" w:bidi="ar-SA"/>
        </w:rPr>
        <w:t>陈可结束一个月的店铺商品运营推广之后，为了全面了解店铺运营推广的效果，陈可下载了最近 30 天店铺的销售数据，请帮助陈可利用数据分析工具，完成以下操作。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2" w:firstLineChars="200"/>
        <w:jc w:val="left"/>
        <w:textAlignment w:val="baseline"/>
        <w:rPr>
          <w:rFonts w:hint="eastAsia" w:ascii="仿宋" w:hAnsi="仿宋" w:eastAsia="仿宋" w:cs="仿宋"/>
          <w:b/>
          <w:bCs/>
          <w:snapToGrid/>
          <w:color w:val="333333"/>
          <w:kern w:val="2"/>
          <w:sz w:val="28"/>
          <w:szCs w:val="28"/>
          <w:highlight w:val="none"/>
          <w:lang w:val="en-US" w:eastAsia="zh-CN" w:bidi="ar-SA"/>
        </w:rPr>
      </w:pPr>
      <w:r>
        <w:rPr>
          <w:rFonts w:hint="eastAsia" w:ascii="仿宋" w:hAnsi="仿宋" w:eastAsia="仿宋" w:cs="仿宋"/>
          <w:b/>
          <w:bCs/>
          <w:snapToGrid/>
          <w:color w:val="333333"/>
          <w:kern w:val="2"/>
          <w:sz w:val="28"/>
          <w:szCs w:val="28"/>
          <w:highlight w:val="none"/>
          <w:lang w:val="en-US" w:eastAsia="zh-CN" w:bidi="ar-SA"/>
        </w:rPr>
        <w:t>二、操作任务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2" w:firstLineChars="200"/>
        <w:jc w:val="left"/>
        <w:textAlignment w:val="baseline"/>
        <w:rPr>
          <w:rFonts w:hint="eastAsia" w:ascii="仿宋" w:hAnsi="仿宋" w:eastAsia="仿宋" w:cs="仿宋"/>
          <w:b w:val="0"/>
          <w:bCs w:val="0"/>
          <w:snapToGrid/>
          <w:color w:val="333333"/>
          <w:kern w:val="2"/>
          <w:sz w:val="28"/>
          <w:szCs w:val="28"/>
          <w:highlight w:val="none"/>
          <w:lang w:val="en-US" w:eastAsia="zh-CN" w:bidi="ar-SA"/>
        </w:rPr>
      </w:pPr>
      <w:r>
        <w:rPr>
          <w:rFonts w:hint="eastAsia" w:ascii="仿宋" w:hAnsi="仿宋" w:eastAsia="仿宋" w:cs="仿宋"/>
          <w:b/>
          <w:bCs/>
          <w:snapToGrid/>
          <w:color w:val="333333"/>
          <w:kern w:val="2"/>
          <w:sz w:val="28"/>
          <w:szCs w:val="28"/>
          <w:highlight w:val="none"/>
          <w:lang w:val="en-US" w:eastAsia="zh-CN" w:bidi="ar-SA"/>
        </w:rPr>
        <w:t>操作1：</w:t>
      </w:r>
      <w:r>
        <w:rPr>
          <w:rFonts w:hint="eastAsia" w:ascii="仿宋" w:hAnsi="仿宋" w:eastAsia="仿宋" w:cs="仿宋"/>
          <w:b w:val="0"/>
          <w:bCs w:val="0"/>
          <w:snapToGrid/>
          <w:color w:val="333333"/>
          <w:kern w:val="2"/>
          <w:sz w:val="28"/>
          <w:szCs w:val="28"/>
          <w:highlight w:val="none"/>
          <w:lang w:val="en-US" w:eastAsia="zh-CN" w:bidi="ar-SA"/>
        </w:rPr>
        <w:t>请利用最近 30 天店铺的销售数据，帮助陈可统计不同国家订单金额之和，并利用图表展示不同国家的订单支付金额，并指出支付金额最高的国家。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2" w:firstLineChars="200"/>
        <w:jc w:val="left"/>
        <w:textAlignment w:val="baseline"/>
        <w:rPr>
          <w:rFonts w:hint="eastAsia" w:ascii="仿宋" w:hAnsi="仿宋" w:eastAsia="仿宋" w:cs="仿宋"/>
          <w:b w:val="0"/>
          <w:bCs w:val="0"/>
          <w:snapToGrid/>
          <w:color w:val="333333"/>
          <w:kern w:val="2"/>
          <w:sz w:val="28"/>
          <w:szCs w:val="28"/>
          <w:highlight w:val="none"/>
          <w:lang w:val="en-US" w:eastAsia="zh-CN" w:bidi="ar-SA"/>
        </w:rPr>
      </w:pPr>
      <w:r>
        <w:rPr>
          <w:rFonts w:hint="eastAsia" w:ascii="仿宋" w:hAnsi="仿宋" w:eastAsia="仿宋" w:cs="仿宋"/>
          <w:b/>
          <w:bCs/>
          <w:snapToGrid/>
          <w:color w:val="333333"/>
          <w:kern w:val="2"/>
          <w:sz w:val="28"/>
          <w:szCs w:val="28"/>
          <w:highlight w:val="none"/>
          <w:lang w:val="en-US" w:eastAsia="zh-CN" w:bidi="ar-SA"/>
        </w:rPr>
        <w:t>操作2：</w:t>
      </w:r>
      <w:r>
        <w:rPr>
          <w:rFonts w:hint="eastAsia" w:ascii="仿宋" w:hAnsi="仿宋" w:eastAsia="仿宋" w:cs="仿宋"/>
          <w:b w:val="0"/>
          <w:bCs w:val="0"/>
          <w:snapToGrid/>
          <w:color w:val="333333"/>
          <w:kern w:val="2"/>
          <w:sz w:val="28"/>
          <w:szCs w:val="28"/>
          <w:highlight w:val="none"/>
          <w:lang w:val="en-US" w:eastAsia="zh-CN" w:bidi="ar-SA"/>
        </w:rPr>
        <w:t>请利用最近 30 天店铺销售数据，帮助陈可分析买家下单时间（小时）分布情况，以 4 小时为间隔，如 0 点 -3 点，4 点-7 点等，统计出各时间段买家下单数量，并用合适的图表展示不同时间段的订单数量。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2" w:firstLineChars="200"/>
        <w:jc w:val="left"/>
        <w:textAlignment w:val="baseline"/>
        <w:rPr>
          <w:rFonts w:hint="eastAsia" w:ascii="仿宋" w:hAnsi="仿宋" w:eastAsia="仿宋" w:cs="仿宋"/>
          <w:b w:val="0"/>
          <w:bCs w:val="0"/>
          <w:snapToGrid/>
          <w:color w:val="333333"/>
          <w:kern w:val="2"/>
          <w:sz w:val="28"/>
          <w:szCs w:val="28"/>
          <w:highlight w:val="none"/>
          <w:lang w:val="en-US" w:eastAsia="zh-CN" w:bidi="ar-SA"/>
        </w:rPr>
      </w:pPr>
      <w:r>
        <w:rPr>
          <w:rFonts w:hint="eastAsia" w:ascii="仿宋" w:hAnsi="仿宋" w:eastAsia="仿宋" w:cs="仿宋"/>
          <w:b/>
          <w:bCs/>
          <w:snapToGrid/>
          <w:color w:val="333333"/>
          <w:kern w:val="2"/>
          <w:sz w:val="28"/>
          <w:szCs w:val="28"/>
          <w:highlight w:val="none"/>
          <w:lang w:val="en-US" w:eastAsia="zh-CN" w:bidi="ar-SA"/>
        </w:rPr>
        <w:t>操作3：</w:t>
      </w:r>
      <w:r>
        <w:rPr>
          <w:rFonts w:hint="eastAsia" w:ascii="仿宋" w:hAnsi="仿宋" w:eastAsia="仿宋" w:cs="仿宋"/>
          <w:b w:val="0"/>
          <w:bCs w:val="0"/>
          <w:snapToGrid/>
          <w:color w:val="333333"/>
          <w:kern w:val="2"/>
          <w:sz w:val="28"/>
          <w:szCs w:val="28"/>
          <w:highlight w:val="none"/>
          <w:lang w:val="en-US" w:eastAsia="zh-CN" w:bidi="ar-SA"/>
        </w:rPr>
        <w:t>请利用最近 30 天店铺销售数据，帮助陈可分析买家的物流偏好，利用图表展示不同物流方式订单数量占比情况。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562" w:firstLineChars="200"/>
        <w:jc w:val="left"/>
        <w:textAlignment w:val="baseline"/>
        <w:rPr>
          <w:rFonts w:hint="default" w:ascii="黑体" w:hAnsi="黑体" w:eastAsia="黑体"/>
          <w:sz w:val="32"/>
          <w:szCs w:val="32"/>
          <w:highlight w:val="none"/>
          <w:lang w:val="en-US" w:eastAsia="zh-CN"/>
        </w:rPr>
      </w:pPr>
      <w:r>
        <w:rPr>
          <w:rFonts w:hint="eastAsia" w:ascii="仿宋" w:hAnsi="仿宋" w:eastAsia="仿宋" w:cs="仿宋"/>
          <w:b/>
          <w:bCs/>
          <w:snapToGrid/>
          <w:color w:val="333333"/>
          <w:kern w:val="2"/>
          <w:sz w:val="28"/>
          <w:szCs w:val="28"/>
          <w:highlight w:val="none"/>
          <w:lang w:val="en-US" w:eastAsia="zh-CN" w:bidi="ar-SA"/>
        </w:rPr>
        <w:t>操作4：</w:t>
      </w:r>
      <w:r>
        <w:rPr>
          <w:rFonts w:hint="eastAsia" w:ascii="仿宋" w:hAnsi="仿宋" w:eastAsia="仿宋" w:cs="仿宋"/>
          <w:b w:val="0"/>
          <w:bCs w:val="0"/>
          <w:snapToGrid/>
          <w:color w:val="333333"/>
          <w:kern w:val="2"/>
          <w:sz w:val="28"/>
          <w:szCs w:val="28"/>
          <w:highlight w:val="none"/>
          <w:lang w:val="en-US" w:eastAsia="zh-CN" w:bidi="ar-SA"/>
        </w:rPr>
        <w:t>根据上述操作结果，请阐述为了进一步提高店铺的销售额，陈可应从哪些方面制订优化方案。</w:t>
      </w:r>
    </w:p>
    <w:p>
      <w:pPr>
        <w:spacing w:line="360" w:lineRule="auto"/>
        <w:rPr>
          <w:rFonts w:hint="default" w:ascii="仿宋" w:hAnsi="仿宋" w:eastAsia="仿宋" w:cs="仿宋"/>
          <w:sz w:val="32"/>
          <w:szCs w:val="32"/>
          <w:highlight w:val="none"/>
          <w:lang w:val="en-US" w:eastAsia="zh-CN"/>
        </w:rPr>
      </w:pPr>
    </w:p>
    <w:sectPr>
      <w:footerReference r:id="rId5" w:type="default"/>
      <w:pgSz w:w="11906" w:h="16838"/>
      <w:pgMar w:top="1304" w:right="1134" w:bottom="1191"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
    <w:altName w:val="仿宋"/>
    <w:panose1 w:val="00000000000000000000"/>
    <w:charset w:val="86"/>
    <w:family w:val="roman"/>
    <w:pitch w:val="default"/>
    <w:sig w:usb0="00000000" w:usb1="00000000" w:usb2="0000001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74"/>
      <w:rPr>
        <w:rFonts w:ascii="Times New Roman" w:hAnsi="Times New Roman" w:eastAsia="Times New Roman" w:cs="Times New Roman"/>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4627"/>
    <w:multiLevelType w:val="singleLevel"/>
    <w:tmpl w:val="FDFE4627"/>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MWY3ODJjNTgxYzM3YTZlNThjMjk2NWVlMjg4YWEifQ=="/>
    <w:docVar w:name="KSO_WPS_MARK_KEY" w:val="1e7014d7-4018-441c-a59a-f47fbd32532f"/>
  </w:docVars>
  <w:rsids>
    <w:rsidRoot w:val="5F7A2C9D"/>
    <w:rsid w:val="00943D75"/>
    <w:rsid w:val="0102313C"/>
    <w:rsid w:val="0216427A"/>
    <w:rsid w:val="04227F36"/>
    <w:rsid w:val="054A1F8E"/>
    <w:rsid w:val="06E146A5"/>
    <w:rsid w:val="086A47CA"/>
    <w:rsid w:val="087B41C0"/>
    <w:rsid w:val="09302C3D"/>
    <w:rsid w:val="09E83EAB"/>
    <w:rsid w:val="0A000645"/>
    <w:rsid w:val="0BD01FA0"/>
    <w:rsid w:val="0D270472"/>
    <w:rsid w:val="0F805BFC"/>
    <w:rsid w:val="137B4716"/>
    <w:rsid w:val="16721C9F"/>
    <w:rsid w:val="16F746C9"/>
    <w:rsid w:val="19372A89"/>
    <w:rsid w:val="1AFF1D14"/>
    <w:rsid w:val="20CC7463"/>
    <w:rsid w:val="22A85759"/>
    <w:rsid w:val="23E503AE"/>
    <w:rsid w:val="240D2674"/>
    <w:rsid w:val="249259A1"/>
    <w:rsid w:val="24D942F0"/>
    <w:rsid w:val="25FA451E"/>
    <w:rsid w:val="26814CBF"/>
    <w:rsid w:val="275A48A8"/>
    <w:rsid w:val="29604233"/>
    <w:rsid w:val="2AED44B6"/>
    <w:rsid w:val="2C1238FD"/>
    <w:rsid w:val="2CDE6B89"/>
    <w:rsid w:val="2EC60536"/>
    <w:rsid w:val="2EE36C81"/>
    <w:rsid w:val="2FBF3D11"/>
    <w:rsid w:val="30A9101A"/>
    <w:rsid w:val="31D200FD"/>
    <w:rsid w:val="31E42322"/>
    <w:rsid w:val="32FA3DAF"/>
    <w:rsid w:val="33186085"/>
    <w:rsid w:val="333C7F24"/>
    <w:rsid w:val="34900078"/>
    <w:rsid w:val="3643441B"/>
    <w:rsid w:val="37157E20"/>
    <w:rsid w:val="37AB37BE"/>
    <w:rsid w:val="397B0ECB"/>
    <w:rsid w:val="3A454774"/>
    <w:rsid w:val="3B643E7F"/>
    <w:rsid w:val="3B7A1263"/>
    <w:rsid w:val="3CFB6EAF"/>
    <w:rsid w:val="3ECA25A9"/>
    <w:rsid w:val="4094361C"/>
    <w:rsid w:val="41E77DF9"/>
    <w:rsid w:val="44711D77"/>
    <w:rsid w:val="44CB43D5"/>
    <w:rsid w:val="44FA19ED"/>
    <w:rsid w:val="4667107C"/>
    <w:rsid w:val="48144DA8"/>
    <w:rsid w:val="49451E62"/>
    <w:rsid w:val="4A5144F5"/>
    <w:rsid w:val="4C080E93"/>
    <w:rsid w:val="4F7F321A"/>
    <w:rsid w:val="500951DA"/>
    <w:rsid w:val="53E866F5"/>
    <w:rsid w:val="55B46D29"/>
    <w:rsid w:val="56CC658D"/>
    <w:rsid w:val="58C83013"/>
    <w:rsid w:val="5B9A0DF3"/>
    <w:rsid w:val="5CDD32FF"/>
    <w:rsid w:val="5D8B22CA"/>
    <w:rsid w:val="5F7A2C9D"/>
    <w:rsid w:val="5FD15386"/>
    <w:rsid w:val="608E7761"/>
    <w:rsid w:val="62002A68"/>
    <w:rsid w:val="631F6D97"/>
    <w:rsid w:val="634F2FE5"/>
    <w:rsid w:val="64A367D5"/>
    <w:rsid w:val="65C50665"/>
    <w:rsid w:val="65E93AC2"/>
    <w:rsid w:val="678021F0"/>
    <w:rsid w:val="68374B41"/>
    <w:rsid w:val="697B17DF"/>
    <w:rsid w:val="69FF6586"/>
    <w:rsid w:val="6A1A42AB"/>
    <w:rsid w:val="6C5D114E"/>
    <w:rsid w:val="6ECA7162"/>
    <w:rsid w:val="706A53C9"/>
    <w:rsid w:val="72EE22E1"/>
    <w:rsid w:val="73CC3302"/>
    <w:rsid w:val="747B2D9D"/>
    <w:rsid w:val="777FE5A8"/>
    <w:rsid w:val="780E4529"/>
    <w:rsid w:val="79DC7338"/>
    <w:rsid w:val="7C0379DE"/>
    <w:rsid w:val="7CFDDEE1"/>
    <w:rsid w:val="7DF05160"/>
    <w:rsid w:val="7E594084"/>
    <w:rsid w:val="CFD922A5"/>
    <w:rsid w:val="FB9FC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9"/>
    <w:pPr>
      <w:keepNext/>
      <w:keepLines/>
      <w:spacing w:before="340" w:after="330" w:line="578" w:lineRule="auto"/>
      <w:outlineLvl w:val="0"/>
    </w:pPr>
    <w:rPr>
      <w:rFonts w:eastAsia="宋体"/>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widowControl/>
      <w:spacing w:line="360" w:lineRule="auto"/>
      <w:ind w:firstLine="420"/>
      <w:jc w:val="left"/>
    </w:pPr>
    <w:rPr>
      <w:rFonts w:eastAsia="宋体"/>
      <w:kern w:val="0"/>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99"/>
    <w:pPr>
      <w:spacing w:before="100" w:beforeAutospacing="1" w:after="100" w:afterAutospacing="1"/>
    </w:pPr>
  </w:style>
  <w:style w:type="paragraph" w:styleId="10">
    <w:name w:val="Body Text First Indent"/>
    <w:basedOn w:val="2"/>
    <w:unhideWhenUsed/>
    <w:qFormat/>
    <w:uiPriority w:val="0"/>
    <w:pPr>
      <w:ind w:firstLine="420" w:firstLineChars="100"/>
    </w:pPr>
    <w:rPr>
      <w:rFonts w:ascii="Times New Roman" w:hAnsi="Times New Roman"/>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NormalCharacter"/>
    <w:semiHidden/>
    <w:qFormat/>
    <w:uiPriority w:val="0"/>
  </w:style>
  <w:style w:type="paragraph" w:customStyle="1" w:styleId="17">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10346</Words>
  <Characters>10983</Characters>
  <Lines>0</Lines>
  <Paragraphs>0</Paragraphs>
  <TotalTime>5</TotalTime>
  <ScaleCrop>false</ScaleCrop>
  <LinksUpToDate>false</LinksUpToDate>
  <CharactersWithSpaces>11197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2024-11-05T17:45:00Z</dcterms:created>
  <dc:creator>陈夏（201903）</dc:creator>
  <cp:lastModifiedBy>uos</cp:lastModifiedBy>
  <dcterms:modified xsi:type="dcterms:W3CDTF">2024-12-16T16:00:32Z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182D624F7A684C95B2971DB7C0DCB683_13</vt:lpwstr>
  </property>
</Properties>
</file>